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B1AC" w14:textId="5AA78956" w:rsidR="006B087E" w:rsidRPr="00542EB9" w:rsidRDefault="00112D5D" w:rsidP="00112D5D">
      <w:pPr>
        <w:pStyle w:val="Pagedecouverture"/>
        <w:rPr>
          <w:noProof/>
        </w:rPr>
      </w:pPr>
      <w:bookmarkStart w:id="0" w:name="LW_BM_COVERPAGE"/>
      <w:r>
        <w:rPr>
          <w:noProof/>
        </w:rPr>
        <w:pict w14:anchorId="1B735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24316B2-787C-4AC1-A7F5-485D83BBE22A" style="width:455.25pt;height:476.25pt">
            <v:imagedata r:id="rId11" o:title=""/>
          </v:shape>
        </w:pict>
      </w:r>
    </w:p>
    <w:bookmarkEnd w:id="0"/>
    <w:p w14:paraId="63260D17" w14:textId="77777777" w:rsidR="006B087E" w:rsidRPr="00542EB9" w:rsidRDefault="006B087E" w:rsidP="000E3086">
      <w:pPr>
        <w:pStyle w:val="TOCHeading"/>
        <w:rPr>
          <w:noProof/>
        </w:rPr>
        <w:sectPr w:rsidR="006B087E" w:rsidRPr="00542EB9" w:rsidSect="00112D5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45D12411" w14:textId="363B801B" w:rsidR="006B087E" w:rsidRPr="00542EB9" w:rsidRDefault="2CEB5DE4" w:rsidP="000E3086">
      <w:pPr>
        <w:pStyle w:val="TOCHeading"/>
        <w:rPr>
          <w:noProof/>
        </w:rPr>
      </w:pPr>
      <w:bookmarkStart w:id="1" w:name="_GoBack"/>
      <w:bookmarkEnd w:id="1"/>
      <w:r w:rsidRPr="00542EB9">
        <w:rPr>
          <w:noProof/>
        </w:rPr>
        <w:lastRenderedPageBreak/>
        <w:t>Table of contents</w:t>
      </w:r>
    </w:p>
    <w:p w14:paraId="44DD8491" w14:textId="71D43E51" w:rsidR="009F2273" w:rsidRPr="00542EB9" w:rsidRDefault="009F2273">
      <w:pPr>
        <w:pStyle w:val="TOC1"/>
        <w:rPr>
          <w:rFonts w:asciiTheme="minorHAnsi" w:eastAsiaTheme="minorEastAsia" w:hAnsiTheme="minorHAnsi" w:cstheme="minorBidi"/>
          <w:caps w:val="0"/>
          <w:noProof/>
          <w:kern w:val="2"/>
          <w:sz w:val="24"/>
          <w:szCs w:val="24"/>
          <w:lang w:eastAsia="en-GB"/>
          <w14:ligatures w14:val="standardContextual"/>
        </w:rPr>
      </w:pPr>
      <w:r w:rsidRPr="00542EB9">
        <w:rPr>
          <w:caps w:val="0"/>
          <w:noProof/>
        </w:rPr>
        <w:fldChar w:fldCharType="begin"/>
      </w:r>
      <w:r w:rsidRPr="00542EB9">
        <w:rPr>
          <w:caps w:val="0"/>
          <w:noProof/>
        </w:rPr>
        <w:instrText xml:space="preserve"> TOC \o "1-2" \h \z \u </w:instrText>
      </w:r>
      <w:r w:rsidRPr="00542EB9">
        <w:rPr>
          <w:caps w:val="0"/>
          <w:noProof/>
        </w:rPr>
        <w:fldChar w:fldCharType="separate"/>
      </w:r>
      <w:hyperlink w:anchor="_Toc198549033" w:history="1">
        <w:r w:rsidRPr="00542EB9">
          <w:rPr>
            <w:rStyle w:val="Hyperlink"/>
            <w:noProof/>
          </w:rPr>
          <w:t>1.</w:t>
        </w:r>
        <w:r w:rsidRPr="00542EB9">
          <w:rPr>
            <w:rFonts w:asciiTheme="minorHAnsi" w:eastAsiaTheme="minorEastAsia" w:hAnsiTheme="minorHAnsi" w:cstheme="minorBidi"/>
            <w:caps w:val="0"/>
            <w:noProof/>
            <w:kern w:val="2"/>
            <w:sz w:val="24"/>
            <w:szCs w:val="24"/>
            <w:lang w:eastAsia="en-GB"/>
            <w14:ligatures w14:val="standardContextual"/>
          </w:rPr>
          <w:tab/>
        </w:r>
        <w:r w:rsidRPr="00542EB9">
          <w:rPr>
            <w:rStyle w:val="Hyperlink"/>
            <w:noProof/>
          </w:rPr>
          <w:t>Introduction: Political and legal context</w:t>
        </w:r>
        <w:r w:rsidRPr="00542EB9">
          <w:rPr>
            <w:noProof/>
            <w:webHidden/>
          </w:rPr>
          <w:tab/>
        </w:r>
        <w:r w:rsidRPr="00542EB9">
          <w:rPr>
            <w:noProof/>
            <w:webHidden/>
          </w:rPr>
          <w:fldChar w:fldCharType="begin"/>
        </w:r>
        <w:r w:rsidRPr="00542EB9">
          <w:rPr>
            <w:noProof/>
            <w:webHidden/>
          </w:rPr>
          <w:instrText xml:space="preserve"> PAGEREF _Toc198549033 \h </w:instrText>
        </w:r>
        <w:r w:rsidRPr="00542EB9">
          <w:rPr>
            <w:noProof/>
            <w:webHidden/>
          </w:rPr>
        </w:r>
        <w:r w:rsidRPr="00542EB9">
          <w:rPr>
            <w:noProof/>
            <w:webHidden/>
          </w:rPr>
          <w:fldChar w:fldCharType="separate"/>
        </w:r>
        <w:r w:rsidR="00594BB2">
          <w:rPr>
            <w:noProof/>
            <w:webHidden/>
          </w:rPr>
          <w:t>4</w:t>
        </w:r>
        <w:r w:rsidRPr="00542EB9">
          <w:rPr>
            <w:noProof/>
            <w:webHidden/>
          </w:rPr>
          <w:fldChar w:fldCharType="end"/>
        </w:r>
      </w:hyperlink>
    </w:p>
    <w:p w14:paraId="01338645" w14:textId="18974B09"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34" w:history="1">
        <w:r w:rsidR="009F2273" w:rsidRPr="00542EB9">
          <w:rPr>
            <w:rStyle w:val="Hyperlink"/>
            <w:noProof/>
          </w:rPr>
          <w:t>1.1.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Political and legal context</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_Toc198549034 \h </w:instrText>
        </w:r>
        <w:r w:rsidR="009F2273" w:rsidRPr="00542EB9">
          <w:rPr>
            <w:noProof/>
            <w:webHidden/>
          </w:rPr>
        </w:r>
        <w:r w:rsidR="009F2273" w:rsidRPr="00542EB9">
          <w:rPr>
            <w:noProof/>
            <w:webHidden/>
          </w:rPr>
          <w:fldChar w:fldCharType="separate"/>
        </w:r>
        <w:r w:rsidR="00594BB2">
          <w:rPr>
            <w:noProof/>
            <w:webHidden/>
          </w:rPr>
          <w:t>4</w:t>
        </w:r>
        <w:r w:rsidR="009F2273" w:rsidRPr="00542EB9">
          <w:rPr>
            <w:noProof/>
            <w:webHidden/>
          </w:rPr>
          <w:fldChar w:fldCharType="end"/>
        </w:r>
      </w:hyperlink>
    </w:p>
    <w:p w14:paraId="30B2C582" w14:textId="7B710D57"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35" w:history="1">
        <w:r w:rsidR="009F2273" w:rsidRPr="00542EB9">
          <w:rPr>
            <w:rStyle w:val="Hyperlink"/>
            <w:noProof/>
          </w:rPr>
          <w:t>1.2.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Scope of this impact assessment</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_Toc198549035 \h </w:instrText>
        </w:r>
        <w:r w:rsidR="009F2273" w:rsidRPr="00542EB9">
          <w:rPr>
            <w:noProof/>
            <w:webHidden/>
          </w:rPr>
        </w:r>
        <w:r w:rsidR="009F2273" w:rsidRPr="00542EB9">
          <w:rPr>
            <w:noProof/>
            <w:webHidden/>
          </w:rPr>
          <w:fldChar w:fldCharType="separate"/>
        </w:r>
        <w:r w:rsidR="00594BB2">
          <w:rPr>
            <w:noProof/>
            <w:webHidden/>
          </w:rPr>
          <w:t>9</w:t>
        </w:r>
        <w:r w:rsidR="009F2273" w:rsidRPr="00542EB9">
          <w:rPr>
            <w:noProof/>
            <w:webHidden/>
          </w:rPr>
          <w:fldChar w:fldCharType="end"/>
        </w:r>
      </w:hyperlink>
    </w:p>
    <w:p w14:paraId="554FC7CB" w14:textId="64CC6288"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36" w:history="1">
        <w:r w:rsidR="009F2273" w:rsidRPr="00542EB9">
          <w:rPr>
            <w:rStyle w:val="Hyperlink"/>
            <w:noProof/>
          </w:rPr>
          <w:t>2.</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Problem definition</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_Toc198549036 \h </w:instrText>
        </w:r>
        <w:r w:rsidR="009F2273" w:rsidRPr="00542EB9">
          <w:rPr>
            <w:noProof/>
            <w:webHidden/>
          </w:rPr>
        </w:r>
        <w:r w:rsidR="009F2273" w:rsidRPr="00542EB9">
          <w:rPr>
            <w:noProof/>
            <w:webHidden/>
          </w:rPr>
          <w:fldChar w:fldCharType="separate"/>
        </w:r>
        <w:r w:rsidR="00594BB2">
          <w:rPr>
            <w:noProof/>
            <w:webHidden/>
          </w:rPr>
          <w:t>11</w:t>
        </w:r>
        <w:r w:rsidR="009F2273" w:rsidRPr="00542EB9">
          <w:rPr>
            <w:noProof/>
            <w:webHidden/>
          </w:rPr>
          <w:fldChar w:fldCharType="end"/>
        </w:r>
      </w:hyperlink>
    </w:p>
    <w:p w14:paraId="70B0AB98" w14:textId="10388FF6"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37" w:history="1">
        <w:r w:rsidR="009F2273" w:rsidRPr="00542EB9">
          <w:rPr>
            <w:rStyle w:val="Hyperlink"/>
            <w:noProof/>
          </w:rPr>
          <w:t>2.1.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What are the problems?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_Toc198549037 \h </w:instrText>
        </w:r>
        <w:r w:rsidR="009F2273" w:rsidRPr="00542EB9">
          <w:rPr>
            <w:noProof/>
            <w:webHidden/>
          </w:rPr>
        </w:r>
        <w:r w:rsidR="009F2273" w:rsidRPr="00542EB9">
          <w:rPr>
            <w:noProof/>
            <w:webHidden/>
          </w:rPr>
          <w:fldChar w:fldCharType="separate"/>
        </w:r>
        <w:r w:rsidR="00594BB2">
          <w:rPr>
            <w:noProof/>
            <w:webHidden/>
          </w:rPr>
          <w:t>11</w:t>
        </w:r>
        <w:r w:rsidR="009F2273" w:rsidRPr="00542EB9">
          <w:rPr>
            <w:noProof/>
            <w:webHidden/>
          </w:rPr>
          <w:fldChar w:fldCharType="end"/>
        </w:r>
      </w:hyperlink>
    </w:p>
    <w:p w14:paraId="44B3DD81" w14:textId="07449EBD"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38" w:history="1">
        <w:r w:rsidR="009F2273" w:rsidRPr="00542EB9">
          <w:rPr>
            <w:rStyle w:val="Hyperlink"/>
            <w:noProof/>
          </w:rPr>
          <w:t>2.2.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What are the problem drivers?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_Toc198549038 \h </w:instrText>
        </w:r>
        <w:r w:rsidR="009F2273" w:rsidRPr="00542EB9">
          <w:rPr>
            <w:noProof/>
            <w:webHidden/>
          </w:rPr>
        </w:r>
        <w:r w:rsidR="009F2273" w:rsidRPr="00542EB9">
          <w:rPr>
            <w:noProof/>
            <w:webHidden/>
          </w:rPr>
          <w:fldChar w:fldCharType="separate"/>
        </w:r>
        <w:r w:rsidR="00594BB2">
          <w:rPr>
            <w:noProof/>
            <w:webHidden/>
          </w:rPr>
          <w:t>13</w:t>
        </w:r>
        <w:r w:rsidR="009F2273" w:rsidRPr="00542EB9">
          <w:rPr>
            <w:noProof/>
            <w:webHidden/>
          </w:rPr>
          <w:fldChar w:fldCharType="end"/>
        </w:r>
      </w:hyperlink>
    </w:p>
    <w:p w14:paraId="43457E4C" w14:textId="4F6BEC00"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39" w:history="1">
        <w:r w:rsidR="009F2273" w:rsidRPr="00542EB9">
          <w:rPr>
            <w:rStyle w:val="Hyperlink"/>
            <w:noProof/>
          </w:rPr>
          <w:t>2.3.</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How likely is the problem to persist?</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_Toc198549039 \h </w:instrText>
        </w:r>
        <w:r w:rsidR="009F2273" w:rsidRPr="00542EB9">
          <w:rPr>
            <w:noProof/>
            <w:webHidden/>
          </w:rPr>
        </w:r>
        <w:r w:rsidR="009F2273" w:rsidRPr="00542EB9">
          <w:rPr>
            <w:noProof/>
            <w:webHidden/>
          </w:rPr>
          <w:fldChar w:fldCharType="separate"/>
        </w:r>
        <w:r w:rsidR="00594BB2">
          <w:rPr>
            <w:noProof/>
            <w:webHidden/>
          </w:rPr>
          <w:t>30</w:t>
        </w:r>
        <w:r w:rsidR="009F2273" w:rsidRPr="00542EB9">
          <w:rPr>
            <w:noProof/>
            <w:webHidden/>
          </w:rPr>
          <w:fldChar w:fldCharType="end"/>
        </w:r>
      </w:hyperlink>
    </w:p>
    <w:p w14:paraId="5C0AFAAE" w14:textId="721D80C3"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40" w:history="1">
        <w:r w:rsidR="009F2273" w:rsidRPr="00542EB9">
          <w:rPr>
            <w:rStyle w:val="Hyperlink"/>
            <w:noProof/>
          </w:rPr>
          <w:t>3.</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Why should the EU act?</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_Toc198549040 \h </w:instrText>
        </w:r>
        <w:r w:rsidR="009F2273" w:rsidRPr="00542EB9">
          <w:rPr>
            <w:noProof/>
            <w:webHidden/>
          </w:rPr>
        </w:r>
        <w:r w:rsidR="009F2273" w:rsidRPr="00542EB9">
          <w:rPr>
            <w:noProof/>
            <w:webHidden/>
          </w:rPr>
          <w:fldChar w:fldCharType="separate"/>
        </w:r>
        <w:r w:rsidR="00594BB2">
          <w:rPr>
            <w:noProof/>
            <w:webHidden/>
          </w:rPr>
          <w:t>31</w:t>
        </w:r>
        <w:r w:rsidR="009F2273" w:rsidRPr="00542EB9">
          <w:rPr>
            <w:noProof/>
            <w:webHidden/>
          </w:rPr>
          <w:fldChar w:fldCharType="end"/>
        </w:r>
      </w:hyperlink>
    </w:p>
    <w:p w14:paraId="2C3FD395" w14:textId="1A34DE68"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1" w:history="1">
        <w:r w:rsidR="009F2273" w:rsidRPr="00542EB9">
          <w:rPr>
            <w:rStyle w:val="Hyperlink"/>
            <w:noProof/>
          </w:rPr>
          <w:t>3.1.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Legal basis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_Toc198549041 \h </w:instrText>
        </w:r>
        <w:r w:rsidR="009F2273" w:rsidRPr="00542EB9">
          <w:rPr>
            <w:noProof/>
            <w:webHidden/>
          </w:rPr>
        </w:r>
        <w:r w:rsidR="009F2273" w:rsidRPr="00542EB9">
          <w:rPr>
            <w:noProof/>
            <w:webHidden/>
          </w:rPr>
          <w:fldChar w:fldCharType="separate"/>
        </w:r>
        <w:r w:rsidR="00594BB2">
          <w:rPr>
            <w:noProof/>
            <w:webHidden/>
          </w:rPr>
          <w:t>31</w:t>
        </w:r>
        <w:r w:rsidR="009F2273" w:rsidRPr="00542EB9">
          <w:rPr>
            <w:noProof/>
            <w:webHidden/>
          </w:rPr>
          <w:fldChar w:fldCharType="end"/>
        </w:r>
      </w:hyperlink>
    </w:p>
    <w:p w14:paraId="27A4C3F6" w14:textId="67086CB6"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2" w:history="1">
        <w:r w:rsidR="009F2273" w:rsidRPr="00542EB9">
          <w:rPr>
            <w:rStyle w:val="Hyperlink"/>
            <w:noProof/>
          </w:rPr>
          <w:t>3.2.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Subsidiarity: Necessity of EU action</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_Toc198549042 \h </w:instrText>
        </w:r>
        <w:r w:rsidR="009F2273" w:rsidRPr="00542EB9">
          <w:rPr>
            <w:noProof/>
            <w:webHidden/>
          </w:rPr>
        </w:r>
        <w:r w:rsidR="009F2273" w:rsidRPr="00542EB9">
          <w:rPr>
            <w:noProof/>
            <w:webHidden/>
          </w:rPr>
          <w:fldChar w:fldCharType="separate"/>
        </w:r>
        <w:r w:rsidR="00594BB2">
          <w:rPr>
            <w:noProof/>
            <w:webHidden/>
          </w:rPr>
          <w:t>31</w:t>
        </w:r>
        <w:r w:rsidR="009F2273" w:rsidRPr="00542EB9">
          <w:rPr>
            <w:noProof/>
            <w:webHidden/>
          </w:rPr>
          <w:fldChar w:fldCharType="end"/>
        </w:r>
      </w:hyperlink>
    </w:p>
    <w:p w14:paraId="76FE7D1F" w14:textId="2340E36E"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3" w:history="1">
        <w:r w:rsidR="009F2273" w:rsidRPr="00542EB9">
          <w:rPr>
            <w:rStyle w:val="Hyperlink"/>
            <w:noProof/>
          </w:rPr>
          <w:t>3.3.</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Subsidiarity: Added value of EU action</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_Toc198549043 \h </w:instrText>
        </w:r>
        <w:r w:rsidR="009F2273" w:rsidRPr="00542EB9">
          <w:rPr>
            <w:noProof/>
            <w:webHidden/>
          </w:rPr>
        </w:r>
        <w:r w:rsidR="009F2273" w:rsidRPr="00542EB9">
          <w:rPr>
            <w:noProof/>
            <w:webHidden/>
          </w:rPr>
          <w:fldChar w:fldCharType="separate"/>
        </w:r>
        <w:r w:rsidR="00594BB2">
          <w:rPr>
            <w:noProof/>
            <w:webHidden/>
          </w:rPr>
          <w:t>34</w:t>
        </w:r>
        <w:r w:rsidR="009F2273" w:rsidRPr="00542EB9">
          <w:rPr>
            <w:noProof/>
            <w:webHidden/>
          </w:rPr>
          <w:fldChar w:fldCharType="end"/>
        </w:r>
      </w:hyperlink>
    </w:p>
    <w:p w14:paraId="1C12F66A" w14:textId="3F9F014E"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44" w:history="1">
        <w:r w:rsidR="009F2273" w:rsidRPr="00542EB9">
          <w:rPr>
            <w:rStyle w:val="Hyperlink"/>
            <w:noProof/>
          </w:rPr>
          <w:t>4.</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Objectives: What is to be achieved?</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_Toc198549044 \h </w:instrText>
        </w:r>
        <w:r w:rsidR="009F2273" w:rsidRPr="00542EB9">
          <w:rPr>
            <w:noProof/>
            <w:webHidden/>
          </w:rPr>
        </w:r>
        <w:r w:rsidR="009F2273" w:rsidRPr="00542EB9">
          <w:rPr>
            <w:noProof/>
            <w:webHidden/>
          </w:rPr>
          <w:fldChar w:fldCharType="separate"/>
        </w:r>
        <w:r w:rsidR="00594BB2">
          <w:rPr>
            <w:noProof/>
            <w:webHidden/>
          </w:rPr>
          <w:t>36</w:t>
        </w:r>
        <w:r w:rsidR="009F2273" w:rsidRPr="00542EB9">
          <w:rPr>
            <w:noProof/>
            <w:webHidden/>
          </w:rPr>
          <w:fldChar w:fldCharType="end"/>
        </w:r>
      </w:hyperlink>
    </w:p>
    <w:p w14:paraId="1E840691" w14:textId="2B739906"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5" w:history="1">
        <w:r w:rsidR="009F2273" w:rsidRPr="00542EB9">
          <w:rPr>
            <w:rStyle w:val="Hyperlink"/>
            <w:noProof/>
          </w:rPr>
          <w:t>4.1.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General objectives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_Toc198549045 \h </w:instrText>
        </w:r>
        <w:r w:rsidR="009F2273" w:rsidRPr="00542EB9">
          <w:rPr>
            <w:noProof/>
            <w:webHidden/>
          </w:rPr>
        </w:r>
        <w:r w:rsidR="009F2273" w:rsidRPr="00542EB9">
          <w:rPr>
            <w:noProof/>
            <w:webHidden/>
          </w:rPr>
          <w:fldChar w:fldCharType="separate"/>
        </w:r>
        <w:r w:rsidR="00594BB2">
          <w:rPr>
            <w:noProof/>
            <w:webHidden/>
          </w:rPr>
          <w:t>36</w:t>
        </w:r>
        <w:r w:rsidR="009F2273" w:rsidRPr="00542EB9">
          <w:rPr>
            <w:noProof/>
            <w:webHidden/>
          </w:rPr>
          <w:fldChar w:fldCharType="end"/>
        </w:r>
      </w:hyperlink>
    </w:p>
    <w:p w14:paraId="49FCBC25" w14:textId="15C03871"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6" w:history="1">
        <w:r w:rsidR="009F2273" w:rsidRPr="00542EB9">
          <w:rPr>
            <w:rStyle w:val="Hyperlink"/>
            <w:noProof/>
          </w:rPr>
          <w:t>4.2.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Specific objectives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_Toc198549046 \h </w:instrText>
        </w:r>
        <w:r w:rsidR="009F2273" w:rsidRPr="00542EB9">
          <w:rPr>
            <w:noProof/>
            <w:webHidden/>
          </w:rPr>
        </w:r>
        <w:r w:rsidR="009F2273" w:rsidRPr="00542EB9">
          <w:rPr>
            <w:noProof/>
            <w:webHidden/>
          </w:rPr>
          <w:fldChar w:fldCharType="separate"/>
        </w:r>
        <w:r w:rsidR="00594BB2">
          <w:rPr>
            <w:noProof/>
            <w:webHidden/>
          </w:rPr>
          <w:t>36</w:t>
        </w:r>
        <w:r w:rsidR="009F2273" w:rsidRPr="00542EB9">
          <w:rPr>
            <w:noProof/>
            <w:webHidden/>
          </w:rPr>
          <w:fldChar w:fldCharType="end"/>
        </w:r>
      </w:hyperlink>
    </w:p>
    <w:p w14:paraId="7FCABE9D" w14:textId="1FCD635F"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7" w:history="1">
        <w:r w:rsidR="009F2273" w:rsidRPr="00542EB9">
          <w:rPr>
            <w:rStyle w:val="Hyperlink"/>
            <w:noProof/>
          </w:rPr>
          <w:t>4.3.</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Problem tree</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_Toc198549047 \h </w:instrText>
        </w:r>
        <w:r w:rsidR="009F2273" w:rsidRPr="00542EB9">
          <w:rPr>
            <w:noProof/>
            <w:webHidden/>
          </w:rPr>
        </w:r>
        <w:r w:rsidR="009F2273" w:rsidRPr="00542EB9">
          <w:rPr>
            <w:noProof/>
            <w:webHidden/>
          </w:rPr>
          <w:fldChar w:fldCharType="separate"/>
        </w:r>
        <w:r w:rsidR="00594BB2">
          <w:rPr>
            <w:noProof/>
            <w:webHidden/>
          </w:rPr>
          <w:t>37</w:t>
        </w:r>
        <w:r w:rsidR="009F2273" w:rsidRPr="00542EB9">
          <w:rPr>
            <w:noProof/>
            <w:webHidden/>
          </w:rPr>
          <w:fldChar w:fldCharType="end"/>
        </w:r>
      </w:hyperlink>
    </w:p>
    <w:p w14:paraId="1FFF91CF" w14:textId="6FBA50EF"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48" w:history="1">
        <w:r w:rsidR="009F2273" w:rsidRPr="00542EB9">
          <w:rPr>
            <w:rStyle w:val="Hyperlink"/>
            <w:noProof/>
          </w:rPr>
          <w:t>5.</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What are the available policy options?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_Toc198549048 \h </w:instrText>
        </w:r>
        <w:r w:rsidR="009F2273" w:rsidRPr="00542EB9">
          <w:rPr>
            <w:noProof/>
            <w:webHidden/>
          </w:rPr>
        </w:r>
        <w:r w:rsidR="009F2273" w:rsidRPr="00542EB9">
          <w:rPr>
            <w:noProof/>
            <w:webHidden/>
          </w:rPr>
          <w:fldChar w:fldCharType="separate"/>
        </w:r>
        <w:r w:rsidR="00594BB2">
          <w:rPr>
            <w:noProof/>
            <w:webHidden/>
          </w:rPr>
          <w:t>38</w:t>
        </w:r>
        <w:r w:rsidR="009F2273" w:rsidRPr="00542EB9">
          <w:rPr>
            <w:noProof/>
            <w:webHidden/>
          </w:rPr>
          <w:fldChar w:fldCharType="end"/>
        </w:r>
      </w:hyperlink>
    </w:p>
    <w:p w14:paraId="2A8986F2" w14:textId="30CC9F6E"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49" w:history="1">
        <w:r w:rsidR="009F2273" w:rsidRPr="00542EB9">
          <w:rPr>
            <w:rStyle w:val="Hyperlink"/>
            <w:noProof/>
          </w:rPr>
          <w:t>5.1.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What is the baseline from which options are assessed?</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_Toc198549049 \h </w:instrText>
        </w:r>
        <w:r w:rsidR="009F2273" w:rsidRPr="00542EB9">
          <w:rPr>
            <w:noProof/>
            <w:webHidden/>
          </w:rPr>
        </w:r>
        <w:r w:rsidR="009F2273" w:rsidRPr="00542EB9">
          <w:rPr>
            <w:noProof/>
            <w:webHidden/>
          </w:rPr>
          <w:fldChar w:fldCharType="separate"/>
        </w:r>
        <w:r w:rsidR="00594BB2">
          <w:rPr>
            <w:noProof/>
            <w:webHidden/>
          </w:rPr>
          <w:t>38</w:t>
        </w:r>
        <w:r w:rsidR="009F2273" w:rsidRPr="00542EB9">
          <w:rPr>
            <w:noProof/>
            <w:webHidden/>
          </w:rPr>
          <w:fldChar w:fldCharType="end"/>
        </w:r>
      </w:hyperlink>
    </w:p>
    <w:p w14:paraId="790AB618" w14:textId="503B7C23"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0" w:history="1">
        <w:r w:rsidR="009F2273" w:rsidRPr="00542EB9">
          <w:rPr>
            <w:rStyle w:val="Hyperlink"/>
            <w:noProof/>
          </w:rPr>
          <w:t>5.2.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Description of the policy options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_Toc198549050 \h </w:instrText>
        </w:r>
        <w:r w:rsidR="009F2273" w:rsidRPr="00542EB9">
          <w:rPr>
            <w:noProof/>
            <w:webHidden/>
          </w:rPr>
        </w:r>
        <w:r w:rsidR="009F2273" w:rsidRPr="00542EB9">
          <w:rPr>
            <w:noProof/>
            <w:webHidden/>
          </w:rPr>
          <w:fldChar w:fldCharType="separate"/>
        </w:r>
        <w:r w:rsidR="00594BB2">
          <w:rPr>
            <w:noProof/>
            <w:webHidden/>
          </w:rPr>
          <w:t>40</w:t>
        </w:r>
        <w:r w:rsidR="009F2273" w:rsidRPr="00542EB9">
          <w:rPr>
            <w:noProof/>
            <w:webHidden/>
          </w:rPr>
          <w:fldChar w:fldCharType="end"/>
        </w:r>
      </w:hyperlink>
    </w:p>
    <w:p w14:paraId="2AF8C229" w14:textId="10DAE6DA"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51" w:history="1">
        <w:r w:rsidR="009F2273" w:rsidRPr="00542EB9">
          <w:rPr>
            <w:rStyle w:val="Hyperlink"/>
            <w:noProof/>
          </w:rPr>
          <w:t>6.</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What are the impacts of the policy options?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_Toc198549051 \h </w:instrText>
        </w:r>
        <w:r w:rsidR="009F2273" w:rsidRPr="00542EB9">
          <w:rPr>
            <w:noProof/>
            <w:webHidden/>
          </w:rPr>
        </w:r>
        <w:r w:rsidR="009F2273" w:rsidRPr="00542EB9">
          <w:rPr>
            <w:noProof/>
            <w:webHidden/>
          </w:rPr>
          <w:fldChar w:fldCharType="separate"/>
        </w:r>
        <w:r w:rsidR="00594BB2">
          <w:rPr>
            <w:noProof/>
            <w:webHidden/>
          </w:rPr>
          <w:t>41</w:t>
        </w:r>
        <w:r w:rsidR="009F2273" w:rsidRPr="00542EB9">
          <w:rPr>
            <w:noProof/>
            <w:webHidden/>
          </w:rPr>
          <w:fldChar w:fldCharType="end"/>
        </w:r>
      </w:hyperlink>
    </w:p>
    <w:p w14:paraId="243D7A16" w14:textId="28BDEE99"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2" w:history="1">
        <w:r w:rsidR="009F2273" w:rsidRPr="00542EB9">
          <w:rPr>
            <w:rStyle w:val="Hyperlink"/>
            <w:noProof/>
          </w:rPr>
          <w:t>6.1.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Integrated scenario</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_Toc198549052 \h </w:instrText>
        </w:r>
        <w:r w:rsidR="009F2273" w:rsidRPr="00542EB9">
          <w:rPr>
            <w:noProof/>
            <w:webHidden/>
          </w:rPr>
        </w:r>
        <w:r w:rsidR="009F2273" w:rsidRPr="00542EB9">
          <w:rPr>
            <w:noProof/>
            <w:webHidden/>
          </w:rPr>
          <w:fldChar w:fldCharType="separate"/>
        </w:r>
        <w:r w:rsidR="00594BB2">
          <w:rPr>
            <w:noProof/>
            <w:webHidden/>
          </w:rPr>
          <w:t>41</w:t>
        </w:r>
        <w:r w:rsidR="009F2273" w:rsidRPr="00542EB9">
          <w:rPr>
            <w:noProof/>
            <w:webHidden/>
          </w:rPr>
          <w:fldChar w:fldCharType="end"/>
        </w:r>
      </w:hyperlink>
    </w:p>
    <w:p w14:paraId="658153A4" w14:textId="0ADBB3AF"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3" w:history="1">
        <w:r w:rsidR="009F2273" w:rsidRPr="00542EB9">
          <w:rPr>
            <w:rStyle w:val="Hyperlink"/>
            <w:noProof/>
          </w:rPr>
          <w:t>6.2.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Unified scenario</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_Toc198549053 \h </w:instrText>
        </w:r>
        <w:r w:rsidR="009F2273" w:rsidRPr="00542EB9">
          <w:rPr>
            <w:noProof/>
            <w:webHidden/>
          </w:rPr>
        </w:r>
        <w:r w:rsidR="009F2273" w:rsidRPr="00542EB9">
          <w:rPr>
            <w:noProof/>
            <w:webHidden/>
          </w:rPr>
          <w:fldChar w:fldCharType="separate"/>
        </w:r>
        <w:r w:rsidR="00594BB2">
          <w:rPr>
            <w:noProof/>
            <w:webHidden/>
          </w:rPr>
          <w:t>45</w:t>
        </w:r>
        <w:r w:rsidR="009F2273" w:rsidRPr="00542EB9">
          <w:rPr>
            <w:noProof/>
            <w:webHidden/>
          </w:rPr>
          <w:fldChar w:fldCharType="end"/>
        </w:r>
      </w:hyperlink>
    </w:p>
    <w:p w14:paraId="2D729684" w14:textId="04389D38"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54" w:history="1">
        <w:r w:rsidR="009F2273" w:rsidRPr="00542EB9">
          <w:rPr>
            <w:rStyle w:val="Hyperlink"/>
            <w:noProof/>
          </w:rPr>
          <w:t>7.</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How do the options compare?</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_Toc198549054 \h </w:instrText>
        </w:r>
        <w:r w:rsidR="009F2273" w:rsidRPr="00542EB9">
          <w:rPr>
            <w:noProof/>
            <w:webHidden/>
          </w:rPr>
        </w:r>
        <w:r w:rsidR="009F2273" w:rsidRPr="00542EB9">
          <w:rPr>
            <w:noProof/>
            <w:webHidden/>
          </w:rPr>
          <w:fldChar w:fldCharType="separate"/>
        </w:r>
        <w:r w:rsidR="00594BB2">
          <w:rPr>
            <w:noProof/>
            <w:webHidden/>
          </w:rPr>
          <w:t>49</w:t>
        </w:r>
        <w:r w:rsidR="009F2273" w:rsidRPr="00542EB9">
          <w:rPr>
            <w:noProof/>
            <w:webHidden/>
          </w:rPr>
          <w:fldChar w:fldCharType="end"/>
        </w:r>
      </w:hyperlink>
    </w:p>
    <w:p w14:paraId="20051AED" w14:textId="543CB735"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5" w:history="1">
        <w:r w:rsidR="009F2273" w:rsidRPr="00542EB9">
          <w:rPr>
            <w:rStyle w:val="Hyperlink"/>
            <w:noProof/>
          </w:rPr>
          <w:t>7.1.</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Effectiveness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_Toc198549055 \h </w:instrText>
        </w:r>
        <w:r w:rsidR="009F2273" w:rsidRPr="00542EB9">
          <w:rPr>
            <w:noProof/>
            <w:webHidden/>
          </w:rPr>
        </w:r>
        <w:r w:rsidR="009F2273" w:rsidRPr="00542EB9">
          <w:rPr>
            <w:noProof/>
            <w:webHidden/>
          </w:rPr>
          <w:fldChar w:fldCharType="separate"/>
        </w:r>
        <w:r w:rsidR="00594BB2">
          <w:rPr>
            <w:noProof/>
            <w:webHidden/>
          </w:rPr>
          <w:t>49</w:t>
        </w:r>
        <w:r w:rsidR="009F2273" w:rsidRPr="00542EB9">
          <w:rPr>
            <w:noProof/>
            <w:webHidden/>
          </w:rPr>
          <w:fldChar w:fldCharType="end"/>
        </w:r>
      </w:hyperlink>
    </w:p>
    <w:p w14:paraId="7EE6A8D2" w14:textId="09E55D1B"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6" w:history="1">
        <w:r w:rsidR="009F2273" w:rsidRPr="00542EB9">
          <w:rPr>
            <w:rStyle w:val="Hyperlink"/>
            <w:noProof/>
          </w:rPr>
          <w:t>7.2.</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Efficiency</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_Toc198549056 \h </w:instrText>
        </w:r>
        <w:r w:rsidR="009F2273" w:rsidRPr="00542EB9">
          <w:rPr>
            <w:noProof/>
            <w:webHidden/>
          </w:rPr>
        </w:r>
        <w:r w:rsidR="009F2273" w:rsidRPr="00542EB9">
          <w:rPr>
            <w:noProof/>
            <w:webHidden/>
          </w:rPr>
          <w:fldChar w:fldCharType="separate"/>
        </w:r>
        <w:r w:rsidR="00594BB2">
          <w:rPr>
            <w:noProof/>
            <w:webHidden/>
          </w:rPr>
          <w:t>50</w:t>
        </w:r>
        <w:r w:rsidR="009F2273" w:rsidRPr="00542EB9">
          <w:rPr>
            <w:noProof/>
            <w:webHidden/>
          </w:rPr>
          <w:fldChar w:fldCharType="end"/>
        </w:r>
      </w:hyperlink>
    </w:p>
    <w:p w14:paraId="71E77F5D" w14:textId="6C2074DA" w:rsidR="009F2273" w:rsidRPr="00542EB9" w:rsidRDefault="00112D5D">
      <w:pPr>
        <w:pStyle w:val="TOC2"/>
        <w:tabs>
          <w:tab w:val="left" w:pos="1200"/>
        </w:tabs>
        <w:rPr>
          <w:rFonts w:asciiTheme="minorHAnsi" w:eastAsiaTheme="minorEastAsia" w:hAnsiTheme="minorHAnsi" w:cstheme="minorBidi"/>
          <w:noProof/>
          <w:kern w:val="2"/>
          <w:szCs w:val="24"/>
          <w:lang w:eastAsia="en-GB"/>
          <w14:ligatures w14:val="standardContextual"/>
        </w:rPr>
      </w:pPr>
      <w:hyperlink w:anchor="_Toc198549057" w:history="1">
        <w:r w:rsidR="009F2273" w:rsidRPr="00542EB9">
          <w:rPr>
            <w:rStyle w:val="Hyperlink"/>
            <w:noProof/>
          </w:rPr>
          <w:t>7.3.</w:t>
        </w:r>
        <w:r w:rsidR="009F2273" w:rsidRPr="00542EB9">
          <w:rPr>
            <w:rFonts w:asciiTheme="minorHAnsi" w:eastAsiaTheme="minorEastAsia" w:hAnsiTheme="minorHAnsi" w:cstheme="minorBidi"/>
            <w:noProof/>
            <w:kern w:val="2"/>
            <w:szCs w:val="24"/>
            <w:lang w:eastAsia="en-GB"/>
            <w14:ligatures w14:val="standardContextual"/>
          </w:rPr>
          <w:tab/>
        </w:r>
        <w:r w:rsidR="009F2273" w:rsidRPr="00542EB9">
          <w:rPr>
            <w:rStyle w:val="Hyperlink"/>
            <w:noProof/>
          </w:rPr>
          <w:t>Coherence</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_Toc198549057 \h </w:instrText>
        </w:r>
        <w:r w:rsidR="009F2273" w:rsidRPr="00542EB9">
          <w:rPr>
            <w:noProof/>
            <w:webHidden/>
          </w:rPr>
        </w:r>
        <w:r w:rsidR="009F2273" w:rsidRPr="00542EB9">
          <w:rPr>
            <w:noProof/>
            <w:webHidden/>
          </w:rPr>
          <w:fldChar w:fldCharType="separate"/>
        </w:r>
        <w:r w:rsidR="00594BB2">
          <w:rPr>
            <w:noProof/>
            <w:webHidden/>
          </w:rPr>
          <w:t>51</w:t>
        </w:r>
        <w:r w:rsidR="009F2273" w:rsidRPr="00542EB9">
          <w:rPr>
            <w:noProof/>
            <w:webHidden/>
          </w:rPr>
          <w:fldChar w:fldCharType="end"/>
        </w:r>
      </w:hyperlink>
    </w:p>
    <w:p w14:paraId="590E1562" w14:textId="24F89EA2"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58" w:history="1">
        <w:r w:rsidR="009F2273" w:rsidRPr="00542EB9">
          <w:rPr>
            <w:rStyle w:val="Hyperlink"/>
            <w:noProof/>
          </w:rPr>
          <w:t>8.</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Preferred option</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_Toc198549058 \h </w:instrText>
        </w:r>
        <w:r w:rsidR="009F2273" w:rsidRPr="00542EB9">
          <w:rPr>
            <w:noProof/>
            <w:webHidden/>
          </w:rPr>
        </w:r>
        <w:r w:rsidR="009F2273" w:rsidRPr="00542EB9">
          <w:rPr>
            <w:noProof/>
            <w:webHidden/>
          </w:rPr>
          <w:fldChar w:fldCharType="separate"/>
        </w:r>
        <w:r w:rsidR="00594BB2">
          <w:rPr>
            <w:noProof/>
            <w:webHidden/>
          </w:rPr>
          <w:t>52</w:t>
        </w:r>
        <w:r w:rsidR="009F2273" w:rsidRPr="00542EB9">
          <w:rPr>
            <w:noProof/>
            <w:webHidden/>
          </w:rPr>
          <w:fldChar w:fldCharType="end"/>
        </w:r>
      </w:hyperlink>
    </w:p>
    <w:p w14:paraId="0C574186" w14:textId="6F60AFEE"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59" w:history="1">
        <w:r w:rsidR="009F2273" w:rsidRPr="00542EB9">
          <w:rPr>
            <w:rStyle w:val="Hyperlink"/>
            <w:noProof/>
          </w:rPr>
          <w:t>9.</w:t>
        </w:r>
        <w:r w:rsidR="009F2273" w:rsidRPr="00542EB9">
          <w:rPr>
            <w:rFonts w:asciiTheme="minorHAnsi" w:eastAsiaTheme="minorEastAsia" w:hAnsiTheme="minorHAnsi" w:cstheme="minorBidi"/>
            <w:caps w:val="0"/>
            <w:noProof/>
            <w:kern w:val="2"/>
            <w:sz w:val="24"/>
            <w:szCs w:val="24"/>
            <w:lang w:eastAsia="en-GB"/>
            <w14:ligatures w14:val="standardContextual"/>
          </w:rPr>
          <w:tab/>
        </w:r>
        <w:r w:rsidR="009F2273" w:rsidRPr="00542EB9">
          <w:rPr>
            <w:rStyle w:val="Hyperlink"/>
            <w:noProof/>
          </w:rPr>
          <w:t>How will actual impacts be monitored and evaluated?</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_Toc198549059 \h </w:instrText>
        </w:r>
        <w:r w:rsidR="009F2273" w:rsidRPr="00542EB9">
          <w:rPr>
            <w:noProof/>
            <w:webHidden/>
          </w:rPr>
        </w:r>
        <w:r w:rsidR="009F2273" w:rsidRPr="00542EB9">
          <w:rPr>
            <w:noProof/>
            <w:webHidden/>
          </w:rPr>
          <w:fldChar w:fldCharType="separate"/>
        </w:r>
        <w:r w:rsidR="00594BB2">
          <w:rPr>
            <w:noProof/>
            <w:webHidden/>
          </w:rPr>
          <w:t>54</w:t>
        </w:r>
        <w:r w:rsidR="009F2273" w:rsidRPr="00542EB9">
          <w:rPr>
            <w:noProof/>
            <w:webHidden/>
          </w:rPr>
          <w:fldChar w:fldCharType="end"/>
        </w:r>
      </w:hyperlink>
    </w:p>
    <w:p w14:paraId="0A795AE5" w14:textId="15EDE565"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60" w:history="1">
        <w:r w:rsidR="009F2273" w:rsidRPr="00542EB9">
          <w:rPr>
            <w:rStyle w:val="Hyperlink"/>
            <w:noProof/>
          </w:rPr>
          <w:t>Annex 1: Procedural information</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_Toc198549060 \h </w:instrText>
        </w:r>
        <w:r w:rsidR="009F2273" w:rsidRPr="00542EB9">
          <w:rPr>
            <w:noProof/>
            <w:webHidden/>
          </w:rPr>
        </w:r>
        <w:r w:rsidR="009F2273" w:rsidRPr="00542EB9">
          <w:rPr>
            <w:noProof/>
            <w:webHidden/>
          </w:rPr>
          <w:fldChar w:fldCharType="separate"/>
        </w:r>
        <w:r w:rsidR="00594BB2">
          <w:rPr>
            <w:noProof/>
            <w:webHidden/>
          </w:rPr>
          <w:t>54</w:t>
        </w:r>
        <w:r w:rsidR="009F2273" w:rsidRPr="00542EB9">
          <w:rPr>
            <w:noProof/>
            <w:webHidden/>
          </w:rPr>
          <w:fldChar w:fldCharType="end"/>
        </w:r>
      </w:hyperlink>
    </w:p>
    <w:p w14:paraId="60810CB9" w14:textId="49861D09"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65" w:history="1">
        <w:r w:rsidR="009F2273" w:rsidRPr="00542EB9">
          <w:rPr>
            <w:rStyle w:val="Hyperlink"/>
            <w:noProof/>
          </w:rPr>
          <w:t>Annex 2: Stakeholder consultation (Synopsis report)</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_Toc198549065 \h </w:instrText>
        </w:r>
        <w:r w:rsidR="009F2273" w:rsidRPr="00542EB9">
          <w:rPr>
            <w:noProof/>
            <w:webHidden/>
          </w:rPr>
        </w:r>
        <w:r w:rsidR="009F2273" w:rsidRPr="00542EB9">
          <w:rPr>
            <w:noProof/>
            <w:webHidden/>
          </w:rPr>
          <w:fldChar w:fldCharType="separate"/>
        </w:r>
        <w:r w:rsidR="00594BB2">
          <w:rPr>
            <w:noProof/>
            <w:webHidden/>
          </w:rPr>
          <w:t>60</w:t>
        </w:r>
        <w:r w:rsidR="009F2273" w:rsidRPr="00542EB9">
          <w:rPr>
            <w:noProof/>
            <w:webHidden/>
          </w:rPr>
          <w:fldChar w:fldCharType="end"/>
        </w:r>
      </w:hyperlink>
    </w:p>
    <w:p w14:paraId="52DCDFB1" w14:textId="6CDA4052"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74" w:history="1">
        <w:r w:rsidR="009F2273" w:rsidRPr="00542EB9">
          <w:rPr>
            <w:rStyle w:val="Hyperlink"/>
            <w:noProof/>
          </w:rPr>
          <w:t>Annex 3: Who is affected and how?</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_Toc198549074 \h </w:instrText>
        </w:r>
        <w:r w:rsidR="009F2273" w:rsidRPr="00542EB9">
          <w:rPr>
            <w:noProof/>
            <w:webHidden/>
          </w:rPr>
        </w:r>
        <w:r w:rsidR="009F2273" w:rsidRPr="00542EB9">
          <w:rPr>
            <w:noProof/>
            <w:webHidden/>
          </w:rPr>
          <w:fldChar w:fldCharType="separate"/>
        </w:r>
        <w:r w:rsidR="00594BB2">
          <w:rPr>
            <w:noProof/>
            <w:webHidden/>
          </w:rPr>
          <w:t>74</w:t>
        </w:r>
        <w:r w:rsidR="009F2273" w:rsidRPr="00542EB9">
          <w:rPr>
            <w:noProof/>
            <w:webHidden/>
          </w:rPr>
          <w:fldChar w:fldCharType="end"/>
        </w:r>
      </w:hyperlink>
    </w:p>
    <w:p w14:paraId="7F02C2BF" w14:textId="0D64608F"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78" w:history="1">
        <w:r w:rsidR="009F2273" w:rsidRPr="00542EB9">
          <w:rPr>
            <w:rStyle w:val="Hyperlink"/>
            <w:noProof/>
          </w:rPr>
          <w:t>Annex 4: Analytical methods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_Toc198549078 \h </w:instrText>
        </w:r>
        <w:r w:rsidR="009F2273" w:rsidRPr="00542EB9">
          <w:rPr>
            <w:noProof/>
            <w:webHidden/>
          </w:rPr>
        </w:r>
        <w:r w:rsidR="009F2273" w:rsidRPr="00542EB9">
          <w:rPr>
            <w:noProof/>
            <w:webHidden/>
          </w:rPr>
          <w:fldChar w:fldCharType="separate"/>
        </w:r>
        <w:r w:rsidR="00594BB2">
          <w:rPr>
            <w:noProof/>
            <w:webHidden/>
          </w:rPr>
          <w:t>81</w:t>
        </w:r>
        <w:r w:rsidR="009F2273" w:rsidRPr="00542EB9">
          <w:rPr>
            <w:noProof/>
            <w:webHidden/>
          </w:rPr>
          <w:fldChar w:fldCharType="end"/>
        </w:r>
      </w:hyperlink>
    </w:p>
    <w:p w14:paraId="27F61E3D" w14:textId="44F07197"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79" w:history="1">
        <w:r w:rsidR="009F2273" w:rsidRPr="00542EB9">
          <w:rPr>
            <w:rStyle w:val="Hyperlink"/>
            <w:noProof/>
          </w:rPr>
          <w:t>Annex 5: Competitiveness check</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_Toc198549079 \h </w:instrText>
        </w:r>
        <w:r w:rsidR="009F2273" w:rsidRPr="00542EB9">
          <w:rPr>
            <w:noProof/>
            <w:webHidden/>
          </w:rPr>
        </w:r>
        <w:r w:rsidR="009F2273" w:rsidRPr="00542EB9">
          <w:rPr>
            <w:noProof/>
            <w:webHidden/>
          </w:rPr>
          <w:fldChar w:fldCharType="separate"/>
        </w:r>
        <w:r w:rsidR="00594BB2">
          <w:rPr>
            <w:noProof/>
            <w:webHidden/>
          </w:rPr>
          <w:t>83</w:t>
        </w:r>
        <w:r w:rsidR="009F2273" w:rsidRPr="00542EB9">
          <w:rPr>
            <w:noProof/>
            <w:webHidden/>
          </w:rPr>
          <w:fldChar w:fldCharType="end"/>
        </w:r>
      </w:hyperlink>
    </w:p>
    <w:p w14:paraId="092B6D0F" w14:textId="2EAA25D8"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83" w:history="1">
        <w:r w:rsidR="009F2273" w:rsidRPr="00542EB9">
          <w:rPr>
            <w:rStyle w:val="Hyperlink"/>
            <w:noProof/>
          </w:rPr>
          <w:t>Annex 6: SME Check</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_Toc198549083 \h </w:instrText>
        </w:r>
        <w:r w:rsidR="009F2273" w:rsidRPr="00542EB9">
          <w:rPr>
            <w:noProof/>
            <w:webHidden/>
          </w:rPr>
        </w:r>
        <w:r w:rsidR="009F2273" w:rsidRPr="00542EB9">
          <w:rPr>
            <w:noProof/>
            <w:webHidden/>
          </w:rPr>
          <w:fldChar w:fldCharType="separate"/>
        </w:r>
        <w:r w:rsidR="00594BB2">
          <w:rPr>
            <w:noProof/>
            <w:webHidden/>
          </w:rPr>
          <w:t>84</w:t>
        </w:r>
        <w:r w:rsidR="009F2273" w:rsidRPr="00542EB9">
          <w:rPr>
            <w:noProof/>
            <w:webHidden/>
          </w:rPr>
          <w:fldChar w:fldCharType="end"/>
        </w:r>
      </w:hyperlink>
    </w:p>
    <w:p w14:paraId="6203955D" w14:textId="0D3F678E" w:rsidR="009F2273" w:rsidRPr="00542EB9" w:rsidRDefault="00112D5D">
      <w:pPr>
        <w:pStyle w:val="TOC1"/>
        <w:rPr>
          <w:rFonts w:asciiTheme="minorHAnsi" w:eastAsiaTheme="minorEastAsia" w:hAnsiTheme="minorHAnsi" w:cstheme="minorBidi"/>
          <w:caps w:val="0"/>
          <w:noProof/>
          <w:kern w:val="2"/>
          <w:sz w:val="24"/>
          <w:szCs w:val="24"/>
          <w:lang w:eastAsia="en-GB"/>
          <w14:ligatures w14:val="standardContextual"/>
        </w:rPr>
      </w:pPr>
      <w:hyperlink w:anchor="_Toc198549084" w:history="1">
        <w:r w:rsidR="009F2273" w:rsidRPr="00542EB9">
          <w:rPr>
            <w:rStyle w:val="Hyperlink"/>
            <w:noProof/>
          </w:rPr>
          <w:t>Annex 7: Problem Drivers in the Context of the single market, Customs Union, Taxation and Anti-Fraud Policy Domains</w:t>
        </w:r>
        <w:r w:rsidR="009F2273" w:rsidRPr="00542EB9">
          <w:rPr>
            <w:noProof/>
            <w:webHidden/>
          </w:rPr>
          <w:tab/>
        </w:r>
        <w:r w:rsidR="009F2273" w:rsidRPr="00542EB9">
          <w:rPr>
            <w:noProof/>
            <w:webHidden/>
          </w:rPr>
          <w:fldChar w:fldCharType="begin"/>
        </w:r>
        <w:r w:rsidR="009F2273" w:rsidRPr="00542EB9">
          <w:rPr>
            <w:noProof/>
            <w:webHidden/>
          </w:rPr>
          <w:instrText xml:space="preserve"> PAGEREF _Toc198549084 \h </w:instrText>
        </w:r>
        <w:r w:rsidR="009F2273" w:rsidRPr="00542EB9">
          <w:rPr>
            <w:noProof/>
            <w:webHidden/>
          </w:rPr>
        </w:r>
        <w:r w:rsidR="009F2273" w:rsidRPr="00542EB9">
          <w:rPr>
            <w:noProof/>
            <w:webHidden/>
          </w:rPr>
          <w:fldChar w:fldCharType="separate"/>
        </w:r>
        <w:r w:rsidR="00594BB2">
          <w:rPr>
            <w:noProof/>
            <w:webHidden/>
          </w:rPr>
          <w:t>86</w:t>
        </w:r>
        <w:r w:rsidR="009F2273" w:rsidRPr="00542EB9">
          <w:rPr>
            <w:noProof/>
            <w:webHidden/>
          </w:rPr>
          <w:fldChar w:fldCharType="end"/>
        </w:r>
      </w:hyperlink>
    </w:p>
    <w:p w14:paraId="54A79A31" w14:textId="6976FD83" w:rsidR="009F2273" w:rsidRPr="00542EB9" w:rsidRDefault="009F2273" w:rsidP="00310F55">
      <w:pPr>
        <w:pStyle w:val="TOC2"/>
        <w:tabs>
          <w:tab w:val="left" w:pos="1200"/>
        </w:tabs>
        <w:ind w:left="0" w:firstLine="0"/>
        <w:rPr>
          <w:rFonts w:asciiTheme="minorHAnsi" w:eastAsiaTheme="minorEastAsia" w:hAnsiTheme="minorHAnsi" w:cstheme="minorBidi"/>
          <w:noProof/>
          <w:kern w:val="2"/>
          <w:szCs w:val="24"/>
          <w:lang w:eastAsia="en-GB"/>
          <w14:ligatures w14:val="standardContextual"/>
        </w:rPr>
      </w:pPr>
    </w:p>
    <w:p w14:paraId="4BF896AF" w14:textId="672A5164" w:rsidR="001B0161" w:rsidRPr="00542EB9" w:rsidRDefault="009F2273" w:rsidP="000E3086">
      <w:pPr>
        <w:rPr>
          <w:noProof/>
        </w:rPr>
      </w:pPr>
      <w:r w:rsidRPr="00542EB9">
        <w:rPr>
          <w:rFonts w:eastAsia="Times New Roman"/>
          <w:caps/>
          <w:noProof/>
          <w:sz w:val="20"/>
          <w:szCs w:val="20"/>
        </w:rPr>
        <w:fldChar w:fldCharType="end"/>
      </w:r>
    </w:p>
    <w:p w14:paraId="5D6B1167" w14:textId="77777777" w:rsidR="006B087E" w:rsidRPr="00542EB9" w:rsidRDefault="006B087E" w:rsidP="000E3086">
      <w:pPr>
        <w:rPr>
          <w:noProof/>
        </w:rPr>
      </w:pPr>
    </w:p>
    <w:p w14:paraId="6F8771C2" w14:textId="77777777" w:rsidR="006B087E" w:rsidRPr="0057769D" w:rsidRDefault="006B087E" w:rsidP="000E3086">
      <w:pPr>
        <w:rPr>
          <w:b/>
          <w:bCs/>
          <w:noProof/>
        </w:rPr>
      </w:pPr>
      <w:r w:rsidRPr="0057769D">
        <w:rPr>
          <w:b/>
          <w:bCs/>
          <w:noProof/>
        </w:rPr>
        <w:t>Glossary</w:t>
      </w:r>
    </w:p>
    <w:tbl>
      <w:tblPr>
        <w:tblStyle w:val="TableGrid"/>
        <w:tblW w:w="9634" w:type="dxa"/>
        <w:tblLook w:val="04A0" w:firstRow="1" w:lastRow="0" w:firstColumn="1" w:lastColumn="0" w:noHBand="0" w:noVBand="1"/>
      </w:tblPr>
      <w:tblGrid>
        <w:gridCol w:w="2122"/>
        <w:gridCol w:w="7512"/>
      </w:tblGrid>
      <w:tr w:rsidR="00F02441" w:rsidRPr="00542EB9" w14:paraId="4FD4FC2C" w14:textId="77777777" w:rsidTr="0057769D">
        <w:trPr>
          <w:trHeight w:val="300"/>
        </w:trPr>
        <w:tc>
          <w:tcPr>
            <w:tcW w:w="2122" w:type="dxa"/>
            <w:tcBorders>
              <w:bottom w:val="double" w:sz="4" w:space="0" w:color="auto"/>
            </w:tcBorders>
            <w:shd w:val="clear" w:color="auto" w:fill="1F497D" w:themeFill="text2"/>
            <w:vAlign w:val="center"/>
          </w:tcPr>
          <w:p w14:paraId="0B3F6DC9" w14:textId="77777777" w:rsidR="00F02441" w:rsidRPr="0057769D" w:rsidRDefault="00F02441" w:rsidP="00FA7893">
            <w:pPr>
              <w:spacing w:before="120" w:after="0"/>
              <w:jc w:val="left"/>
              <w:rPr>
                <w:b/>
                <w:bCs/>
                <w:noProof/>
                <w:color w:val="FFFFFF" w:themeColor="background1"/>
              </w:rPr>
            </w:pPr>
            <w:r w:rsidRPr="0057769D">
              <w:rPr>
                <w:b/>
                <w:bCs/>
                <w:noProof/>
                <w:color w:val="FFFFFF" w:themeColor="background1"/>
              </w:rPr>
              <w:t>Term or acronym</w:t>
            </w:r>
          </w:p>
        </w:tc>
        <w:tc>
          <w:tcPr>
            <w:tcW w:w="7512" w:type="dxa"/>
            <w:tcBorders>
              <w:bottom w:val="double" w:sz="4" w:space="0" w:color="auto"/>
            </w:tcBorders>
            <w:shd w:val="clear" w:color="auto" w:fill="1F497D" w:themeFill="text2"/>
            <w:vAlign w:val="center"/>
          </w:tcPr>
          <w:p w14:paraId="1B63698D" w14:textId="77777777" w:rsidR="00F02441" w:rsidRPr="0057769D" w:rsidRDefault="00F02441" w:rsidP="00FA7893">
            <w:pPr>
              <w:spacing w:before="120" w:after="0"/>
              <w:jc w:val="left"/>
              <w:rPr>
                <w:b/>
                <w:bCs/>
                <w:noProof/>
                <w:color w:val="FFFFFF" w:themeColor="background1"/>
              </w:rPr>
            </w:pPr>
            <w:r w:rsidRPr="0057769D">
              <w:rPr>
                <w:b/>
                <w:bCs/>
                <w:noProof/>
                <w:color w:val="FFFFFF" w:themeColor="background1"/>
              </w:rPr>
              <w:t>Meaning or definition</w:t>
            </w:r>
          </w:p>
        </w:tc>
      </w:tr>
      <w:tr w:rsidR="00F02441" w:rsidRPr="00542EB9" w14:paraId="67C94AC9" w14:textId="77777777" w:rsidTr="45F141D1">
        <w:trPr>
          <w:trHeight w:val="321"/>
        </w:trPr>
        <w:tc>
          <w:tcPr>
            <w:tcW w:w="2122" w:type="dxa"/>
            <w:tcMar>
              <w:top w:w="85" w:type="dxa"/>
              <w:left w:w="57" w:type="dxa"/>
              <w:bottom w:w="85" w:type="dxa"/>
              <w:right w:w="57" w:type="dxa"/>
            </w:tcMar>
          </w:tcPr>
          <w:p w14:paraId="38DAF56F" w14:textId="77777777" w:rsidR="00F02441" w:rsidRPr="00542EB9" w:rsidRDefault="00F02441" w:rsidP="00FA7893">
            <w:pPr>
              <w:spacing w:after="0"/>
              <w:jc w:val="left"/>
              <w:rPr>
                <w:noProof/>
              </w:rPr>
            </w:pPr>
            <w:r w:rsidRPr="00542EB9">
              <w:rPr>
                <w:noProof/>
              </w:rPr>
              <w:t>BUDG</w:t>
            </w:r>
          </w:p>
        </w:tc>
        <w:tc>
          <w:tcPr>
            <w:tcW w:w="7512" w:type="dxa"/>
            <w:tcMar>
              <w:top w:w="85" w:type="dxa"/>
              <w:left w:w="57" w:type="dxa"/>
              <w:bottom w:w="85" w:type="dxa"/>
              <w:right w:w="57" w:type="dxa"/>
            </w:tcMar>
          </w:tcPr>
          <w:p w14:paraId="430667CF" w14:textId="77777777" w:rsidR="00F02441" w:rsidRPr="00542EB9" w:rsidRDefault="00F02441" w:rsidP="00FA7893">
            <w:pPr>
              <w:spacing w:after="0"/>
              <w:rPr>
                <w:rStyle w:val="normaltextrun"/>
                <w:noProof/>
                <w:shd w:val="clear" w:color="auto" w:fill="F2F2F2"/>
              </w:rPr>
            </w:pPr>
            <w:r w:rsidRPr="00542EB9">
              <w:rPr>
                <w:rStyle w:val="normaltextrun"/>
                <w:noProof/>
                <w:shd w:val="clear" w:color="auto" w:fill="F2F2F2"/>
              </w:rPr>
              <w:t xml:space="preserve"> Budget</w:t>
            </w:r>
          </w:p>
        </w:tc>
      </w:tr>
      <w:tr w:rsidR="00F02441" w:rsidRPr="00542EB9" w14:paraId="3E2C9FD3" w14:textId="77777777" w:rsidTr="45F141D1">
        <w:trPr>
          <w:trHeight w:val="300"/>
        </w:trPr>
        <w:tc>
          <w:tcPr>
            <w:tcW w:w="2122" w:type="dxa"/>
            <w:tcBorders>
              <w:top w:val="double" w:sz="4" w:space="0" w:color="auto"/>
            </w:tcBorders>
            <w:tcMar>
              <w:top w:w="85" w:type="dxa"/>
              <w:left w:w="57" w:type="dxa"/>
              <w:bottom w:w="85" w:type="dxa"/>
              <w:right w:w="57" w:type="dxa"/>
            </w:tcMar>
          </w:tcPr>
          <w:p w14:paraId="3046F203" w14:textId="77777777" w:rsidR="00F02441" w:rsidRPr="00542EB9" w:rsidRDefault="00F02441" w:rsidP="00FA7893">
            <w:pPr>
              <w:spacing w:after="0"/>
              <w:rPr>
                <w:noProof/>
              </w:rPr>
            </w:pPr>
            <w:r w:rsidRPr="00542EB9">
              <w:rPr>
                <w:noProof/>
              </w:rPr>
              <w:t>CCEI</w:t>
            </w:r>
          </w:p>
        </w:tc>
        <w:tc>
          <w:tcPr>
            <w:tcW w:w="7512" w:type="dxa"/>
            <w:tcBorders>
              <w:top w:val="double" w:sz="4" w:space="0" w:color="auto"/>
            </w:tcBorders>
            <w:tcMar>
              <w:top w:w="85" w:type="dxa"/>
              <w:left w:w="57" w:type="dxa"/>
              <w:bottom w:w="85" w:type="dxa"/>
              <w:right w:w="57" w:type="dxa"/>
            </w:tcMar>
          </w:tcPr>
          <w:p w14:paraId="2CBF33A2" w14:textId="3B88D046" w:rsidR="00F02441" w:rsidRPr="00542EB9" w:rsidRDefault="00F02441" w:rsidP="00FA7893">
            <w:pPr>
              <w:spacing w:after="0"/>
              <w:rPr>
                <w:noProof/>
              </w:rPr>
            </w:pPr>
            <w:r w:rsidRPr="00542EB9">
              <w:rPr>
                <w:noProof/>
              </w:rPr>
              <w:t>Customs Control Equipment Instrument</w:t>
            </w:r>
          </w:p>
        </w:tc>
      </w:tr>
      <w:tr w:rsidR="00F02441" w:rsidRPr="00542EB9" w14:paraId="18A4E4C5" w14:textId="77777777" w:rsidTr="45F141D1">
        <w:trPr>
          <w:trHeight w:val="321"/>
        </w:trPr>
        <w:tc>
          <w:tcPr>
            <w:tcW w:w="2122" w:type="dxa"/>
            <w:tcMar>
              <w:top w:w="85" w:type="dxa"/>
              <w:left w:w="57" w:type="dxa"/>
              <w:bottom w:w="85" w:type="dxa"/>
              <w:right w:w="57" w:type="dxa"/>
            </w:tcMar>
          </w:tcPr>
          <w:p w14:paraId="50FC308D" w14:textId="485B8EF8" w:rsidR="00F02441" w:rsidRPr="00542EB9" w:rsidRDefault="00F02441" w:rsidP="00FA7893">
            <w:pPr>
              <w:spacing w:after="0"/>
              <w:jc w:val="left"/>
              <w:rPr>
                <w:noProof/>
              </w:rPr>
            </w:pPr>
            <w:r w:rsidRPr="00542EB9">
              <w:rPr>
                <w:noProof/>
              </w:rPr>
              <w:t>COMP</w:t>
            </w:r>
            <w:r w:rsidRPr="00542EB9">
              <w:rPr>
                <w:noProof/>
              </w:rPr>
              <w:tab/>
            </w:r>
          </w:p>
        </w:tc>
        <w:tc>
          <w:tcPr>
            <w:tcW w:w="7512" w:type="dxa"/>
            <w:tcMar>
              <w:top w:w="85" w:type="dxa"/>
              <w:left w:w="57" w:type="dxa"/>
              <w:bottom w:w="85" w:type="dxa"/>
              <w:right w:w="57" w:type="dxa"/>
            </w:tcMar>
          </w:tcPr>
          <w:p w14:paraId="75DF7553" w14:textId="77777777" w:rsidR="00F02441" w:rsidRPr="00542EB9" w:rsidRDefault="00F02441" w:rsidP="00FA7893">
            <w:pPr>
              <w:spacing w:after="0"/>
              <w:rPr>
                <w:noProof/>
              </w:rPr>
            </w:pPr>
            <w:r w:rsidRPr="00542EB9">
              <w:rPr>
                <w:rStyle w:val="normaltextrun"/>
                <w:noProof/>
                <w:shd w:val="clear" w:color="auto" w:fill="F2F2F2"/>
              </w:rPr>
              <w:t>Competition</w:t>
            </w:r>
          </w:p>
        </w:tc>
      </w:tr>
      <w:tr w:rsidR="00F02441" w:rsidRPr="00542EB9" w14:paraId="2427D235" w14:textId="77777777" w:rsidTr="45F141D1">
        <w:trPr>
          <w:trHeight w:val="298"/>
        </w:trPr>
        <w:tc>
          <w:tcPr>
            <w:tcW w:w="2122" w:type="dxa"/>
            <w:tcMar>
              <w:top w:w="85" w:type="dxa"/>
              <w:left w:w="57" w:type="dxa"/>
              <w:bottom w:w="85" w:type="dxa"/>
              <w:right w:w="57" w:type="dxa"/>
            </w:tcMar>
          </w:tcPr>
          <w:p w14:paraId="08E91789" w14:textId="77777777" w:rsidR="00F02441" w:rsidRPr="00542EB9" w:rsidRDefault="00F02441" w:rsidP="00FA7893">
            <w:pPr>
              <w:spacing w:after="0"/>
              <w:rPr>
                <w:noProof/>
              </w:rPr>
            </w:pPr>
            <w:r w:rsidRPr="00542EB9">
              <w:rPr>
                <w:noProof/>
              </w:rPr>
              <w:t>DG</w:t>
            </w:r>
          </w:p>
        </w:tc>
        <w:tc>
          <w:tcPr>
            <w:tcW w:w="7512" w:type="dxa"/>
            <w:tcMar>
              <w:top w:w="85" w:type="dxa"/>
              <w:left w:w="57" w:type="dxa"/>
              <w:bottom w:w="85" w:type="dxa"/>
              <w:right w:w="57" w:type="dxa"/>
            </w:tcMar>
          </w:tcPr>
          <w:p w14:paraId="71389E8F" w14:textId="77777777" w:rsidR="00F02441" w:rsidRPr="00542EB9" w:rsidDel="00E65AD6" w:rsidRDefault="00F02441" w:rsidP="00FA7893">
            <w:pPr>
              <w:spacing w:after="0"/>
              <w:rPr>
                <w:noProof/>
              </w:rPr>
            </w:pPr>
            <w:r w:rsidRPr="00542EB9">
              <w:rPr>
                <w:noProof/>
              </w:rPr>
              <w:t>Directorate-General</w:t>
            </w:r>
          </w:p>
        </w:tc>
      </w:tr>
      <w:tr w:rsidR="00F02441" w:rsidRPr="00542EB9" w14:paraId="715E1CFA" w14:textId="77777777" w:rsidTr="45F141D1">
        <w:trPr>
          <w:trHeight w:val="390"/>
        </w:trPr>
        <w:tc>
          <w:tcPr>
            <w:tcW w:w="2122" w:type="dxa"/>
            <w:tcMar>
              <w:top w:w="85" w:type="dxa"/>
              <w:left w:w="57" w:type="dxa"/>
              <w:bottom w:w="85" w:type="dxa"/>
              <w:right w:w="57" w:type="dxa"/>
            </w:tcMar>
          </w:tcPr>
          <w:p w14:paraId="26B7F147" w14:textId="4FCE44FE" w:rsidR="00F02441" w:rsidRPr="00542EB9" w:rsidRDefault="00F02441" w:rsidP="00FA7893">
            <w:pPr>
              <w:spacing w:after="0"/>
              <w:rPr>
                <w:noProof/>
              </w:rPr>
            </w:pPr>
            <w:r w:rsidRPr="00542EB9">
              <w:rPr>
                <w:noProof/>
              </w:rPr>
              <w:t>DIGIT</w:t>
            </w:r>
          </w:p>
        </w:tc>
        <w:tc>
          <w:tcPr>
            <w:tcW w:w="7512" w:type="dxa"/>
            <w:tcMar>
              <w:top w:w="85" w:type="dxa"/>
              <w:left w:w="57" w:type="dxa"/>
              <w:bottom w:w="85" w:type="dxa"/>
              <w:right w:w="57" w:type="dxa"/>
            </w:tcMar>
          </w:tcPr>
          <w:p w14:paraId="79B00935" w14:textId="77777777" w:rsidR="00F02441" w:rsidRPr="00542EB9" w:rsidDel="00E65AD6" w:rsidRDefault="00F02441" w:rsidP="00FA7893">
            <w:pPr>
              <w:spacing w:after="0"/>
              <w:rPr>
                <w:noProof/>
              </w:rPr>
            </w:pPr>
            <w:r w:rsidRPr="00542EB9">
              <w:rPr>
                <w:noProof/>
              </w:rPr>
              <w:t>Digital services</w:t>
            </w:r>
          </w:p>
        </w:tc>
      </w:tr>
      <w:tr w:rsidR="00F02441" w:rsidRPr="00542EB9" w14:paraId="12ED78B6" w14:textId="77777777" w:rsidTr="45F141D1">
        <w:trPr>
          <w:trHeight w:val="384"/>
        </w:trPr>
        <w:tc>
          <w:tcPr>
            <w:tcW w:w="2122" w:type="dxa"/>
            <w:tcMar>
              <w:top w:w="85" w:type="dxa"/>
              <w:left w:w="57" w:type="dxa"/>
              <w:bottom w:w="85" w:type="dxa"/>
              <w:right w:w="57" w:type="dxa"/>
            </w:tcMar>
          </w:tcPr>
          <w:p w14:paraId="428AA439" w14:textId="1A41EE6C" w:rsidR="00F02441" w:rsidRPr="00542EB9" w:rsidRDefault="00F02441" w:rsidP="00FA7893">
            <w:pPr>
              <w:spacing w:after="0"/>
              <w:rPr>
                <w:noProof/>
              </w:rPr>
            </w:pPr>
            <w:r w:rsidRPr="00542EB9">
              <w:rPr>
                <w:noProof/>
              </w:rPr>
              <w:t>ECFIN</w:t>
            </w:r>
          </w:p>
        </w:tc>
        <w:tc>
          <w:tcPr>
            <w:tcW w:w="7512" w:type="dxa"/>
            <w:tcMar>
              <w:top w:w="85" w:type="dxa"/>
              <w:left w:w="57" w:type="dxa"/>
              <w:bottom w:w="85" w:type="dxa"/>
              <w:right w:w="57" w:type="dxa"/>
            </w:tcMar>
          </w:tcPr>
          <w:p w14:paraId="5BCAECDB" w14:textId="77777777" w:rsidR="00F02441" w:rsidRPr="00542EB9" w:rsidRDefault="00F02441" w:rsidP="00FA7893">
            <w:pPr>
              <w:spacing w:after="0"/>
              <w:rPr>
                <w:noProof/>
              </w:rPr>
            </w:pPr>
            <w:r w:rsidRPr="00542EB9">
              <w:rPr>
                <w:noProof/>
              </w:rPr>
              <w:t>Economic and Financial Affairs</w:t>
            </w:r>
          </w:p>
        </w:tc>
      </w:tr>
      <w:tr w:rsidR="00FE2585" w:rsidRPr="00542EB9" w14:paraId="49C56EE7" w14:textId="77777777" w:rsidTr="45F141D1">
        <w:trPr>
          <w:trHeight w:val="300"/>
        </w:trPr>
        <w:tc>
          <w:tcPr>
            <w:tcW w:w="2122" w:type="dxa"/>
            <w:tcMar>
              <w:top w:w="85" w:type="dxa"/>
              <w:left w:w="57" w:type="dxa"/>
              <w:bottom w:w="85" w:type="dxa"/>
              <w:right w:w="57" w:type="dxa"/>
            </w:tcMar>
          </w:tcPr>
          <w:p w14:paraId="2751C50B" w14:textId="352AF85F" w:rsidR="00FE2585" w:rsidRPr="00542EB9" w:rsidRDefault="00FE2585" w:rsidP="00FA7893">
            <w:pPr>
              <w:spacing w:after="0"/>
              <w:rPr>
                <w:noProof/>
              </w:rPr>
            </w:pPr>
            <w:r w:rsidRPr="00542EB9">
              <w:rPr>
                <w:noProof/>
              </w:rPr>
              <w:t>EFRAG</w:t>
            </w:r>
          </w:p>
        </w:tc>
        <w:tc>
          <w:tcPr>
            <w:tcW w:w="7512" w:type="dxa"/>
            <w:tcMar>
              <w:top w:w="85" w:type="dxa"/>
              <w:left w:w="57" w:type="dxa"/>
              <w:bottom w:w="85" w:type="dxa"/>
              <w:right w:w="57" w:type="dxa"/>
            </w:tcMar>
          </w:tcPr>
          <w:p w14:paraId="0700EE5F" w14:textId="6EFC3844" w:rsidR="00FE2585" w:rsidRPr="00542EB9" w:rsidRDefault="00FE2585" w:rsidP="00FA7893">
            <w:pPr>
              <w:spacing w:after="0"/>
              <w:rPr>
                <w:noProof/>
              </w:rPr>
            </w:pPr>
            <w:r w:rsidRPr="00542EB9">
              <w:rPr>
                <w:noProof/>
              </w:rPr>
              <w:t>European Financial Reporting Advisory Group</w:t>
            </w:r>
          </w:p>
        </w:tc>
      </w:tr>
      <w:tr w:rsidR="00F02441" w:rsidRPr="00542EB9" w14:paraId="28864F6F" w14:textId="77777777" w:rsidTr="45F141D1">
        <w:trPr>
          <w:trHeight w:val="300"/>
        </w:trPr>
        <w:tc>
          <w:tcPr>
            <w:tcW w:w="2122" w:type="dxa"/>
            <w:tcMar>
              <w:top w:w="85" w:type="dxa"/>
              <w:left w:w="57" w:type="dxa"/>
              <w:bottom w:w="85" w:type="dxa"/>
              <w:right w:w="57" w:type="dxa"/>
            </w:tcMar>
          </w:tcPr>
          <w:p w14:paraId="3B3C87DA" w14:textId="77777777" w:rsidR="00F02441" w:rsidRPr="00542EB9" w:rsidRDefault="00F02441" w:rsidP="00FA7893">
            <w:pPr>
              <w:spacing w:after="0"/>
              <w:rPr>
                <w:noProof/>
              </w:rPr>
            </w:pPr>
            <w:r w:rsidRPr="00542EB9">
              <w:rPr>
                <w:noProof/>
              </w:rPr>
              <w:t>ESP</w:t>
            </w:r>
          </w:p>
        </w:tc>
        <w:tc>
          <w:tcPr>
            <w:tcW w:w="7512" w:type="dxa"/>
            <w:tcMar>
              <w:top w:w="85" w:type="dxa"/>
              <w:left w:w="57" w:type="dxa"/>
              <w:bottom w:w="85" w:type="dxa"/>
              <w:right w:w="57" w:type="dxa"/>
            </w:tcMar>
          </w:tcPr>
          <w:p w14:paraId="1C3496B5" w14:textId="77777777" w:rsidR="00F02441" w:rsidRPr="00542EB9" w:rsidRDefault="00F02441" w:rsidP="00FA7893">
            <w:pPr>
              <w:spacing w:after="0"/>
              <w:rPr>
                <w:noProof/>
              </w:rPr>
            </w:pPr>
            <w:r w:rsidRPr="00542EB9">
              <w:rPr>
                <w:noProof/>
              </w:rPr>
              <w:t>European Statistical Programme</w:t>
            </w:r>
          </w:p>
        </w:tc>
      </w:tr>
      <w:tr w:rsidR="00F02441" w:rsidRPr="00542EB9" w14:paraId="78BC64E2" w14:textId="77777777" w:rsidTr="45F141D1">
        <w:trPr>
          <w:trHeight w:val="393"/>
        </w:trPr>
        <w:tc>
          <w:tcPr>
            <w:tcW w:w="2122" w:type="dxa"/>
            <w:tcMar>
              <w:top w:w="85" w:type="dxa"/>
              <w:left w:w="57" w:type="dxa"/>
              <w:bottom w:w="85" w:type="dxa"/>
              <w:right w:w="57" w:type="dxa"/>
            </w:tcMar>
          </w:tcPr>
          <w:p w14:paraId="43A21936" w14:textId="77777777" w:rsidR="00F02441" w:rsidRPr="00542EB9" w:rsidRDefault="00F02441" w:rsidP="00FA7893">
            <w:pPr>
              <w:spacing w:after="0"/>
              <w:rPr>
                <w:noProof/>
              </w:rPr>
            </w:pPr>
            <w:r w:rsidRPr="00542EB9">
              <w:rPr>
                <w:noProof/>
              </w:rPr>
              <w:t>ESTAT</w:t>
            </w:r>
          </w:p>
        </w:tc>
        <w:tc>
          <w:tcPr>
            <w:tcW w:w="7512" w:type="dxa"/>
            <w:tcMar>
              <w:top w:w="85" w:type="dxa"/>
              <w:left w:w="57" w:type="dxa"/>
              <w:bottom w:w="85" w:type="dxa"/>
              <w:right w:w="57" w:type="dxa"/>
            </w:tcMar>
          </w:tcPr>
          <w:p w14:paraId="3CADF5D3" w14:textId="77777777" w:rsidR="00F02441" w:rsidRPr="00542EB9" w:rsidRDefault="00F02441" w:rsidP="00FA7893">
            <w:pPr>
              <w:spacing w:after="0"/>
              <w:rPr>
                <w:noProof/>
              </w:rPr>
            </w:pPr>
            <w:r w:rsidRPr="00542EB9">
              <w:rPr>
                <w:noProof/>
              </w:rPr>
              <w:t>European Statistics</w:t>
            </w:r>
          </w:p>
        </w:tc>
      </w:tr>
      <w:tr w:rsidR="2760FD1B" w:rsidRPr="00542EB9" w14:paraId="5D97DD7C" w14:textId="77777777" w:rsidTr="45F141D1">
        <w:trPr>
          <w:trHeight w:val="393"/>
        </w:trPr>
        <w:tc>
          <w:tcPr>
            <w:tcW w:w="2122" w:type="dxa"/>
            <w:tcMar>
              <w:top w:w="85" w:type="dxa"/>
              <w:left w:w="57" w:type="dxa"/>
              <w:bottom w:w="85" w:type="dxa"/>
              <w:right w:w="57" w:type="dxa"/>
            </w:tcMar>
          </w:tcPr>
          <w:p w14:paraId="2A083D2A" w14:textId="1349D0AE" w:rsidR="2760FD1B" w:rsidRPr="00542EB9" w:rsidRDefault="794722C3" w:rsidP="005F23BF">
            <w:pPr>
              <w:spacing w:after="0"/>
              <w:rPr>
                <w:noProof/>
              </w:rPr>
            </w:pPr>
            <w:r w:rsidRPr="00542EB9">
              <w:rPr>
                <w:noProof/>
              </w:rPr>
              <w:t xml:space="preserve">EU </w:t>
            </w:r>
          </w:p>
        </w:tc>
        <w:tc>
          <w:tcPr>
            <w:tcW w:w="7512" w:type="dxa"/>
            <w:tcMar>
              <w:top w:w="85" w:type="dxa"/>
              <w:left w:w="57" w:type="dxa"/>
              <w:bottom w:w="85" w:type="dxa"/>
              <w:right w:w="57" w:type="dxa"/>
            </w:tcMar>
          </w:tcPr>
          <w:p w14:paraId="047D7086" w14:textId="22715F42" w:rsidR="2760FD1B" w:rsidRPr="00542EB9" w:rsidRDefault="794722C3" w:rsidP="005F23BF">
            <w:pPr>
              <w:spacing w:after="0"/>
              <w:rPr>
                <w:noProof/>
              </w:rPr>
            </w:pPr>
            <w:r w:rsidRPr="00542EB9">
              <w:rPr>
                <w:noProof/>
              </w:rPr>
              <w:t xml:space="preserve">European Union </w:t>
            </w:r>
          </w:p>
        </w:tc>
      </w:tr>
      <w:tr w:rsidR="00F02441" w:rsidRPr="00542EB9" w14:paraId="70A8C33E" w14:textId="77777777" w:rsidTr="45F141D1">
        <w:trPr>
          <w:trHeight w:val="392"/>
        </w:trPr>
        <w:tc>
          <w:tcPr>
            <w:tcW w:w="2122" w:type="dxa"/>
            <w:tcMar>
              <w:top w:w="85" w:type="dxa"/>
              <w:left w:w="57" w:type="dxa"/>
              <w:bottom w:w="85" w:type="dxa"/>
              <w:right w:w="57" w:type="dxa"/>
            </w:tcMar>
          </w:tcPr>
          <w:p w14:paraId="6E772C02" w14:textId="77777777" w:rsidR="00F02441" w:rsidRPr="00542EB9" w:rsidDel="002A468D" w:rsidRDefault="00F02441" w:rsidP="00FA7893">
            <w:pPr>
              <w:spacing w:after="0"/>
              <w:rPr>
                <w:noProof/>
              </w:rPr>
            </w:pPr>
            <w:r w:rsidRPr="00542EB9">
              <w:rPr>
                <w:noProof/>
              </w:rPr>
              <w:t>FISMA</w:t>
            </w:r>
          </w:p>
        </w:tc>
        <w:tc>
          <w:tcPr>
            <w:tcW w:w="7512" w:type="dxa"/>
            <w:tcMar>
              <w:top w:w="85" w:type="dxa"/>
              <w:left w:w="57" w:type="dxa"/>
              <w:bottom w:w="85" w:type="dxa"/>
              <w:right w:w="57" w:type="dxa"/>
            </w:tcMar>
          </w:tcPr>
          <w:p w14:paraId="6CE036F2" w14:textId="77777777" w:rsidR="00F02441" w:rsidRPr="00542EB9" w:rsidRDefault="00F02441" w:rsidP="00FA7893">
            <w:pPr>
              <w:spacing w:after="0"/>
              <w:rPr>
                <w:noProof/>
              </w:rPr>
            </w:pPr>
            <w:r w:rsidRPr="00542EB9">
              <w:rPr>
                <w:noProof/>
                <w:color w:val="000000"/>
              </w:rPr>
              <w:t>Financial Stability, Financial Services and Capital Markets Union</w:t>
            </w:r>
          </w:p>
        </w:tc>
      </w:tr>
      <w:tr w:rsidR="45F141D1" w:rsidRPr="00542EB9" w14:paraId="2418B39C" w14:textId="77777777" w:rsidTr="45F141D1">
        <w:trPr>
          <w:trHeight w:val="392"/>
        </w:trPr>
        <w:tc>
          <w:tcPr>
            <w:tcW w:w="2122" w:type="dxa"/>
            <w:tcMar>
              <w:top w:w="85" w:type="dxa"/>
              <w:left w:w="57" w:type="dxa"/>
              <w:bottom w:w="85" w:type="dxa"/>
              <w:right w:w="57" w:type="dxa"/>
            </w:tcMar>
          </w:tcPr>
          <w:p w14:paraId="55655817" w14:textId="66F7A693" w:rsidR="65998E10" w:rsidRPr="00542EB9" w:rsidRDefault="65998E10" w:rsidP="005F23BF">
            <w:pPr>
              <w:spacing w:after="0"/>
              <w:rPr>
                <w:noProof/>
              </w:rPr>
            </w:pPr>
            <w:r w:rsidRPr="00542EB9">
              <w:rPr>
                <w:noProof/>
              </w:rPr>
              <w:t>GDP</w:t>
            </w:r>
          </w:p>
        </w:tc>
        <w:tc>
          <w:tcPr>
            <w:tcW w:w="7512" w:type="dxa"/>
            <w:tcMar>
              <w:top w:w="85" w:type="dxa"/>
              <w:left w:w="57" w:type="dxa"/>
              <w:bottom w:w="85" w:type="dxa"/>
              <w:right w:w="57" w:type="dxa"/>
            </w:tcMar>
          </w:tcPr>
          <w:p w14:paraId="602A6EF8" w14:textId="56A991D1" w:rsidR="65998E10" w:rsidRPr="00542EB9" w:rsidRDefault="65998E10" w:rsidP="005F23BF">
            <w:pPr>
              <w:spacing w:after="0"/>
              <w:rPr>
                <w:noProof/>
                <w:color w:val="000000" w:themeColor="text1"/>
              </w:rPr>
            </w:pPr>
            <w:r w:rsidRPr="00542EB9">
              <w:rPr>
                <w:noProof/>
                <w:color w:val="000000" w:themeColor="text1"/>
              </w:rPr>
              <w:t>Gross Domestic Product</w:t>
            </w:r>
          </w:p>
        </w:tc>
      </w:tr>
      <w:tr w:rsidR="00F02441" w:rsidRPr="00542EB9" w14:paraId="60534C68" w14:textId="77777777" w:rsidTr="45F141D1">
        <w:trPr>
          <w:trHeight w:val="372"/>
        </w:trPr>
        <w:tc>
          <w:tcPr>
            <w:tcW w:w="2122" w:type="dxa"/>
            <w:tcMar>
              <w:top w:w="85" w:type="dxa"/>
              <w:left w:w="57" w:type="dxa"/>
              <w:bottom w:w="85" w:type="dxa"/>
              <w:right w:w="57" w:type="dxa"/>
            </w:tcMar>
          </w:tcPr>
          <w:p w14:paraId="15571FEE" w14:textId="77777777" w:rsidR="00F02441" w:rsidRPr="00542EB9" w:rsidRDefault="00F02441" w:rsidP="00FA7893">
            <w:pPr>
              <w:spacing w:after="0"/>
              <w:rPr>
                <w:noProof/>
              </w:rPr>
            </w:pPr>
            <w:r w:rsidRPr="00542EB9">
              <w:rPr>
                <w:noProof/>
              </w:rPr>
              <w:t>GROW</w:t>
            </w:r>
          </w:p>
        </w:tc>
        <w:tc>
          <w:tcPr>
            <w:tcW w:w="7512" w:type="dxa"/>
            <w:tcMar>
              <w:top w:w="85" w:type="dxa"/>
              <w:left w:w="57" w:type="dxa"/>
              <w:bottom w:w="85" w:type="dxa"/>
              <w:right w:w="57" w:type="dxa"/>
            </w:tcMar>
          </w:tcPr>
          <w:p w14:paraId="4A70B16C" w14:textId="77777777" w:rsidR="00F02441" w:rsidRPr="00542EB9" w:rsidRDefault="00F02441" w:rsidP="00FA7893">
            <w:pPr>
              <w:spacing w:after="0"/>
              <w:rPr>
                <w:noProof/>
              </w:rPr>
            </w:pPr>
            <w:r w:rsidRPr="00542EB9">
              <w:rPr>
                <w:noProof/>
                <w:color w:val="000000"/>
              </w:rPr>
              <w:t>Internal Market, Industry, Entrepreneurship and SMEs</w:t>
            </w:r>
          </w:p>
        </w:tc>
      </w:tr>
      <w:tr w:rsidR="45F141D1" w:rsidRPr="00542EB9" w14:paraId="6D89AE46" w14:textId="77777777" w:rsidTr="45F141D1">
        <w:trPr>
          <w:trHeight w:val="372"/>
        </w:trPr>
        <w:tc>
          <w:tcPr>
            <w:tcW w:w="2122" w:type="dxa"/>
            <w:tcMar>
              <w:top w:w="85" w:type="dxa"/>
              <w:left w:w="57" w:type="dxa"/>
              <w:bottom w:w="85" w:type="dxa"/>
              <w:right w:w="57" w:type="dxa"/>
            </w:tcMar>
          </w:tcPr>
          <w:p w14:paraId="31932F2D" w14:textId="66FCDDA3" w:rsidR="0F1F4FDA" w:rsidRPr="00542EB9" w:rsidRDefault="0F1F4FDA" w:rsidP="005F23BF">
            <w:pPr>
              <w:spacing w:after="0"/>
              <w:rPr>
                <w:noProof/>
              </w:rPr>
            </w:pPr>
            <w:r w:rsidRPr="00542EB9">
              <w:rPr>
                <w:noProof/>
              </w:rPr>
              <w:t>ISSG</w:t>
            </w:r>
          </w:p>
        </w:tc>
        <w:tc>
          <w:tcPr>
            <w:tcW w:w="7512" w:type="dxa"/>
            <w:tcMar>
              <w:top w:w="85" w:type="dxa"/>
              <w:left w:w="57" w:type="dxa"/>
              <w:bottom w:w="85" w:type="dxa"/>
              <w:right w:w="57" w:type="dxa"/>
            </w:tcMar>
          </w:tcPr>
          <w:p w14:paraId="7D2CCF43" w14:textId="32D0CE77" w:rsidR="0F1F4FDA" w:rsidRPr="00542EB9" w:rsidRDefault="0F1F4FDA" w:rsidP="005F23BF">
            <w:pPr>
              <w:spacing w:after="0"/>
              <w:rPr>
                <w:noProof/>
                <w:color w:val="000000" w:themeColor="text1"/>
              </w:rPr>
            </w:pPr>
            <w:r w:rsidRPr="00542EB9">
              <w:rPr>
                <w:noProof/>
                <w:color w:val="000000" w:themeColor="text1"/>
              </w:rPr>
              <w:t xml:space="preserve">Interservice Steering Group </w:t>
            </w:r>
          </w:p>
        </w:tc>
      </w:tr>
      <w:tr w:rsidR="00F02441" w:rsidRPr="00542EB9" w14:paraId="7F4157D0" w14:textId="77777777" w:rsidTr="45F141D1">
        <w:trPr>
          <w:trHeight w:val="530"/>
        </w:trPr>
        <w:tc>
          <w:tcPr>
            <w:tcW w:w="2122" w:type="dxa"/>
            <w:tcMar>
              <w:top w:w="85" w:type="dxa"/>
              <w:left w:w="57" w:type="dxa"/>
              <w:bottom w:w="85" w:type="dxa"/>
              <w:right w:w="57" w:type="dxa"/>
            </w:tcMar>
          </w:tcPr>
          <w:p w14:paraId="76A71941" w14:textId="77777777" w:rsidR="00F02441" w:rsidRPr="00542EB9" w:rsidRDefault="00F02441" w:rsidP="00FA7893">
            <w:pPr>
              <w:spacing w:after="0"/>
              <w:rPr>
                <w:noProof/>
              </w:rPr>
            </w:pPr>
            <w:r w:rsidRPr="00542EB9">
              <w:rPr>
                <w:noProof/>
              </w:rPr>
              <w:t>JRC</w:t>
            </w:r>
          </w:p>
        </w:tc>
        <w:tc>
          <w:tcPr>
            <w:tcW w:w="7512" w:type="dxa"/>
            <w:tcMar>
              <w:top w:w="85" w:type="dxa"/>
              <w:left w:w="57" w:type="dxa"/>
              <w:bottom w:w="85" w:type="dxa"/>
              <w:right w:w="57" w:type="dxa"/>
            </w:tcMar>
          </w:tcPr>
          <w:p w14:paraId="0380CCE6" w14:textId="77777777" w:rsidR="00F02441" w:rsidRPr="00542EB9" w:rsidRDefault="00F02441" w:rsidP="00FA7893">
            <w:pPr>
              <w:spacing w:after="0"/>
              <w:rPr>
                <w:noProof/>
              </w:rPr>
            </w:pPr>
            <w:r w:rsidRPr="00542EB9">
              <w:rPr>
                <w:noProof/>
                <w:color w:val="000000"/>
              </w:rPr>
              <w:t>Joint Research Centre</w:t>
            </w:r>
          </w:p>
        </w:tc>
      </w:tr>
      <w:tr w:rsidR="00F02441" w:rsidRPr="00542EB9" w14:paraId="2055CBEB" w14:textId="77777777" w:rsidTr="45F141D1">
        <w:trPr>
          <w:trHeight w:val="394"/>
        </w:trPr>
        <w:tc>
          <w:tcPr>
            <w:tcW w:w="2122" w:type="dxa"/>
            <w:tcMar>
              <w:top w:w="85" w:type="dxa"/>
              <w:left w:w="57" w:type="dxa"/>
              <w:bottom w:w="85" w:type="dxa"/>
              <w:right w:w="57" w:type="dxa"/>
            </w:tcMar>
          </w:tcPr>
          <w:p w14:paraId="08D2B29D" w14:textId="77777777" w:rsidR="00F02441" w:rsidRPr="00542EB9" w:rsidRDefault="00F02441" w:rsidP="0031597C">
            <w:pPr>
              <w:spacing w:after="0"/>
              <w:rPr>
                <w:noProof/>
              </w:rPr>
            </w:pPr>
            <w:r w:rsidRPr="00542EB9">
              <w:rPr>
                <w:noProof/>
              </w:rPr>
              <w:t xml:space="preserve">JUST </w:t>
            </w:r>
          </w:p>
        </w:tc>
        <w:tc>
          <w:tcPr>
            <w:tcW w:w="7512" w:type="dxa"/>
            <w:tcMar>
              <w:top w:w="85" w:type="dxa"/>
              <w:left w:w="57" w:type="dxa"/>
              <w:bottom w:w="85" w:type="dxa"/>
              <w:right w:w="57" w:type="dxa"/>
            </w:tcMar>
          </w:tcPr>
          <w:p w14:paraId="161AE1D1" w14:textId="77777777" w:rsidR="00F02441" w:rsidRPr="00542EB9" w:rsidRDefault="00F02441" w:rsidP="0031597C">
            <w:pPr>
              <w:spacing w:after="0"/>
              <w:rPr>
                <w:noProof/>
                <w:color w:val="000000"/>
              </w:rPr>
            </w:pPr>
            <w:r w:rsidRPr="00542EB9">
              <w:rPr>
                <w:noProof/>
                <w:color w:val="000000"/>
              </w:rPr>
              <w:t>Justice and Consumers</w:t>
            </w:r>
          </w:p>
        </w:tc>
      </w:tr>
      <w:tr w:rsidR="45F141D1" w:rsidRPr="00542EB9" w14:paraId="4EAE751A" w14:textId="77777777" w:rsidTr="45F141D1">
        <w:trPr>
          <w:trHeight w:val="394"/>
        </w:trPr>
        <w:tc>
          <w:tcPr>
            <w:tcW w:w="2122" w:type="dxa"/>
            <w:tcMar>
              <w:top w:w="85" w:type="dxa"/>
              <w:left w:w="57" w:type="dxa"/>
              <w:bottom w:w="85" w:type="dxa"/>
              <w:right w:w="57" w:type="dxa"/>
            </w:tcMar>
          </w:tcPr>
          <w:p w14:paraId="6C5E8174" w14:textId="474690A3" w:rsidR="7CBB125E" w:rsidRPr="00542EB9" w:rsidRDefault="7CBB125E" w:rsidP="005F23BF">
            <w:pPr>
              <w:spacing w:after="0"/>
              <w:rPr>
                <w:noProof/>
              </w:rPr>
            </w:pPr>
            <w:r w:rsidRPr="00542EB9">
              <w:rPr>
                <w:noProof/>
              </w:rPr>
              <w:t>MFF</w:t>
            </w:r>
          </w:p>
        </w:tc>
        <w:tc>
          <w:tcPr>
            <w:tcW w:w="7512" w:type="dxa"/>
            <w:tcMar>
              <w:top w:w="85" w:type="dxa"/>
              <w:left w:w="57" w:type="dxa"/>
              <w:bottom w:w="85" w:type="dxa"/>
              <w:right w:w="57" w:type="dxa"/>
            </w:tcMar>
          </w:tcPr>
          <w:p w14:paraId="42EBCE76" w14:textId="1B4EA383" w:rsidR="7CBB125E" w:rsidRPr="00542EB9" w:rsidRDefault="7CBB125E" w:rsidP="005F23BF">
            <w:pPr>
              <w:spacing w:after="0"/>
              <w:rPr>
                <w:noProof/>
                <w:color w:val="000000" w:themeColor="text1"/>
              </w:rPr>
            </w:pPr>
            <w:r w:rsidRPr="00542EB9">
              <w:rPr>
                <w:noProof/>
                <w:color w:val="000000" w:themeColor="text1"/>
              </w:rPr>
              <w:t xml:space="preserve">Multiannual Financial Framework </w:t>
            </w:r>
          </w:p>
        </w:tc>
      </w:tr>
      <w:tr w:rsidR="00F02441" w:rsidRPr="00542EB9" w14:paraId="297B495D" w14:textId="77777777" w:rsidTr="45F141D1">
        <w:trPr>
          <w:trHeight w:val="385"/>
        </w:trPr>
        <w:tc>
          <w:tcPr>
            <w:tcW w:w="2122" w:type="dxa"/>
            <w:tcMar>
              <w:top w:w="85" w:type="dxa"/>
              <w:left w:w="57" w:type="dxa"/>
              <w:bottom w:w="85" w:type="dxa"/>
              <w:right w:w="57" w:type="dxa"/>
            </w:tcMar>
          </w:tcPr>
          <w:p w14:paraId="167CCAAB" w14:textId="77777777" w:rsidR="00F02441" w:rsidRPr="00542EB9" w:rsidDel="002A468D" w:rsidRDefault="00F02441" w:rsidP="00FA7893">
            <w:pPr>
              <w:spacing w:after="0"/>
              <w:rPr>
                <w:noProof/>
              </w:rPr>
            </w:pPr>
            <w:r w:rsidRPr="00542EB9">
              <w:rPr>
                <w:noProof/>
              </w:rPr>
              <w:t>OLAF</w:t>
            </w:r>
          </w:p>
        </w:tc>
        <w:tc>
          <w:tcPr>
            <w:tcW w:w="7512" w:type="dxa"/>
            <w:tcMar>
              <w:top w:w="85" w:type="dxa"/>
              <w:left w:w="57" w:type="dxa"/>
              <w:bottom w:w="85" w:type="dxa"/>
              <w:right w:w="57" w:type="dxa"/>
            </w:tcMar>
          </w:tcPr>
          <w:p w14:paraId="4C77C2DC" w14:textId="77777777" w:rsidR="00F02441" w:rsidRPr="00542EB9" w:rsidRDefault="00F02441" w:rsidP="00FA7893">
            <w:pPr>
              <w:spacing w:after="0"/>
              <w:rPr>
                <w:noProof/>
              </w:rPr>
            </w:pPr>
            <w:r w:rsidRPr="00542EB9">
              <w:rPr>
                <w:noProof/>
              </w:rPr>
              <w:t>Anti-fraud Office</w:t>
            </w:r>
          </w:p>
        </w:tc>
      </w:tr>
      <w:tr w:rsidR="45F141D1" w:rsidRPr="00542EB9" w14:paraId="1CAD36E6" w14:textId="77777777" w:rsidTr="45F141D1">
        <w:trPr>
          <w:trHeight w:val="385"/>
        </w:trPr>
        <w:tc>
          <w:tcPr>
            <w:tcW w:w="2122" w:type="dxa"/>
            <w:tcMar>
              <w:top w:w="85" w:type="dxa"/>
              <w:left w:w="57" w:type="dxa"/>
              <w:bottom w:w="85" w:type="dxa"/>
              <w:right w:w="57" w:type="dxa"/>
            </w:tcMar>
          </w:tcPr>
          <w:p w14:paraId="7CCFBA15" w14:textId="7CFD4956" w:rsidR="09A74366" w:rsidRPr="00542EB9" w:rsidRDefault="09A74366" w:rsidP="005F23BF">
            <w:pPr>
              <w:spacing w:after="0"/>
              <w:rPr>
                <w:noProof/>
              </w:rPr>
            </w:pPr>
            <w:r w:rsidRPr="00542EB9">
              <w:rPr>
                <w:noProof/>
              </w:rPr>
              <w:t>RSB</w:t>
            </w:r>
          </w:p>
        </w:tc>
        <w:tc>
          <w:tcPr>
            <w:tcW w:w="7512" w:type="dxa"/>
            <w:tcMar>
              <w:top w:w="85" w:type="dxa"/>
              <w:left w:w="57" w:type="dxa"/>
              <w:bottom w:w="85" w:type="dxa"/>
              <w:right w:w="57" w:type="dxa"/>
            </w:tcMar>
          </w:tcPr>
          <w:p w14:paraId="3DD87FF0" w14:textId="60389D2A" w:rsidR="09A74366" w:rsidRPr="00542EB9" w:rsidRDefault="09A74366" w:rsidP="005F23BF">
            <w:pPr>
              <w:spacing w:after="0"/>
              <w:rPr>
                <w:noProof/>
              </w:rPr>
            </w:pPr>
            <w:r w:rsidRPr="00542EB9">
              <w:rPr>
                <w:noProof/>
              </w:rPr>
              <w:t>Regulatory Scrutiny Board</w:t>
            </w:r>
          </w:p>
        </w:tc>
      </w:tr>
      <w:tr w:rsidR="00F02441" w:rsidRPr="00542EB9" w14:paraId="24F507FF" w14:textId="77777777" w:rsidTr="45F141D1">
        <w:trPr>
          <w:trHeight w:val="436"/>
        </w:trPr>
        <w:tc>
          <w:tcPr>
            <w:tcW w:w="2122" w:type="dxa"/>
            <w:tcMar>
              <w:top w:w="85" w:type="dxa"/>
              <w:left w:w="57" w:type="dxa"/>
              <w:bottom w:w="85" w:type="dxa"/>
              <w:right w:w="57" w:type="dxa"/>
            </w:tcMar>
          </w:tcPr>
          <w:p w14:paraId="79BA4DA6" w14:textId="77777777" w:rsidR="00F02441" w:rsidRPr="00542EB9" w:rsidRDefault="00F02441" w:rsidP="00FA7893">
            <w:pPr>
              <w:spacing w:after="0"/>
              <w:rPr>
                <w:noProof/>
              </w:rPr>
            </w:pPr>
            <w:r w:rsidRPr="00542EB9">
              <w:rPr>
                <w:noProof/>
              </w:rPr>
              <w:t>SANTE</w:t>
            </w:r>
          </w:p>
        </w:tc>
        <w:tc>
          <w:tcPr>
            <w:tcW w:w="7512" w:type="dxa"/>
            <w:tcMar>
              <w:top w:w="85" w:type="dxa"/>
              <w:left w:w="57" w:type="dxa"/>
              <w:bottom w:w="85" w:type="dxa"/>
              <w:right w:w="57" w:type="dxa"/>
            </w:tcMar>
          </w:tcPr>
          <w:p w14:paraId="7B41C37A" w14:textId="77777777" w:rsidR="00F02441" w:rsidRPr="00542EB9" w:rsidRDefault="00F02441" w:rsidP="00FA7893">
            <w:pPr>
              <w:spacing w:after="0"/>
              <w:rPr>
                <w:noProof/>
              </w:rPr>
            </w:pPr>
            <w:r w:rsidRPr="00542EB9">
              <w:rPr>
                <w:noProof/>
              </w:rPr>
              <w:t>Health and Food Safety</w:t>
            </w:r>
          </w:p>
        </w:tc>
      </w:tr>
      <w:tr w:rsidR="00F02441" w:rsidRPr="00542EB9" w14:paraId="35B59371" w14:textId="77777777" w:rsidTr="45F141D1">
        <w:trPr>
          <w:trHeight w:val="300"/>
        </w:trPr>
        <w:tc>
          <w:tcPr>
            <w:tcW w:w="2122" w:type="dxa"/>
            <w:tcMar>
              <w:top w:w="85" w:type="dxa"/>
              <w:left w:w="57" w:type="dxa"/>
              <w:bottom w:w="85" w:type="dxa"/>
              <w:right w:w="57" w:type="dxa"/>
            </w:tcMar>
          </w:tcPr>
          <w:p w14:paraId="67409208" w14:textId="77777777" w:rsidR="00F02441" w:rsidRPr="00542EB9" w:rsidRDefault="00F02441" w:rsidP="00FA7893">
            <w:pPr>
              <w:spacing w:after="0"/>
              <w:rPr>
                <w:noProof/>
              </w:rPr>
            </w:pPr>
            <w:r w:rsidRPr="00542EB9">
              <w:rPr>
                <w:noProof/>
              </w:rPr>
              <w:t>SDG</w:t>
            </w:r>
          </w:p>
        </w:tc>
        <w:tc>
          <w:tcPr>
            <w:tcW w:w="7512" w:type="dxa"/>
            <w:tcMar>
              <w:top w:w="85" w:type="dxa"/>
              <w:left w:w="57" w:type="dxa"/>
              <w:bottom w:w="85" w:type="dxa"/>
              <w:right w:w="57" w:type="dxa"/>
            </w:tcMar>
          </w:tcPr>
          <w:p w14:paraId="332F394A" w14:textId="77777777" w:rsidR="00F02441" w:rsidRPr="00542EB9" w:rsidRDefault="00F02441" w:rsidP="00FA7893">
            <w:pPr>
              <w:spacing w:after="0"/>
              <w:rPr>
                <w:noProof/>
              </w:rPr>
            </w:pPr>
            <w:r w:rsidRPr="00542EB9">
              <w:rPr>
                <w:noProof/>
              </w:rPr>
              <w:t>Single Digital Gateway</w:t>
            </w:r>
          </w:p>
        </w:tc>
      </w:tr>
      <w:tr w:rsidR="00F02441" w:rsidRPr="00542EB9" w14:paraId="6AF08EBC" w14:textId="77777777" w:rsidTr="45F141D1">
        <w:trPr>
          <w:trHeight w:val="535"/>
        </w:trPr>
        <w:tc>
          <w:tcPr>
            <w:tcW w:w="2122" w:type="dxa"/>
            <w:tcMar>
              <w:top w:w="85" w:type="dxa"/>
              <w:left w:w="57" w:type="dxa"/>
              <w:bottom w:w="85" w:type="dxa"/>
              <w:right w:w="57" w:type="dxa"/>
            </w:tcMar>
          </w:tcPr>
          <w:p w14:paraId="11E61B70" w14:textId="77777777" w:rsidR="00F02441" w:rsidRPr="00542EB9" w:rsidRDefault="00F02441" w:rsidP="0031597C">
            <w:pPr>
              <w:spacing w:after="0"/>
              <w:rPr>
                <w:noProof/>
              </w:rPr>
            </w:pPr>
            <w:r w:rsidRPr="00542EB9">
              <w:rPr>
                <w:noProof/>
              </w:rPr>
              <w:t>SG REFORM</w:t>
            </w:r>
          </w:p>
        </w:tc>
        <w:tc>
          <w:tcPr>
            <w:tcW w:w="7512" w:type="dxa"/>
            <w:tcMar>
              <w:top w:w="85" w:type="dxa"/>
              <w:left w:w="57" w:type="dxa"/>
              <w:bottom w:w="85" w:type="dxa"/>
              <w:right w:w="57" w:type="dxa"/>
            </w:tcMar>
          </w:tcPr>
          <w:p w14:paraId="43B752CE" w14:textId="77777777" w:rsidR="00F02441" w:rsidRPr="00542EB9" w:rsidRDefault="00F02441" w:rsidP="0031597C">
            <w:pPr>
              <w:spacing w:after="0"/>
              <w:rPr>
                <w:noProof/>
              </w:rPr>
            </w:pPr>
            <w:r w:rsidRPr="00542EB9">
              <w:rPr>
                <w:noProof/>
              </w:rPr>
              <w:t>Secretariat-General Reform</w:t>
            </w:r>
          </w:p>
        </w:tc>
      </w:tr>
      <w:tr w:rsidR="00F02441" w:rsidRPr="00542EB9" w14:paraId="368F417F" w14:textId="77777777" w:rsidTr="45F141D1">
        <w:trPr>
          <w:trHeight w:val="300"/>
        </w:trPr>
        <w:tc>
          <w:tcPr>
            <w:tcW w:w="2122" w:type="dxa"/>
            <w:tcMar>
              <w:top w:w="85" w:type="dxa"/>
              <w:left w:w="57" w:type="dxa"/>
              <w:bottom w:w="85" w:type="dxa"/>
              <w:right w:w="57" w:type="dxa"/>
            </w:tcMar>
          </w:tcPr>
          <w:p w14:paraId="29A0C3B3" w14:textId="77777777" w:rsidR="00F02441" w:rsidRPr="00542EB9" w:rsidRDefault="00F02441" w:rsidP="00FA7893">
            <w:pPr>
              <w:spacing w:after="0"/>
              <w:rPr>
                <w:noProof/>
              </w:rPr>
            </w:pPr>
            <w:r w:rsidRPr="00542EB9">
              <w:rPr>
                <w:noProof/>
              </w:rPr>
              <w:t>SMP</w:t>
            </w:r>
          </w:p>
        </w:tc>
        <w:tc>
          <w:tcPr>
            <w:tcW w:w="7512" w:type="dxa"/>
            <w:tcMar>
              <w:top w:w="85" w:type="dxa"/>
              <w:left w:w="57" w:type="dxa"/>
              <w:bottom w:w="85" w:type="dxa"/>
              <w:right w:w="57" w:type="dxa"/>
            </w:tcMar>
          </w:tcPr>
          <w:p w14:paraId="1780782E" w14:textId="77777777" w:rsidR="00F02441" w:rsidRPr="00542EB9" w:rsidRDefault="00F02441" w:rsidP="00FA7893">
            <w:pPr>
              <w:spacing w:after="0"/>
              <w:rPr>
                <w:noProof/>
              </w:rPr>
            </w:pPr>
            <w:r w:rsidRPr="00542EB9">
              <w:rPr>
                <w:noProof/>
              </w:rPr>
              <w:t>Single Market Programme</w:t>
            </w:r>
          </w:p>
        </w:tc>
      </w:tr>
      <w:tr w:rsidR="00F02441" w:rsidRPr="00542EB9" w14:paraId="360B0B61" w14:textId="77777777" w:rsidTr="45F141D1">
        <w:trPr>
          <w:trHeight w:val="397"/>
        </w:trPr>
        <w:tc>
          <w:tcPr>
            <w:tcW w:w="2122" w:type="dxa"/>
            <w:tcMar>
              <w:top w:w="85" w:type="dxa"/>
              <w:left w:w="57" w:type="dxa"/>
              <w:bottom w:w="85" w:type="dxa"/>
              <w:right w:w="57" w:type="dxa"/>
            </w:tcMar>
          </w:tcPr>
          <w:p w14:paraId="30D0753C" w14:textId="77777777" w:rsidR="00F02441" w:rsidRPr="00542EB9" w:rsidRDefault="00F02441" w:rsidP="00FA7893">
            <w:pPr>
              <w:spacing w:after="0"/>
              <w:rPr>
                <w:noProof/>
              </w:rPr>
            </w:pPr>
            <w:r w:rsidRPr="00542EB9">
              <w:rPr>
                <w:noProof/>
              </w:rPr>
              <w:t>TAXUD</w:t>
            </w:r>
          </w:p>
        </w:tc>
        <w:tc>
          <w:tcPr>
            <w:tcW w:w="7512" w:type="dxa"/>
            <w:tcMar>
              <w:top w:w="85" w:type="dxa"/>
              <w:left w:w="57" w:type="dxa"/>
              <w:bottom w:w="85" w:type="dxa"/>
              <w:right w:w="57" w:type="dxa"/>
            </w:tcMar>
          </w:tcPr>
          <w:p w14:paraId="482E5F4E" w14:textId="77777777" w:rsidR="00F02441" w:rsidRPr="00542EB9" w:rsidRDefault="00F02441" w:rsidP="00FA7893">
            <w:pPr>
              <w:spacing w:after="0"/>
              <w:rPr>
                <w:noProof/>
              </w:rPr>
            </w:pPr>
            <w:r w:rsidRPr="00542EB9">
              <w:rPr>
                <w:noProof/>
              </w:rPr>
              <w:t>European Commission Directorate-General for Taxation and Customs Union</w:t>
            </w:r>
          </w:p>
        </w:tc>
      </w:tr>
      <w:tr w:rsidR="00F02441" w:rsidRPr="00542EB9" w14:paraId="2F9F209D" w14:textId="77777777" w:rsidTr="45F141D1">
        <w:trPr>
          <w:trHeight w:val="300"/>
        </w:trPr>
        <w:tc>
          <w:tcPr>
            <w:tcW w:w="2122" w:type="dxa"/>
            <w:tcMar>
              <w:top w:w="85" w:type="dxa"/>
              <w:left w:w="57" w:type="dxa"/>
              <w:bottom w:w="85" w:type="dxa"/>
              <w:right w:w="57" w:type="dxa"/>
            </w:tcMar>
          </w:tcPr>
          <w:p w14:paraId="60C04C1F" w14:textId="77777777" w:rsidR="00F02441" w:rsidRPr="00542EB9" w:rsidRDefault="00F02441" w:rsidP="00FA7893">
            <w:pPr>
              <w:spacing w:after="0"/>
              <w:rPr>
                <w:noProof/>
              </w:rPr>
            </w:pPr>
            <w:r w:rsidRPr="00542EB9">
              <w:rPr>
                <w:noProof/>
              </w:rPr>
              <w:t>UAFP</w:t>
            </w:r>
          </w:p>
        </w:tc>
        <w:tc>
          <w:tcPr>
            <w:tcW w:w="7512" w:type="dxa"/>
            <w:tcMar>
              <w:top w:w="85" w:type="dxa"/>
              <w:left w:w="57" w:type="dxa"/>
              <w:bottom w:w="85" w:type="dxa"/>
              <w:right w:w="57" w:type="dxa"/>
            </w:tcMar>
          </w:tcPr>
          <w:p w14:paraId="4C3530D4" w14:textId="77777777" w:rsidR="00F02441" w:rsidRPr="00542EB9" w:rsidRDefault="00F02441" w:rsidP="00FA7893">
            <w:pPr>
              <w:spacing w:after="0"/>
              <w:rPr>
                <w:noProof/>
              </w:rPr>
            </w:pPr>
            <w:r w:rsidRPr="00542EB9">
              <w:rPr>
                <w:noProof/>
              </w:rPr>
              <w:t>Union Anti-Fraud Programme</w:t>
            </w:r>
          </w:p>
        </w:tc>
      </w:tr>
      <w:tr w:rsidR="00F02441" w:rsidRPr="00542EB9" w14:paraId="180ADDF0" w14:textId="77777777" w:rsidTr="45F141D1">
        <w:trPr>
          <w:trHeight w:val="300"/>
        </w:trPr>
        <w:tc>
          <w:tcPr>
            <w:tcW w:w="2122" w:type="dxa"/>
            <w:tcMar>
              <w:top w:w="85" w:type="dxa"/>
              <w:left w:w="57" w:type="dxa"/>
              <w:bottom w:w="85" w:type="dxa"/>
              <w:right w:w="57" w:type="dxa"/>
            </w:tcMar>
          </w:tcPr>
          <w:p w14:paraId="06B2FA96" w14:textId="77777777" w:rsidR="00F02441" w:rsidRPr="00542EB9" w:rsidRDefault="00F02441" w:rsidP="00FA7893">
            <w:pPr>
              <w:spacing w:after="0"/>
              <w:rPr>
                <w:noProof/>
              </w:rPr>
            </w:pPr>
            <w:r w:rsidRPr="00542EB9">
              <w:rPr>
                <w:noProof/>
              </w:rPr>
              <w:t xml:space="preserve">UCC </w:t>
            </w:r>
          </w:p>
        </w:tc>
        <w:tc>
          <w:tcPr>
            <w:tcW w:w="7512" w:type="dxa"/>
            <w:tcMar>
              <w:top w:w="85" w:type="dxa"/>
              <w:left w:w="57" w:type="dxa"/>
              <w:bottom w:w="85" w:type="dxa"/>
              <w:right w:w="57" w:type="dxa"/>
            </w:tcMar>
          </w:tcPr>
          <w:p w14:paraId="1B43EDEA" w14:textId="77777777" w:rsidR="00F02441" w:rsidRPr="00542EB9" w:rsidRDefault="00F02441" w:rsidP="00FA7893">
            <w:pPr>
              <w:spacing w:after="0"/>
              <w:rPr>
                <w:noProof/>
              </w:rPr>
            </w:pPr>
            <w:r w:rsidRPr="00542EB9">
              <w:rPr>
                <w:noProof/>
              </w:rPr>
              <w:t>Union Customs Code</w:t>
            </w:r>
          </w:p>
        </w:tc>
      </w:tr>
    </w:tbl>
    <w:p w14:paraId="45396DD4" w14:textId="77777777" w:rsidR="006B087E" w:rsidRPr="00542EB9" w:rsidRDefault="006B087E" w:rsidP="000E3086">
      <w:pPr>
        <w:rPr>
          <w:noProof/>
        </w:rPr>
      </w:pPr>
      <w:r w:rsidRPr="00542EB9">
        <w:rPr>
          <w:noProof/>
        </w:rPr>
        <w:br w:type="page"/>
      </w:r>
    </w:p>
    <w:p w14:paraId="473747AA" w14:textId="77777777" w:rsidR="006B087E" w:rsidRPr="00542EB9" w:rsidRDefault="71C00608" w:rsidP="000E3086">
      <w:pPr>
        <w:pStyle w:val="Heading1"/>
        <w:rPr>
          <w:noProof/>
        </w:rPr>
      </w:pPr>
      <w:bookmarkStart w:id="2" w:name="_Toc191909089"/>
      <w:bookmarkStart w:id="3" w:name="_Toc198549033"/>
      <w:r w:rsidRPr="00542EB9">
        <w:rPr>
          <w:noProof/>
        </w:rPr>
        <w:t>Introduction: Political and legal context</w:t>
      </w:r>
      <w:bookmarkEnd w:id="2"/>
      <w:bookmarkEnd w:id="3"/>
    </w:p>
    <w:p w14:paraId="742BEF92" w14:textId="7AD15C0A" w:rsidR="00E7626A" w:rsidRPr="00542EB9" w:rsidRDefault="515B2327" w:rsidP="00AC684A">
      <w:pPr>
        <w:pStyle w:val="Heading2"/>
        <w:rPr>
          <w:noProof/>
        </w:rPr>
      </w:pPr>
      <w:bookmarkStart w:id="4" w:name="_Toc191909090"/>
      <w:bookmarkStart w:id="5" w:name="_Toc198549034"/>
      <w:r w:rsidRPr="00542EB9">
        <w:rPr>
          <w:noProof/>
        </w:rPr>
        <w:t xml:space="preserve">Political and </w:t>
      </w:r>
      <w:r w:rsidR="10171808" w:rsidRPr="00542EB9">
        <w:rPr>
          <w:noProof/>
        </w:rPr>
        <w:t>legal</w:t>
      </w:r>
      <w:r w:rsidR="6D26D384" w:rsidRPr="00542EB9">
        <w:rPr>
          <w:noProof/>
        </w:rPr>
        <w:t xml:space="preserve"> context</w:t>
      </w:r>
      <w:bookmarkEnd w:id="4"/>
      <w:bookmarkEnd w:id="5"/>
    </w:p>
    <w:p w14:paraId="4BA0B370" w14:textId="580FDE26" w:rsidR="056B9182" w:rsidRPr="00542EB9" w:rsidRDefault="056B9182" w:rsidP="003E0B92">
      <w:pPr>
        <w:spacing w:after="160"/>
        <w:rPr>
          <w:rFonts w:eastAsia="Times New Roman"/>
          <w:noProof/>
        </w:rPr>
      </w:pPr>
      <w:r w:rsidRPr="00542EB9">
        <w:rPr>
          <w:rFonts w:eastAsia="Times New Roman"/>
          <w:noProof/>
        </w:rPr>
        <w:t>The implementation of the current and previous EU programmes, as also demonstrated by the relevant programme evaluations, has shown that the complexity of the funding architecture is the major factor hindering the impact of the EU budget. Currently, many programmes may finance the same activities, but without the same rules and conditions and there is insufficient flexibility to respond to unforeseen needs. This leads to inefficiencies and administrative burden for beneficiaries, Member States and the Commission. In addition, a difficult budgetary</w:t>
      </w:r>
      <w:r w:rsidRPr="00542EB9">
        <w:rPr>
          <w:rFonts w:eastAsia="Times New Roman"/>
          <w:b/>
          <w:bCs/>
          <w:noProof/>
        </w:rPr>
        <w:t xml:space="preserve"> </w:t>
      </w:r>
      <w:r w:rsidRPr="00542EB9">
        <w:rPr>
          <w:rFonts w:eastAsia="Times New Roman"/>
          <w:noProof/>
        </w:rPr>
        <w:t xml:space="preserve">situation (with the start of NextGenerationEU repayments, the increasing number of EU priorities and the tight fiscal situation of Member States) reinforces the need to reduce identified inefficiencies and administrative burden. </w:t>
      </w:r>
    </w:p>
    <w:p w14:paraId="0A13A0BB" w14:textId="7F77FB6D" w:rsidR="056B9182" w:rsidRPr="00542EB9" w:rsidRDefault="056B9182" w:rsidP="003E0B92">
      <w:pPr>
        <w:spacing w:after="160"/>
        <w:rPr>
          <w:rFonts w:eastAsia="Times New Roman"/>
          <w:noProof/>
          <w:lang w:val="en-IE"/>
        </w:rPr>
      </w:pPr>
      <w:r w:rsidRPr="00542EB9">
        <w:rPr>
          <w:rFonts w:eastAsia="Times New Roman"/>
          <w:noProof/>
          <w:lang w:val="en-IE"/>
        </w:rPr>
        <w:t>The Political Guidelines acknowledge that ‘</w:t>
      </w:r>
      <w:r w:rsidRPr="00542EB9">
        <w:rPr>
          <w:rFonts w:eastAsia="Times New Roman"/>
          <w:i/>
          <w:iCs/>
          <w:noProof/>
          <w:lang w:val="en-IE"/>
        </w:rPr>
        <w:t>our spending is spread over too many overlapping programmes – many of which fund the same things but with different requirements and difficulties to combine funding effectively’.</w:t>
      </w:r>
      <w:r w:rsidRPr="00542EB9">
        <w:rPr>
          <w:rFonts w:eastAsia="Times New Roman"/>
          <w:noProof/>
          <w:lang w:val="en-IE"/>
        </w:rPr>
        <w:t xml:space="preserve"> The Guidelines set out that the new long-term budget needs to be more focused, simpler, with fewer programmes and more impactful. </w:t>
      </w:r>
    </w:p>
    <w:p w14:paraId="5193CF74" w14:textId="1433283F" w:rsidR="056B9182" w:rsidRPr="00542EB9" w:rsidRDefault="056B9182" w:rsidP="003E0B92">
      <w:pPr>
        <w:spacing w:after="160"/>
        <w:rPr>
          <w:rFonts w:eastAsia="Times New Roman"/>
          <w:noProof/>
        </w:rPr>
      </w:pPr>
      <w:r w:rsidRPr="00542EB9">
        <w:rPr>
          <w:rFonts w:eastAsia="Times New Roman"/>
          <w:noProof/>
        </w:rPr>
        <w:t>In line with the Political Guidelines, the College adopted on 11 February 2025 the Communication ‘</w:t>
      </w:r>
      <w:r w:rsidRPr="00542EB9">
        <w:rPr>
          <w:rFonts w:eastAsia="Times New Roman"/>
          <w:i/>
          <w:iCs/>
          <w:noProof/>
        </w:rPr>
        <w:t>The road to the next multiannual financial framework</w:t>
      </w:r>
      <w:r w:rsidRPr="00542EB9">
        <w:rPr>
          <w:rFonts w:eastAsia="Times New Roman"/>
          <w:noProof/>
        </w:rPr>
        <w:t xml:space="preserve">’, which states that </w:t>
      </w:r>
      <w:r w:rsidRPr="00542EB9">
        <w:rPr>
          <w:rFonts w:eastAsia="Times New Roman"/>
          <w:i/>
          <w:iCs/>
          <w:noProof/>
        </w:rPr>
        <w:t>‘the next long-term budget will have to address the complexities, weaknesses and rigidities that are currently present and maximise the impact of every euro it spends’.</w:t>
      </w:r>
      <w:r w:rsidRPr="00542EB9">
        <w:rPr>
          <w:rFonts w:eastAsia="Times New Roman"/>
          <w:noProof/>
        </w:rPr>
        <w:t xml:space="preserve"> The Communication also underlines that flexibility is key in guaranteeing the budget’s ability to respond to a changing reality. </w:t>
      </w:r>
    </w:p>
    <w:p w14:paraId="603FA291" w14:textId="37D0BD55" w:rsidR="056B9182" w:rsidRPr="00542EB9" w:rsidRDefault="056B9182" w:rsidP="003E0B92">
      <w:pPr>
        <w:spacing w:after="120"/>
        <w:rPr>
          <w:rFonts w:eastAsia="Times New Roman"/>
          <w:noProof/>
        </w:rPr>
      </w:pPr>
      <w:r w:rsidRPr="00542EB9">
        <w:rPr>
          <w:rFonts w:eastAsia="Times New Roman"/>
          <w:noProof/>
        </w:rPr>
        <w:t xml:space="preserve">In this political context, impact assessments for programmes under the next multiannual financial framework focus on how to streamline the architecture of the EU budget, thereby assessing the most important policy choices underpinning the legislative proposals for the future EU programmes. Policy aspects are considered in the analysis of the context, the problem definition and the objectives, which inform the choices on the programme architecture. Given that the architecture of the new multiannual financial framework will be significantly different from the current structure, assumptions on the budget of each programme would be unreliable at this stage. Therefore, the impact assessment does not include funding scenarios and, consequently, only qualitative cost benefit analysis is possible.  </w:t>
      </w:r>
    </w:p>
    <w:p w14:paraId="4957F081" w14:textId="4DAC0DEF" w:rsidR="056B9182" w:rsidRPr="00542EB9" w:rsidRDefault="056B9182" w:rsidP="00A75C68">
      <w:pPr>
        <w:spacing w:after="160"/>
        <w:rPr>
          <w:rFonts w:eastAsia="Times New Roman"/>
          <w:noProof/>
          <w:lang w:val="en-IE"/>
        </w:rPr>
      </w:pPr>
      <w:r w:rsidRPr="00542EB9">
        <w:rPr>
          <w:rFonts w:eastAsia="Times New Roman"/>
          <w:noProof/>
        </w:rPr>
        <w:t xml:space="preserve">This reflects the specificities of this exercise, as clearly acknowledged in the Commission’s better regulation rules, which this impact assessment follows. Tool #9 of the better regulation toolbox states that </w:t>
      </w:r>
      <w:r w:rsidRPr="00542EB9">
        <w:rPr>
          <w:rFonts w:eastAsia="Times New Roman"/>
          <w:i/>
          <w:iCs/>
          <w:noProof/>
        </w:rPr>
        <w:t>‘the special case of preparing a new multiannual financial framework is a unique process requiring a specific approach as regards scope and depth of analysis’</w:t>
      </w:r>
      <w:r w:rsidRPr="00542EB9">
        <w:rPr>
          <w:rFonts w:eastAsia="Times New Roman"/>
          <w:noProof/>
        </w:rPr>
        <w:t>.</w:t>
      </w:r>
    </w:p>
    <w:p w14:paraId="47E66E8C" w14:textId="32EB4A3B" w:rsidR="00B57575" w:rsidRPr="00542EB9" w:rsidRDefault="00D12E18" w:rsidP="00044017">
      <w:pPr>
        <w:rPr>
          <w:noProof/>
        </w:rPr>
      </w:pPr>
      <w:r w:rsidRPr="00542EB9">
        <w:rPr>
          <w:noProof/>
        </w:rPr>
        <w:t xml:space="preserve">Against this background, the present impact assessment </w:t>
      </w:r>
      <w:r w:rsidR="003272B1" w:rsidRPr="00542EB9">
        <w:rPr>
          <w:noProof/>
        </w:rPr>
        <w:t xml:space="preserve">focuses on the </w:t>
      </w:r>
      <w:r w:rsidR="000B5BE0" w:rsidRPr="00542EB9">
        <w:rPr>
          <w:noProof/>
        </w:rPr>
        <w:t xml:space="preserve">single market and cooperation between national administrations. </w:t>
      </w:r>
    </w:p>
    <w:p w14:paraId="0FBF1F28" w14:textId="6A047416" w:rsidR="00044017" w:rsidRPr="00542EB9" w:rsidRDefault="00044017" w:rsidP="00044017">
      <w:pPr>
        <w:rPr>
          <w:noProof/>
        </w:rPr>
      </w:pPr>
      <w:r w:rsidRPr="00542EB9">
        <w:rPr>
          <w:noProof/>
        </w:rPr>
        <w:t xml:space="preserve">The </w:t>
      </w:r>
      <w:r w:rsidR="00EF24F1" w:rsidRPr="00542EB9">
        <w:rPr>
          <w:noProof/>
        </w:rPr>
        <w:t>single m</w:t>
      </w:r>
      <w:r w:rsidR="00E83D7A" w:rsidRPr="00542EB9">
        <w:rPr>
          <w:noProof/>
        </w:rPr>
        <w:t>arket</w:t>
      </w:r>
      <w:r w:rsidRPr="00542EB9">
        <w:rPr>
          <w:noProof/>
        </w:rPr>
        <w:t xml:space="preserve"> was officially launched on 1 January 1993 (European Act of 1986</w:t>
      </w:r>
      <w:r w:rsidRPr="00542EB9">
        <w:rPr>
          <w:noProof/>
          <w:vertAlign w:val="superscript"/>
        </w:rPr>
        <w:footnoteReference w:id="2"/>
      </w:r>
      <w:r w:rsidRPr="00542EB9">
        <w:rPr>
          <w:noProof/>
        </w:rPr>
        <w:t xml:space="preserve">) and is governed by </w:t>
      </w:r>
      <w:r w:rsidR="00FE0806" w:rsidRPr="00542EB9">
        <w:rPr>
          <w:noProof/>
        </w:rPr>
        <w:t xml:space="preserve">the </w:t>
      </w:r>
      <w:r w:rsidRPr="00542EB9">
        <w:rPr>
          <w:noProof/>
        </w:rPr>
        <w:t>fundamental principles</w:t>
      </w:r>
      <w:r w:rsidR="00FE0806" w:rsidRPr="00542EB9">
        <w:rPr>
          <w:noProof/>
        </w:rPr>
        <w:t xml:space="preserve"> of</w:t>
      </w:r>
      <w:r w:rsidRPr="00542EB9">
        <w:rPr>
          <w:noProof/>
        </w:rPr>
        <w:t xml:space="preserve"> free movement of goods, services, people, and capital. For nearly three decades, the </w:t>
      </w:r>
      <w:r w:rsidR="00EF24F1" w:rsidRPr="00542EB9">
        <w:rPr>
          <w:noProof/>
        </w:rPr>
        <w:t>single m</w:t>
      </w:r>
      <w:r w:rsidR="00E83D7A" w:rsidRPr="00542EB9">
        <w:rPr>
          <w:noProof/>
        </w:rPr>
        <w:t>arket</w:t>
      </w:r>
      <w:r w:rsidRPr="00542EB9">
        <w:rPr>
          <w:noProof/>
        </w:rPr>
        <w:t xml:space="preserve"> has been at the heart of the EU, a major contributor to growth, competitiveness, and employment. It enables citizens to live, work and travel freely within the EU, and offers enhanced consumer protection and greater choice of high-quality</w:t>
      </w:r>
      <w:r w:rsidR="0007474B" w:rsidRPr="00542EB9">
        <w:rPr>
          <w:noProof/>
        </w:rPr>
        <w:t xml:space="preserve"> cross-border</w:t>
      </w:r>
      <w:r w:rsidRPr="00542EB9">
        <w:rPr>
          <w:noProof/>
        </w:rPr>
        <w:t xml:space="preserve"> products and services at lower prices.</w:t>
      </w:r>
      <w:r w:rsidR="00CE7DFB" w:rsidRPr="00542EB9">
        <w:rPr>
          <w:noProof/>
        </w:rPr>
        <w:t xml:space="preserve"> </w:t>
      </w:r>
    </w:p>
    <w:p w14:paraId="31EC35F7" w14:textId="7D5241B1" w:rsidR="00925E57" w:rsidRPr="00542EB9" w:rsidRDefault="006C6D7D" w:rsidP="00044017">
      <w:pPr>
        <w:rPr>
          <w:noProof/>
        </w:rPr>
      </w:pPr>
      <w:r w:rsidRPr="00542EB9">
        <w:rPr>
          <w:noProof/>
        </w:rPr>
        <w:t>T</w:t>
      </w:r>
      <w:r w:rsidR="48C3A6A0" w:rsidRPr="00542EB9">
        <w:rPr>
          <w:noProof/>
        </w:rPr>
        <w:t xml:space="preserve">he </w:t>
      </w:r>
      <w:r w:rsidR="5177C405" w:rsidRPr="00542EB9">
        <w:rPr>
          <w:noProof/>
        </w:rPr>
        <w:t>single m</w:t>
      </w:r>
      <w:r w:rsidR="5ECBBAC4" w:rsidRPr="00542EB9">
        <w:rPr>
          <w:noProof/>
        </w:rPr>
        <w:t>arket</w:t>
      </w:r>
      <w:r w:rsidR="48C3A6A0" w:rsidRPr="00542EB9">
        <w:rPr>
          <w:noProof/>
        </w:rPr>
        <w:t xml:space="preserve"> is the world’s largest integrated </w:t>
      </w:r>
      <w:r w:rsidR="5ECBBAC4" w:rsidRPr="00542EB9">
        <w:rPr>
          <w:noProof/>
        </w:rPr>
        <w:t>market</w:t>
      </w:r>
      <w:r w:rsidR="48C3A6A0" w:rsidRPr="00542EB9">
        <w:rPr>
          <w:noProof/>
        </w:rPr>
        <w:t xml:space="preserve"> and one </w:t>
      </w:r>
      <w:r w:rsidR="004F998D" w:rsidRPr="00542EB9">
        <w:rPr>
          <w:noProof/>
        </w:rPr>
        <w:t xml:space="preserve">of </w:t>
      </w:r>
      <w:r w:rsidR="48C3A6A0" w:rsidRPr="00542EB9">
        <w:rPr>
          <w:noProof/>
        </w:rPr>
        <w:t>the most outward-</w:t>
      </w:r>
      <w:r w:rsidR="76C24320" w:rsidRPr="00542EB9">
        <w:rPr>
          <w:noProof/>
        </w:rPr>
        <w:t>oriented</w:t>
      </w:r>
      <w:r w:rsidR="48C3A6A0" w:rsidRPr="00542EB9">
        <w:rPr>
          <w:noProof/>
        </w:rPr>
        <w:t xml:space="preserve"> economies in the world</w:t>
      </w:r>
      <w:r w:rsidR="00E322BD" w:rsidRPr="00542EB9">
        <w:rPr>
          <w:noProof/>
        </w:rPr>
        <w:t>. It</w:t>
      </w:r>
      <w:r w:rsidR="00980924" w:rsidRPr="00542EB9">
        <w:rPr>
          <w:noProof/>
        </w:rPr>
        <w:t xml:space="preserve"> </w:t>
      </w:r>
      <w:r w:rsidR="00E322BD" w:rsidRPr="00542EB9">
        <w:rPr>
          <w:noProof/>
        </w:rPr>
        <w:t>is</w:t>
      </w:r>
      <w:r w:rsidR="00980924" w:rsidRPr="00542EB9">
        <w:rPr>
          <w:noProof/>
        </w:rPr>
        <w:t xml:space="preserve"> our key asset to bring prosperity to our citizens and businesses but also help us cope with unexpected and unforeseen challenges and crises such as the C</w:t>
      </w:r>
      <w:r w:rsidR="00FA3D33" w:rsidRPr="00542EB9">
        <w:rPr>
          <w:noProof/>
        </w:rPr>
        <w:t>OVID</w:t>
      </w:r>
      <w:r w:rsidR="00980924" w:rsidRPr="00542EB9">
        <w:rPr>
          <w:noProof/>
        </w:rPr>
        <w:t>-19 pandemic</w:t>
      </w:r>
      <w:r w:rsidR="48C3A6A0" w:rsidRPr="00542EB9">
        <w:rPr>
          <w:noProof/>
        </w:rPr>
        <w:t xml:space="preserve">. </w:t>
      </w:r>
      <w:r w:rsidR="00CC4E09" w:rsidRPr="00542EB9">
        <w:rPr>
          <w:noProof/>
        </w:rPr>
        <w:t>The single market</w:t>
      </w:r>
      <w:r w:rsidR="001D23F7" w:rsidRPr="00542EB9">
        <w:rPr>
          <w:noProof/>
        </w:rPr>
        <w:t xml:space="preserve"> is intrinsically linked with </w:t>
      </w:r>
      <w:r w:rsidR="00980924" w:rsidRPr="00542EB9">
        <w:rPr>
          <w:noProof/>
        </w:rPr>
        <w:t xml:space="preserve">and reinforced by </w:t>
      </w:r>
      <w:r w:rsidR="001D23F7" w:rsidRPr="00542EB9">
        <w:rPr>
          <w:noProof/>
        </w:rPr>
        <w:t>the continuously evolving EU Customs Union, which has been safeguarding the EU’s external borders since 1968</w:t>
      </w:r>
      <w:r w:rsidR="00980924" w:rsidRPr="00542EB9">
        <w:rPr>
          <w:noProof/>
        </w:rPr>
        <w:t>.</w:t>
      </w:r>
      <w:r w:rsidR="001A489E" w:rsidRPr="00542EB9">
        <w:rPr>
          <w:noProof/>
        </w:rPr>
        <w:t xml:space="preserve"> </w:t>
      </w:r>
    </w:p>
    <w:p w14:paraId="03CA4A7B" w14:textId="41A2FA11" w:rsidR="00981E60" w:rsidRPr="00542EB9" w:rsidRDefault="37D99FD1" w:rsidP="658819FF">
      <w:pPr>
        <w:rPr>
          <w:rFonts w:eastAsia="Calibri"/>
          <w:i/>
          <w:iCs/>
          <w:noProof/>
        </w:rPr>
      </w:pPr>
      <w:r w:rsidRPr="00542EB9">
        <w:rPr>
          <w:b/>
          <w:bCs/>
          <w:noProof/>
        </w:rPr>
        <w:t xml:space="preserve">A well-functioning </w:t>
      </w:r>
      <w:r w:rsidR="6C50D694" w:rsidRPr="00542EB9">
        <w:rPr>
          <w:b/>
          <w:bCs/>
          <w:noProof/>
        </w:rPr>
        <w:t xml:space="preserve">and safe-guarded </w:t>
      </w:r>
      <w:r w:rsidR="005459CC" w:rsidRPr="00542EB9">
        <w:rPr>
          <w:b/>
          <w:bCs/>
          <w:noProof/>
        </w:rPr>
        <w:t>single market</w:t>
      </w:r>
      <w:r w:rsidRPr="00542EB9">
        <w:rPr>
          <w:noProof/>
        </w:rPr>
        <w:t xml:space="preserve"> </w:t>
      </w:r>
      <w:r w:rsidRPr="00542EB9">
        <w:rPr>
          <w:b/>
          <w:bCs/>
          <w:noProof/>
        </w:rPr>
        <w:t xml:space="preserve">is a pre-requisite for a competitive </w:t>
      </w:r>
      <w:r w:rsidR="5CAF65CF" w:rsidRPr="00542EB9">
        <w:rPr>
          <w:b/>
          <w:bCs/>
          <w:noProof/>
        </w:rPr>
        <w:t>European</w:t>
      </w:r>
      <w:r w:rsidRPr="00542EB9">
        <w:rPr>
          <w:b/>
          <w:bCs/>
          <w:noProof/>
        </w:rPr>
        <w:t xml:space="preserve"> economy</w:t>
      </w:r>
      <w:r w:rsidRPr="00542EB9">
        <w:rPr>
          <w:noProof/>
        </w:rPr>
        <w:t xml:space="preserve">. </w:t>
      </w:r>
      <w:r w:rsidR="6864ED15" w:rsidRPr="00542EB9">
        <w:rPr>
          <w:noProof/>
        </w:rPr>
        <w:t>However, m</w:t>
      </w:r>
      <w:r w:rsidR="32F2BF97" w:rsidRPr="00542EB9">
        <w:rPr>
          <w:noProof/>
        </w:rPr>
        <w:t>ore a</w:t>
      </w:r>
      <w:r w:rsidR="4B0642F8" w:rsidRPr="00542EB9">
        <w:rPr>
          <w:noProof/>
        </w:rPr>
        <w:t xml:space="preserve">ction is needed to complete the </w:t>
      </w:r>
      <w:r w:rsidR="4E323441" w:rsidRPr="00542EB9">
        <w:rPr>
          <w:noProof/>
        </w:rPr>
        <w:t>single</w:t>
      </w:r>
      <w:r w:rsidR="4B0642F8" w:rsidRPr="00542EB9">
        <w:rPr>
          <w:noProof/>
        </w:rPr>
        <w:t xml:space="preserve"> </w:t>
      </w:r>
      <w:r w:rsidR="66EB3223" w:rsidRPr="00542EB9">
        <w:rPr>
          <w:noProof/>
        </w:rPr>
        <w:t>m</w:t>
      </w:r>
      <w:r w:rsidR="21B34C2D" w:rsidRPr="00542EB9">
        <w:rPr>
          <w:noProof/>
        </w:rPr>
        <w:t>arket</w:t>
      </w:r>
      <w:r w:rsidR="4B0642F8" w:rsidRPr="00542EB9">
        <w:rPr>
          <w:noProof/>
        </w:rPr>
        <w:t>, implement and enforce EU policies</w:t>
      </w:r>
      <w:r w:rsidR="3CA4A2A4" w:rsidRPr="00542EB9">
        <w:rPr>
          <w:noProof/>
        </w:rPr>
        <w:t xml:space="preserve"> and </w:t>
      </w:r>
      <w:r w:rsidR="3CA4A2A4" w:rsidRPr="00542EB9">
        <w:rPr>
          <w:b/>
          <w:bCs/>
          <w:noProof/>
        </w:rPr>
        <w:t>close productivity and innovation gaps.</w:t>
      </w:r>
      <w:r w:rsidR="3CA4A2A4" w:rsidRPr="00542EB9">
        <w:rPr>
          <w:rFonts w:ascii="Calibri" w:hAnsi="Calibri" w:cs="Calibri"/>
          <w:b/>
          <w:bCs/>
          <w:noProof/>
          <w:sz w:val="22"/>
          <w:szCs w:val="22"/>
        </w:rPr>
        <w:t xml:space="preserve"> </w:t>
      </w:r>
      <w:r w:rsidR="3CA4A2A4" w:rsidRPr="00542EB9">
        <w:rPr>
          <w:noProof/>
        </w:rPr>
        <w:t>This applies</w:t>
      </w:r>
      <w:r w:rsidR="708E30DB" w:rsidRPr="00542EB9">
        <w:rPr>
          <w:noProof/>
        </w:rPr>
        <w:t xml:space="preserve"> in particular</w:t>
      </w:r>
      <w:r w:rsidR="3CA4A2A4" w:rsidRPr="00542EB9">
        <w:rPr>
          <w:noProof/>
        </w:rPr>
        <w:t xml:space="preserve"> to ensuring a high</w:t>
      </w:r>
      <w:r w:rsidR="6623F0D7" w:rsidRPr="00542EB9">
        <w:rPr>
          <w:noProof/>
        </w:rPr>
        <w:t>ly</w:t>
      </w:r>
      <w:r w:rsidR="3CA4A2A4" w:rsidRPr="00542EB9">
        <w:rPr>
          <w:noProof/>
        </w:rPr>
        <w:t xml:space="preserve"> performing Customs Union, capable to adjust to geopolitical uncertainties as well as increasingly volatile international trade patterns and challenges. The relevance of the </w:t>
      </w:r>
      <w:r w:rsidR="66EB3223" w:rsidRPr="00542EB9">
        <w:rPr>
          <w:noProof/>
        </w:rPr>
        <w:t>single</w:t>
      </w:r>
      <w:r w:rsidR="3CA4A2A4" w:rsidRPr="00542EB9">
        <w:rPr>
          <w:noProof/>
        </w:rPr>
        <w:t xml:space="preserve"> </w:t>
      </w:r>
      <w:r w:rsidR="66EB3223" w:rsidRPr="00542EB9">
        <w:rPr>
          <w:noProof/>
        </w:rPr>
        <w:t>m</w:t>
      </w:r>
      <w:r w:rsidR="21B34C2D" w:rsidRPr="00542EB9">
        <w:rPr>
          <w:noProof/>
        </w:rPr>
        <w:t>arket</w:t>
      </w:r>
      <w:r w:rsidR="3CA4A2A4" w:rsidRPr="00542EB9">
        <w:rPr>
          <w:noProof/>
        </w:rPr>
        <w:t xml:space="preserve"> is increasing considering the emerging political challenges </w:t>
      </w:r>
      <w:r w:rsidR="238EE1D3" w:rsidRPr="00542EB9">
        <w:rPr>
          <w:noProof/>
        </w:rPr>
        <w:t>identified</w:t>
      </w:r>
      <w:r w:rsidR="3E1D83D7" w:rsidRPr="00542EB9">
        <w:rPr>
          <w:noProof/>
        </w:rPr>
        <w:t xml:space="preserve"> in</w:t>
      </w:r>
      <w:r w:rsidR="3CA4A2A4" w:rsidRPr="00542EB9">
        <w:rPr>
          <w:noProof/>
        </w:rPr>
        <w:t xml:space="preserve"> the Political Guidelines</w:t>
      </w:r>
      <w:r w:rsidR="00981E60" w:rsidRPr="00542EB9">
        <w:rPr>
          <w:noProof/>
          <w:vertAlign w:val="superscript"/>
        </w:rPr>
        <w:footnoteReference w:id="3"/>
      </w:r>
      <w:r w:rsidR="3CA4A2A4" w:rsidRPr="00542EB9">
        <w:rPr>
          <w:noProof/>
        </w:rPr>
        <w:t xml:space="preserve"> and recent reports from Enrico Letta and Mario Draghi</w:t>
      </w:r>
      <w:r w:rsidR="00981E60" w:rsidRPr="00542EB9">
        <w:rPr>
          <w:noProof/>
          <w:vertAlign w:val="superscript"/>
        </w:rPr>
        <w:footnoteReference w:id="4"/>
      </w:r>
      <w:r w:rsidR="3CA4A2A4" w:rsidRPr="00542EB9">
        <w:rPr>
          <w:noProof/>
        </w:rPr>
        <w:t xml:space="preserve">. </w:t>
      </w:r>
      <w:r w:rsidR="55DECC9F" w:rsidRPr="00542EB9">
        <w:rPr>
          <w:rFonts w:eastAsia="Calibri"/>
          <w:noProof/>
        </w:rPr>
        <w:t>The Political Guidelines also highlighted the importance of developing the European Saving and Investment Union, including banking and capital markets, not least as completing the C</w:t>
      </w:r>
      <w:r w:rsidR="000C218B" w:rsidRPr="00542EB9">
        <w:rPr>
          <w:rFonts w:eastAsia="Calibri"/>
          <w:noProof/>
        </w:rPr>
        <w:t xml:space="preserve">apital </w:t>
      </w:r>
      <w:r w:rsidR="55DECC9F" w:rsidRPr="00542EB9">
        <w:rPr>
          <w:rFonts w:eastAsia="Calibri"/>
          <w:noProof/>
        </w:rPr>
        <w:t>M</w:t>
      </w:r>
      <w:r w:rsidR="000C218B" w:rsidRPr="00542EB9">
        <w:rPr>
          <w:rFonts w:eastAsia="Calibri"/>
          <w:noProof/>
        </w:rPr>
        <w:t xml:space="preserve">arkets </w:t>
      </w:r>
      <w:r w:rsidR="55DECC9F" w:rsidRPr="00542EB9">
        <w:rPr>
          <w:rFonts w:eastAsia="Calibri"/>
          <w:noProof/>
        </w:rPr>
        <w:t>U</w:t>
      </w:r>
      <w:r w:rsidR="000C218B" w:rsidRPr="00542EB9">
        <w:rPr>
          <w:rFonts w:eastAsia="Calibri"/>
          <w:noProof/>
        </w:rPr>
        <w:t>nion</w:t>
      </w:r>
      <w:r w:rsidR="55DECC9F" w:rsidRPr="00542EB9">
        <w:rPr>
          <w:rFonts w:eastAsia="Calibri"/>
          <w:noProof/>
        </w:rPr>
        <w:t xml:space="preserve"> could attract an extra EUR 470 billion of investment per year; financing that is needed for the</w:t>
      </w:r>
      <w:r w:rsidR="004A781C" w:rsidRPr="00542EB9">
        <w:rPr>
          <w:rFonts w:eastAsia="Calibri"/>
          <w:noProof/>
        </w:rPr>
        <w:t xml:space="preserve"> EU’s strategic priorities.</w:t>
      </w:r>
      <w:r w:rsidR="00FE688D" w:rsidRPr="00542EB9">
        <w:rPr>
          <w:rFonts w:eastAsia="Calibri"/>
          <w:noProof/>
        </w:rPr>
        <w:t xml:space="preserve"> </w:t>
      </w:r>
    </w:p>
    <w:p w14:paraId="1FBF4D8B" w14:textId="002BA59D" w:rsidR="00F90375" w:rsidRPr="00542EB9" w:rsidRDefault="6B502E80" w:rsidP="00044017">
      <w:pPr>
        <w:rPr>
          <w:noProof/>
        </w:rPr>
      </w:pPr>
      <w:r w:rsidRPr="00542EB9">
        <w:rPr>
          <w:b/>
          <w:bCs/>
          <w:noProof/>
        </w:rPr>
        <w:t xml:space="preserve">The Customs Union remains the foundation of the Union and a fundamental enabler of the </w:t>
      </w:r>
      <w:r w:rsidR="0F23D9A4" w:rsidRPr="00542EB9">
        <w:rPr>
          <w:b/>
          <w:bCs/>
          <w:noProof/>
        </w:rPr>
        <w:t>s</w:t>
      </w:r>
      <w:r w:rsidR="05AF29A2" w:rsidRPr="00542EB9">
        <w:rPr>
          <w:b/>
          <w:bCs/>
          <w:noProof/>
        </w:rPr>
        <w:t xml:space="preserve">ingle </w:t>
      </w:r>
      <w:r w:rsidR="0F23D9A4" w:rsidRPr="00542EB9">
        <w:rPr>
          <w:b/>
          <w:bCs/>
          <w:noProof/>
        </w:rPr>
        <w:t>m</w:t>
      </w:r>
      <w:r w:rsidR="71D8E289" w:rsidRPr="00542EB9">
        <w:rPr>
          <w:b/>
          <w:bCs/>
          <w:noProof/>
        </w:rPr>
        <w:t>arket</w:t>
      </w:r>
      <w:r w:rsidRPr="00542EB9">
        <w:rPr>
          <w:b/>
          <w:bCs/>
          <w:noProof/>
        </w:rPr>
        <w:t xml:space="preserve"> and other EU political priorities.</w:t>
      </w:r>
      <w:r w:rsidRPr="00542EB9">
        <w:rPr>
          <w:noProof/>
        </w:rPr>
        <w:t xml:space="preserve"> It has a key function not only in view of its traditional role in duty collection for the Union budget but also because customs authorities hold a key role in ensuring external border</w:t>
      </w:r>
      <w:r w:rsidR="00056EA6" w:rsidRPr="00542EB9">
        <w:rPr>
          <w:noProof/>
        </w:rPr>
        <w:t>s</w:t>
      </w:r>
      <w:r w:rsidRPr="00542EB9">
        <w:rPr>
          <w:noProof/>
        </w:rPr>
        <w:t xml:space="preserve"> and supply chain security, contributing to </w:t>
      </w:r>
      <w:r w:rsidR="3DCFBCB0" w:rsidRPr="00542EB9">
        <w:rPr>
          <w:noProof/>
        </w:rPr>
        <w:t xml:space="preserve">safety and </w:t>
      </w:r>
      <w:r w:rsidRPr="00542EB9">
        <w:rPr>
          <w:noProof/>
        </w:rPr>
        <w:t xml:space="preserve">security </w:t>
      </w:r>
      <w:r w:rsidR="3DCFBCB0" w:rsidRPr="00542EB9">
        <w:rPr>
          <w:noProof/>
        </w:rPr>
        <w:t xml:space="preserve">in </w:t>
      </w:r>
      <w:r w:rsidRPr="00542EB9">
        <w:rPr>
          <w:noProof/>
        </w:rPr>
        <w:t xml:space="preserve">the European Union. In order to make the </w:t>
      </w:r>
      <w:r w:rsidR="3F931904" w:rsidRPr="00542EB9">
        <w:rPr>
          <w:noProof/>
        </w:rPr>
        <w:t>C</w:t>
      </w:r>
      <w:r w:rsidRPr="00542EB9">
        <w:rPr>
          <w:noProof/>
        </w:rPr>
        <w:t xml:space="preserve">ustoms </w:t>
      </w:r>
      <w:r w:rsidR="3F931904" w:rsidRPr="00542EB9">
        <w:rPr>
          <w:noProof/>
        </w:rPr>
        <w:t>U</w:t>
      </w:r>
      <w:r w:rsidRPr="00542EB9">
        <w:rPr>
          <w:noProof/>
        </w:rPr>
        <w:t>nion work in practi</w:t>
      </w:r>
      <w:r w:rsidR="422DD094" w:rsidRPr="00542EB9">
        <w:rPr>
          <w:noProof/>
        </w:rPr>
        <w:t>c</w:t>
      </w:r>
      <w:r w:rsidRPr="00542EB9">
        <w:rPr>
          <w:noProof/>
        </w:rPr>
        <w:t xml:space="preserve">e, the Commission and the customs administrations of the Member States need to design common solutions to common problems. </w:t>
      </w:r>
      <w:r w:rsidR="2A0E226C" w:rsidRPr="00542EB9">
        <w:rPr>
          <w:noProof/>
        </w:rPr>
        <w:t>Over the past decades, the responsibilities of Member States</w:t>
      </w:r>
      <w:r w:rsidR="4CE3854C" w:rsidRPr="00542EB9">
        <w:rPr>
          <w:noProof/>
        </w:rPr>
        <w:t>’</w:t>
      </w:r>
      <w:r w:rsidR="2A0E226C" w:rsidRPr="00542EB9">
        <w:rPr>
          <w:noProof/>
        </w:rPr>
        <w:t xml:space="preserve"> customs authorities have extended beyond their traditional role in supervising and facilitating EU trade and its economic interest by taking on an increasing number of responsibilities in the field of safety and security with a view to protecting the public against </w:t>
      </w:r>
      <w:r w:rsidR="3BC1F681" w:rsidRPr="00542EB9">
        <w:rPr>
          <w:noProof/>
        </w:rPr>
        <w:t xml:space="preserve">threats </w:t>
      </w:r>
      <w:r w:rsidR="209516A6" w:rsidRPr="00542EB9">
        <w:rPr>
          <w:noProof/>
        </w:rPr>
        <w:t>related to</w:t>
      </w:r>
      <w:r w:rsidR="2A0E226C" w:rsidRPr="00542EB9">
        <w:rPr>
          <w:noProof/>
        </w:rPr>
        <w:t xml:space="preserve"> health, </w:t>
      </w:r>
      <w:r w:rsidR="112E6435" w:rsidRPr="00542EB9">
        <w:rPr>
          <w:noProof/>
        </w:rPr>
        <w:t xml:space="preserve">protecting </w:t>
      </w:r>
      <w:r w:rsidR="156F4E3A" w:rsidRPr="00542EB9">
        <w:rPr>
          <w:noProof/>
        </w:rPr>
        <w:t xml:space="preserve">the </w:t>
      </w:r>
      <w:r w:rsidR="2A0E226C" w:rsidRPr="00542EB9">
        <w:rPr>
          <w:noProof/>
        </w:rPr>
        <w:t xml:space="preserve">environment and other </w:t>
      </w:r>
      <w:r w:rsidR="209516A6" w:rsidRPr="00542EB9">
        <w:rPr>
          <w:noProof/>
        </w:rPr>
        <w:t>areas</w:t>
      </w:r>
      <w:r w:rsidR="2A0E226C" w:rsidRPr="00542EB9">
        <w:rPr>
          <w:noProof/>
        </w:rPr>
        <w:t xml:space="preserve">. Given this broad mandate, </w:t>
      </w:r>
      <w:r w:rsidR="61C8E2B0" w:rsidRPr="00542EB9">
        <w:rPr>
          <w:noProof/>
        </w:rPr>
        <w:t xml:space="preserve">the </w:t>
      </w:r>
      <w:r w:rsidR="2A0E226C" w:rsidRPr="00542EB9">
        <w:rPr>
          <w:noProof/>
        </w:rPr>
        <w:t xml:space="preserve">customs </w:t>
      </w:r>
      <w:r w:rsidR="61C8E2B0" w:rsidRPr="00542EB9">
        <w:rPr>
          <w:noProof/>
        </w:rPr>
        <w:t>administrations</w:t>
      </w:r>
      <w:r w:rsidR="2A0E226C" w:rsidRPr="00542EB9">
        <w:rPr>
          <w:noProof/>
        </w:rPr>
        <w:t xml:space="preserve"> </w:t>
      </w:r>
      <w:r w:rsidR="2395F5F3" w:rsidRPr="00542EB9">
        <w:rPr>
          <w:noProof/>
        </w:rPr>
        <w:t>are</w:t>
      </w:r>
      <w:r w:rsidR="2A0E226C" w:rsidRPr="00542EB9">
        <w:rPr>
          <w:noProof/>
        </w:rPr>
        <w:t xml:space="preserve"> now effectively the lead authority for the control of goods at the EU's external borders</w:t>
      </w:r>
      <w:r w:rsidR="005D4E05" w:rsidRPr="00542EB9">
        <w:rPr>
          <w:rStyle w:val="FootnoteReference"/>
          <w:noProof/>
        </w:rPr>
        <w:footnoteReference w:id="5"/>
      </w:r>
      <w:r w:rsidR="2A0E226C" w:rsidRPr="00542EB9">
        <w:rPr>
          <w:noProof/>
        </w:rPr>
        <w:t xml:space="preserve">. </w:t>
      </w:r>
    </w:p>
    <w:p w14:paraId="7026BF8C" w14:textId="7117F215" w:rsidR="001B40C8" w:rsidRPr="00581B34" w:rsidRDefault="6E661E28" w:rsidP="001B40C8">
      <w:pPr>
        <w:rPr>
          <w:rFonts w:eastAsia="Times New Roman"/>
          <w:noProof/>
          <w:vertAlign w:val="superscript"/>
        </w:rPr>
      </w:pPr>
      <w:r w:rsidRPr="00542EB9">
        <w:rPr>
          <w:noProof/>
        </w:rPr>
        <w:t xml:space="preserve">In addition, Council Regulation </w:t>
      </w:r>
      <w:r w:rsidR="003B47A6" w:rsidRPr="00542EB9">
        <w:rPr>
          <w:noProof/>
        </w:rPr>
        <w:t>(EC) No</w:t>
      </w:r>
      <w:r w:rsidRPr="00542EB9">
        <w:rPr>
          <w:noProof/>
        </w:rPr>
        <w:t xml:space="preserve"> 515/97 provides that the Union supports the mutual assistance between the administrative authorities of the Member States and cooperation between the latter and the Commission, to ensure the correct application of the law on customs and agricultural matters.</w:t>
      </w:r>
      <w:r w:rsidR="006E6107" w:rsidRPr="00542EB9">
        <w:rPr>
          <w:noProof/>
        </w:rPr>
        <w:t xml:space="preserve"> </w:t>
      </w:r>
      <w:r w:rsidR="001B40C8" w:rsidRPr="00542EB9">
        <w:rPr>
          <w:rFonts w:eastAsia="Calibri"/>
          <w:noProof/>
        </w:rPr>
        <w:t xml:space="preserve">As pointed out in the Letta report, EU consumers are just as vital to the </w:t>
      </w:r>
      <w:r w:rsidR="005459CC" w:rsidRPr="00542EB9">
        <w:rPr>
          <w:rFonts w:eastAsia="Calibri"/>
          <w:noProof/>
        </w:rPr>
        <w:t>single market</w:t>
      </w:r>
      <w:r w:rsidR="001B40C8" w:rsidRPr="00542EB9">
        <w:rPr>
          <w:rFonts w:eastAsia="Calibri"/>
          <w:noProof/>
        </w:rPr>
        <w:t xml:space="preserve"> as the benefits they receive from it. In 2024, household spending in the EU accounted for more than 50% of the EU’s </w:t>
      </w:r>
      <w:r w:rsidR="4A187631" w:rsidRPr="00542EB9">
        <w:rPr>
          <w:rFonts w:eastAsia="Calibri"/>
          <w:noProof/>
        </w:rPr>
        <w:t>GD</w:t>
      </w:r>
      <w:r w:rsidR="35FC718C" w:rsidRPr="00542EB9">
        <w:rPr>
          <w:rFonts w:eastAsia="Calibri"/>
          <w:noProof/>
        </w:rPr>
        <w:t>P</w:t>
      </w:r>
      <w:r w:rsidRPr="00542EB9">
        <w:rPr>
          <w:rFonts w:asciiTheme="minorHAnsi" w:eastAsiaTheme="minorEastAsia" w:hAnsiTheme="minorHAnsi" w:cstheme="minorBidi"/>
          <w:noProof/>
          <w:vertAlign w:val="superscript"/>
        </w:rPr>
        <w:footnoteReference w:id="6"/>
      </w:r>
      <w:r w:rsidR="00020A87" w:rsidRPr="00542EB9">
        <w:rPr>
          <w:noProof/>
        </w:rPr>
        <w:t>. T</w:t>
      </w:r>
      <w:r w:rsidR="001B40C8" w:rsidRPr="00542EB9">
        <w:rPr>
          <w:rFonts w:eastAsia="Calibri"/>
          <w:noProof/>
        </w:rPr>
        <w:t xml:space="preserve">he ability to reach 450 million consumers with strong purchasing power offers businesses a major advantage, enabling them to scale operations, boost sales, and generate the revenue necessary to innovate and stay competitive. Consumer and investor protection is a cornerstone of a well-functioning </w:t>
      </w:r>
      <w:r w:rsidR="005459CC" w:rsidRPr="00542EB9">
        <w:rPr>
          <w:rFonts w:eastAsia="Calibri"/>
          <w:noProof/>
        </w:rPr>
        <w:t>single market</w:t>
      </w:r>
      <w:r w:rsidR="001B40C8" w:rsidRPr="00542EB9">
        <w:rPr>
          <w:rFonts w:eastAsia="Calibri"/>
          <w:noProof/>
        </w:rPr>
        <w:t xml:space="preserve">. It builds trust, empowers individuals to make informed choices, and ensures that businesses compete fairly across borders. Strong consumer rights and effective enforcement prevent fraud, unsafe products, and misleading practices, thereby fostering confidence in cross-border purchases, especially in the digital and online marketplaces that are increasingly central to the EU economy. By safeguarding consumers, the EU not only enhances individual welfare but </w:t>
      </w:r>
      <w:r w:rsidR="001B40C8" w:rsidRPr="00581B34">
        <w:rPr>
          <w:rFonts w:eastAsia="Calibri"/>
          <w:noProof/>
        </w:rPr>
        <w:t>also strengthens demand, drives innovation, and contributes to market stability.</w:t>
      </w:r>
    </w:p>
    <w:p w14:paraId="753B2A56" w14:textId="37D95F94" w:rsidR="00BC384C" w:rsidRPr="00542EB9" w:rsidRDefault="64F39502" w:rsidP="00DC6FD4">
      <w:pPr>
        <w:spacing w:before="246" w:after="0" w:line="228" w:lineRule="auto"/>
        <w:ind w:right="-27"/>
        <w:rPr>
          <w:noProof/>
        </w:rPr>
      </w:pPr>
      <w:r w:rsidRPr="00581B34">
        <w:rPr>
          <w:noProof/>
        </w:rPr>
        <w:t>The priorities for the 2024-2029 Commission announced in President von der Leyen’s Political Guideline</w:t>
      </w:r>
      <w:r w:rsidR="3510C8DA" w:rsidRPr="00581B34">
        <w:rPr>
          <w:noProof/>
        </w:rPr>
        <w:t>s</w:t>
      </w:r>
      <w:r w:rsidRPr="00581B34">
        <w:rPr>
          <w:noProof/>
        </w:rPr>
        <w:t xml:space="preserve"> include the need to </w:t>
      </w:r>
      <w:r w:rsidR="42B83372" w:rsidRPr="00581B34">
        <w:rPr>
          <w:noProof/>
        </w:rPr>
        <w:t xml:space="preserve">further </w:t>
      </w:r>
      <w:r w:rsidRPr="00581B34">
        <w:rPr>
          <w:b/>
          <w:bCs/>
          <w:noProof/>
        </w:rPr>
        <w:t xml:space="preserve">deepen the </w:t>
      </w:r>
      <w:r w:rsidR="7CC896E5" w:rsidRPr="00581B34">
        <w:rPr>
          <w:b/>
          <w:bCs/>
          <w:noProof/>
        </w:rPr>
        <w:t>single m</w:t>
      </w:r>
      <w:r w:rsidR="5ECBBAC4" w:rsidRPr="00581B34">
        <w:rPr>
          <w:b/>
          <w:bCs/>
          <w:noProof/>
        </w:rPr>
        <w:t>arket</w:t>
      </w:r>
      <w:r w:rsidR="71530C69" w:rsidRPr="00581B34">
        <w:rPr>
          <w:noProof/>
        </w:rPr>
        <w:t xml:space="preserve">, </w:t>
      </w:r>
      <w:r w:rsidR="0937701D" w:rsidRPr="00581B34">
        <w:rPr>
          <w:noProof/>
        </w:rPr>
        <w:t xml:space="preserve">leading to sustainable prosperity and competitiveness, </w:t>
      </w:r>
      <w:r w:rsidR="0F531B01" w:rsidRPr="00581B34">
        <w:rPr>
          <w:noProof/>
        </w:rPr>
        <w:t>and</w:t>
      </w:r>
      <w:r w:rsidR="57EF80E1" w:rsidRPr="00581B34">
        <w:rPr>
          <w:noProof/>
        </w:rPr>
        <w:t xml:space="preserve"> prioritise advancing Europe’s </w:t>
      </w:r>
      <w:r w:rsidR="57EF80E1" w:rsidRPr="00581B34">
        <w:rPr>
          <w:b/>
          <w:bCs/>
          <w:noProof/>
        </w:rPr>
        <w:t xml:space="preserve">economic </w:t>
      </w:r>
      <w:r w:rsidR="430A358B" w:rsidRPr="00581B34">
        <w:rPr>
          <w:b/>
          <w:bCs/>
          <w:noProof/>
        </w:rPr>
        <w:t xml:space="preserve">independence </w:t>
      </w:r>
      <w:r w:rsidR="430A358B" w:rsidRPr="00581B34">
        <w:rPr>
          <w:noProof/>
        </w:rPr>
        <w:t>(</w:t>
      </w:r>
      <w:r w:rsidR="57EF80E1" w:rsidRPr="00581B34">
        <w:rPr>
          <w:noProof/>
        </w:rPr>
        <w:t>security and economic statecraft</w:t>
      </w:r>
      <w:r w:rsidR="430A358B" w:rsidRPr="00581B34">
        <w:rPr>
          <w:noProof/>
        </w:rPr>
        <w:t>)</w:t>
      </w:r>
      <w:r w:rsidRPr="00581B34">
        <w:rPr>
          <w:noProof/>
        </w:rPr>
        <w:t xml:space="preserve">. </w:t>
      </w:r>
      <w:r w:rsidR="701EE3E1" w:rsidRPr="00581B34">
        <w:rPr>
          <w:noProof/>
        </w:rPr>
        <w:t>This also relates to</w:t>
      </w:r>
      <w:r w:rsidR="2DE0DEC8" w:rsidRPr="00581B34">
        <w:rPr>
          <w:noProof/>
        </w:rPr>
        <w:t xml:space="preserve"> tackling challenges with </w:t>
      </w:r>
      <w:r w:rsidR="2DE0DEC8" w:rsidRPr="00581B34">
        <w:rPr>
          <w:b/>
          <w:bCs/>
          <w:noProof/>
        </w:rPr>
        <w:t>e-commerce platforms</w:t>
      </w:r>
      <w:r w:rsidR="2DE0DEC8" w:rsidRPr="00581B34">
        <w:rPr>
          <w:noProof/>
        </w:rPr>
        <w:t xml:space="preserve"> to ensure consumers and businesses benefit from </w:t>
      </w:r>
      <w:r w:rsidR="2DE0DEC8" w:rsidRPr="00581B34">
        <w:rPr>
          <w:b/>
          <w:bCs/>
          <w:noProof/>
        </w:rPr>
        <w:t>a level playing field based on effective customs, tax and safety controls and sustainability standards</w:t>
      </w:r>
      <w:r w:rsidR="3DFFC234" w:rsidRPr="00581B34">
        <w:rPr>
          <w:noProof/>
        </w:rPr>
        <w:t xml:space="preserve">. </w:t>
      </w:r>
      <w:r w:rsidR="7C72A2DC" w:rsidRPr="00581B34">
        <w:rPr>
          <w:b/>
          <w:bCs/>
          <w:noProof/>
        </w:rPr>
        <w:t>The</w:t>
      </w:r>
      <w:r w:rsidR="7C72A2DC" w:rsidRPr="00581B34">
        <w:rPr>
          <w:noProof/>
        </w:rPr>
        <w:t xml:space="preserve"> </w:t>
      </w:r>
      <w:r w:rsidR="390246A9" w:rsidRPr="00581B34">
        <w:rPr>
          <w:b/>
          <w:bCs/>
          <w:noProof/>
        </w:rPr>
        <w:t>single</w:t>
      </w:r>
      <w:r w:rsidR="7C72A2DC" w:rsidRPr="00581B34">
        <w:rPr>
          <w:b/>
          <w:bCs/>
          <w:noProof/>
        </w:rPr>
        <w:t xml:space="preserve"> </w:t>
      </w:r>
      <w:r w:rsidR="390246A9" w:rsidRPr="00581B34">
        <w:rPr>
          <w:b/>
          <w:bCs/>
          <w:noProof/>
        </w:rPr>
        <w:t>m</w:t>
      </w:r>
      <w:r w:rsidR="5ECBBAC4" w:rsidRPr="00581B34">
        <w:rPr>
          <w:b/>
          <w:bCs/>
          <w:noProof/>
        </w:rPr>
        <w:t>arket</w:t>
      </w:r>
      <w:r w:rsidR="7C72A2DC" w:rsidRPr="00581B34">
        <w:rPr>
          <w:b/>
          <w:bCs/>
          <w:noProof/>
        </w:rPr>
        <w:t xml:space="preserve"> must </w:t>
      </w:r>
      <w:r w:rsidR="0C0AE55F" w:rsidRPr="00581B34">
        <w:rPr>
          <w:b/>
          <w:bCs/>
          <w:noProof/>
        </w:rPr>
        <w:t>be</w:t>
      </w:r>
      <w:r w:rsidR="0C0AE55F" w:rsidRPr="00581B34">
        <w:rPr>
          <w:noProof/>
        </w:rPr>
        <w:t xml:space="preserve"> </w:t>
      </w:r>
      <w:r w:rsidR="0C0AE55F" w:rsidRPr="00581B34">
        <w:rPr>
          <w:b/>
          <w:bCs/>
          <w:noProof/>
        </w:rPr>
        <w:t xml:space="preserve">agile </w:t>
      </w:r>
      <w:r w:rsidR="20A7155C" w:rsidRPr="00581B34">
        <w:rPr>
          <w:b/>
          <w:bCs/>
          <w:noProof/>
        </w:rPr>
        <w:t>and</w:t>
      </w:r>
      <w:r w:rsidR="1C6E3E4B" w:rsidRPr="00581B34">
        <w:rPr>
          <w:b/>
          <w:bCs/>
          <w:noProof/>
        </w:rPr>
        <w:t xml:space="preserve"> </w:t>
      </w:r>
      <w:r w:rsidR="7C72A2DC" w:rsidRPr="00581B34">
        <w:rPr>
          <w:b/>
          <w:bCs/>
          <w:noProof/>
        </w:rPr>
        <w:t>continue to adapt to new challenges</w:t>
      </w:r>
      <w:r w:rsidR="353BE203" w:rsidRPr="00581B34">
        <w:rPr>
          <w:noProof/>
        </w:rPr>
        <w:t>, including demographic ones</w:t>
      </w:r>
      <w:r w:rsidR="7C72A2DC" w:rsidRPr="00581B34">
        <w:rPr>
          <w:noProof/>
        </w:rPr>
        <w:t>, as recognised, among others, by the European Parliament in its Resolution on the 30</w:t>
      </w:r>
      <w:r w:rsidR="7C72A2DC" w:rsidRPr="00581B34">
        <w:rPr>
          <w:noProof/>
          <w:vertAlign w:val="superscript"/>
        </w:rPr>
        <w:t>th</w:t>
      </w:r>
      <w:r w:rsidR="7C72A2DC" w:rsidRPr="00581B34">
        <w:rPr>
          <w:noProof/>
        </w:rPr>
        <w:t xml:space="preserve"> anniversary of the </w:t>
      </w:r>
      <w:r w:rsidR="390246A9" w:rsidRPr="00581B34">
        <w:rPr>
          <w:noProof/>
        </w:rPr>
        <w:t>single</w:t>
      </w:r>
      <w:r w:rsidR="7C72A2DC" w:rsidRPr="00581B34">
        <w:rPr>
          <w:noProof/>
        </w:rPr>
        <w:t xml:space="preserve"> </w:t>
      </w:r>
      <w:r w:rsidR="390246A9" w:rsidRPr="00581B34">
        <w:rPr>
          <w:noProof/>
        </w:rPr>
        <w:t>m</w:t>
      </w:r>
      <w:r w:rsidR="5ECBBAC4" w:rsidRPr="00581B34">
        <w:rPr>
          <w:noProof/>
        </w:rPr>
        <w:t>arket</w:t>
      </w:r>
      <w:r w:rsidR="00BB019A" w:rsidRPr="00581B34">
        <w:rPr>
          <w:noProof/>
          <w:sz w:val="20"/>
          <w:szCs w:val="20"/>
          <w:vertAlign w:val="superscript"/>
        </w:rPr>
        <w:footnoteReference w:id="7"/>
      </w:r>
      <w:r w:rsidR="7C72A2DC" w:rsidRPr="00581B34">
        <w:rPr>
          <w:noProof/>
        </w:rPr>
        <w:t>.</w:t>
      </w:r>
    </w:p>
    <w:p w14:paraId="1CA21FDC" w14:textId="2479828A" w:rsidR="007345C1" w:rsidRPr="00542EB9" w:rsidRDefault="7C72A2DC" w:rsidP="00DC6FD4">
      <w:pPr>
        <w:spacing w:before="246" w:after="0" w:line="228" w:lineRule="auto"/>
        <w:ind w:right="-27"/>
        <w:rPr>
          <w:noProof/>
          <w:vertAlign w:val="superscript"/>
        </w:rPr>
      </w:pPr>
      <w:r w:rsidRPr="00542EB9">
        <w:rPr>
          <w:noProof/>
        </w:rPr>
        <w:t xml:space="preserve">A collective effort is required to continue maintaining it, deepening it, harnessing its full potential, preserving a level playing field both internally and globally, and </w:t>
      </w:r>
      <w:r w:rsidRPr="00542EB9">
        <w:rPr>
          <w:b/>
          <w:bCs/>
          <w:noProof/>
        </w:rPr>
        <w:t>ensuring it underpins the EU’s prosperity through long-term competitiveness and productivity</w:t>
      </w:r>
      <w:r w:rsidRPr="00542EB9">
        <w:rPr>
          <w:noProof/>
        </w:rPr>
        <w:t>, as requested by the European Council</w:t>
      </w:r>
      <w:r w:rsidR="00BB019A" w:rsidRPr="00542EB9">
        <w:rPr>
          <w:noProof/>
          <w:sz w:val="20"/>
          <w:szCs w:val="20"/>
          <w:vertAlign w:val="superscript"/>
        </w:rPr>
        <w:footnoteReference w:id="8"/>
      </w:r>
      <w:r w:rsidRPr="00542EB9">
        <w:rPr>
          <w:noProof/>
        </w:rPr>
        <w:t xml:space="preserve">. </w:t>
      </w:r>
    </w:p>
    <w:p w14:paraId="6AF42E5F" w14:textId="600BBB95" w:rsidR="385CE55F" w:rsidRPr="00542EB9" w:rsidRDefault="385CE55F" w:rsidP="658819FF">
      <w:pPr>
        <w:spacing w:before="246" w:after="0" w:line="228" w:lineRule="auto"/>
        <w:ind w:right="-27"/>
        <w:rPr>
          <w:noProof/>
        </w:rPr>
      </w:pPr>
      <w:r w:rsidRPr="00542EB9">
        <w:rPr>
          <w:noProof/>
        </w:rPr>
        <w:t>Moreover, as outlined in Letta’s report, the limited level of interoperability among public administrations constitutes an important limit to the free movement of goods, services and capital</w:t>
      </w:r>
      <w:r w:rsidRPr="00542EB9">
        <w:rPr>
          <w:noProof/>
          <w:sz w:val="20"/>
          <w:szCs w:val="20"/>
          <w:vertAlign w:val="superscript"/>
        </w:rPr>
        <w:footnoteReference w:id="9"/>
      </w:r>
      <w:r w:rsidR="00601F11" w:rsidRPr="00542EB9">
        <w:rPr>
          <w:noProof/>
        </w:rPr>
        <w:t>.</w:t>
      </w:r>
      <w:r w:rsidRPr="00542EB9">
        <w:rPr>
          <w:noProof/>
        </w:rPr>
        <w:t xml:space="preserve"> Thereby, increasing the capacity of public administration</w:t>
      </w:r>
      <w:r w:rsidR="53BA2E95" w:rsidRPr="00542EB9">
        <w:rPr>
          <w:noProof/>
        </w:rPr>
        <w:t>s</w:t>
      </w:r>
      <w:r w:rsidRPr="00542EB9">
        <w:rPr>
          <w:noProof/>
        </w:rPr>
        <w:t xml:space="preserve"> to cooperate</w:t>
      </w:r>
      <w:r w:rsidRPr="00542EB9">
        <w:rPr>
          <w:noProof/>
          <w:vertAlign w:val="superscript"/>
        </w:rPr>
        <w:footnoteReference w:id="10"/>
      </w:r>
      <w:r w:rsidRPr="00542EB9">
        <w:rPr>
          <w:noProof/>
          <w:vertAlign w:val="superscript"/>
        </w:rPr>
        <w:t xml:space="preserve"> </w:t>
      </w:r>
      <w:r w:rsidRPr="00542EB9">
        <w:rPr>
          <w:noProof/>
        </w:rPr>
        <w:t xml:space="preserve">and to securely and seamlessly exchange data, while ensuring an effective and consistent application of digital-ready policymaking will be key for the proper functioning of the </w:t>
      </w:r>
      <w:r w:rsidR="00601F11" w:rsidRPr="00542EB9">
        <w:rPr>
          <w:noProof/>
        </w:rPr>
        <w:t>s</w:t>
      </w:r>
      <w:r w:rsidRPr="00542EB9">
        <w:rPr>
          <w:noProof/>
        </w:rPr>
        <w:t xml:space="preserve">ingle </w:t>
      </w:r>
      <w:r w:rsidR="00601F11" w:rsidRPr="00542EB9">
        <w:rPr>
          <w:noProof/>
        </w:rPr>
        <w:t>m</w:t>
      </w:r>
      <w:r w:rsidRPr="00542EB9">
        <w:rPr>
          <w:noProof/>
        </w:rPr>
        <w:t>arket.</w:t>
      </w:r>
    </w:p>
    <w:p w14:paraId="5DDAA218" w14:textId="77777777" w:rsidR="007345C1" w:rsidRPr="00542EB9" w:rsidRDefault="007345C1" w:rsidP="00732870">
      <w:pPr>
        <w:spacing w:after="0"/>
        <w:rPr>
          <w:noProof/>
        </w:rPr>
      </w:pPr>
    </w:p>
    <w:p w14:paraId="08271A8C" w14:textId="74FF8269" w:rsidR="005422AC" w:rsidRPr="00542EB9" w:rsidRDefault="5DDA54B9" w:rsidP="005422AC">
      <w:pPr>
        <w:rPr>
          <w:rFonts w:eastAsia="Times New Roman"/>
          <w:noProof/>
        </w:rPr>
      </w:pPr>
      <w:r w:rsidRPr="00542EB9">
        <w:rPr>
          <w:noProof/>
        </w:rPr>
        <w:t xml:space="preserve">The </w:t>
      </w:r>
      <w:r w:rsidR="57963CF0" w:rsidRPr="00542EB9">
        <w:rPr>
          <w:noProof/>
        </w:rPr>
        <w:t>single</w:t>
      </w:r>
      <w:r w:rsidRPr="00542EB9">
        <w:rPr>
          <w:noProof/>
        </w:rPr>
        <w:t xml:space="preserve"> </w:t>
      </w:r>
      <w:r w:rsidR="57963CF0" w:rsidRPr="00542EB9">
        <w:rPr>
          <w:noProof/>
        </w:rPr>
        <w:t>m</w:t>
      </w:r>
      <w:r w:rsidR="35744D0F" w:rsidRPr="00542EB9">
        <w:rPr>
          <w:noProof/>
        </w:rPr>
        <w:t>arket</w:t>
      </w:r>
      <w:r w:rsidRPr="00542EB9">
        <w:rPr>
          <w:noProof/>
        </w:rPr>
        <w:t xml:space="preserve"> is a common space which attracts investments within the EU and from outside the EU by having a </w:t>
      </w:r>
      <w:r w:rsidRPr="00542EB9">
        <w:rPr>
          <w:b/>
          <w:bCs/>
          <w:noProof/>
        </w:rPr>
        <w:t>predictable and simple regulatory framework.</w:t>
      </w:r>
      <w:r w:rsidR="200AC00C" w:rsidRPr="00542EB9">
        <w:rPr>
          <w:b/>
          <w:bCs/>
          <w:noProof/>
        </w:rPr>
        <w:t xml:space="preserve"> </w:t>
      </w:r>
      <w:r w:rsidR="23213025" w:rsidRPr="00542EB9">
        <w:rPr>
          <w:rFonts w:eastAsia="Times New Roman"/>
          <w:b/>
          <w:bCs/>
          <w:noProof/>
        </w:rPr>
        <w:t xml:space="preserve">European </w:t>
      </w:r>
      <w:r w:rsidR="51D89B32" w:rsidRPr="00542EB9">
        <w:rPr>
          <w:rFonts w:eastAsia="Times New Roman"/>
          <w:b/>
          <w:bCs/>
          <w:noProof/>
        </w:rPr>
        <w:t xml:space="preserve">official </w:t>
      </w:r>
      <w:r w:rsidR="23213025" w:rsidRPr="00542EB9">
        <w:rPr>
          <w:rFonts w:eastAsia="Times New Roman"/>
          <w:b/>
          <w:bCs/>
          <w:noProof/>
        </w:rPr>
        <w:t>statistics</w:t>
      </w:r>
      <w:r w:rsidR="23213025" w:rsidRPr="00542EB9">
        <w:rPr>
          <w:rFonts w:eastAsia="Times New Roman"/>
          <w:noProof/>
        </w:rPr>
        <w:t xml:space="preserve"> play a pivotal role in supporting the objectives and functioning of the </w:t>
      </w:r>
      <w:r w:rsidR="005459CC" w:rsidRPr="00542EB9">
        <w:rPr>
          <w:rFonts w:eastAsia="Times New Roman"/>
          <w:noProof/>
        </w:rPr>
        <w:t>single market</w:t>
      </w:r>
      <w:r w:rsidR="23213025" w:rsidRPr="00542EB9">
        <w:rPr>
          <w:rFonts w:eastAsia="Times New Roman"/>
          <w:noProof/>
        </w:rPr>
        <w:t xml:space="preserve"> and the EU’s competitiveness and productivity. The </w:t>
      </w:r>
      <w:r w:rsidR="23213025" w:rsidRPr="00542EB9">
        <w:rPr>
          <w:rFonts w:eastAsia="Times New Roman"/>
          <w:b/>
          <w:bCs/>
          <w:noProof/>
        </w:rPr>
        <w:t>European Statistical System</w:t>
      </w:r>
      <w:r w:rsidR="23213025" w:rsidRPr="00542EB9">
        <w:rPr>
          <w:rFonts w:eastAsia="Times New Roman"/>
          <w:noProof/>
        </w:rPr>
        <w:t xml:space="preserve"> is increasingly benefitting from new data sources and technologies that lead to more timely and relevant statistics in support of all EU political priorities</w:t>
      </w:r>
      <w:r w:rsidR="0057223B" w:rsidRPr="00542EB9">
        <w:rPr>
          <w:rStyle w:val="FootnoteReference"/>
          <w:rFonts w:eastAsia="Times New Roman"/>
          <w:noProof/>
          <w:sz w:val="20"/>
          <w:szCs w:val="20"/>
        </w:rPr>
        <w:footnoteReference w:id="11"/>
      </w:r>
      <w:r w:rsidR="23213025" w:rsidRPr="00542EB9">
        <w:rPr>
          <w:rFonts w:eastAsia="Times New Roman"/>
          <w:noProof/>
        </w:rPr>
        <w:t>.</w:t>
      </w:r>
      <w:r w:rsidR="007E2E16" w:rsidRPr="00542EB9">
        <w:rPr>
          <w:rFonts w:eastAsia="Times New Roman"/>
          <w:noProof/>
        </w:rPr>
        <w:t xml:space="preserve"> </w:t>
      </w:r>
      <w:r w:rsidR="68C8EEFD" w:rsidRPr="00542EB9">
        <w:rPr>
          <w:noProof/>
        </w:rPr>
        <w:t xml:space="preserve">Joint efforts are required to enforce existing rules, remove barriers and explore areas for further integration of the </w:t>
      </w:r>
      <w:r w:rsidR="00C47B5A" w:rsidRPr="00542EB9">
        <w:rPr>
          <w:noProof/>
        </w:rPr>
        <w:t>s</w:t>
      </w:r>
      <w:r w:rsidR="02B2CF57" w:rsidRPr="00542EB9">
        <w:rPr>
          <w:noProof/>
        </w:rPr>
        <w:t xml:space="preserve">ingle </w:t>
      </w:r>
      <w:r w:rsidR="00C47B5A" w:rsidRPr="00542EB9">
        <w:rPr>
          <w:noProof/>
        </w:rPr>
        <w:t>m</w:t>
      </w:r>
      <w:r w:rsidR="02B2CF57" w:rsidRPr="00542EB9">
        <w:rPr>
          <w:noProof/>
        </w:rPr>
        <w:t>arket.</w:t>
      </w:r>
      <w:r w:rsidR="68C8EEFD" w:rsidRPr="00542EB9">
        <w:rPr>
          <w:noProof/>
        </w:rPr>
        <w:t xml:space="preserve"> </w:t>
      </w:r>
      <w:r w:rsidR="68C8EEFD" w:rsidRPr="00542EB9">
        <w:rPr>
          <w:rFonts w:eastAsiaTheme="minorEastAsia"/>
          <w:noProof/>
        </w:rPr>
        <w:t xml:space="preserve">The potential benefits are very significant: it has been estimated that removing Member State-level barriers to the </w:t>
      </w:r>
      <w:r w:rsidR="0FBC2FFB" w:rsidRPr="00542EB9">
        <w:rPr>
          <w:rFonts w:eastAsiaTheme="minorEastAsia"/>
          <w:noProof/>
        </w:rPr>
        <w:t>single</w:t>
      </w:r>
      <w:r w:rsidR="68C8EEFD" w:rsidRPr="00542EB9">
        <w:rPr>
          <w:rFonts w:eastAsiaTheme="minorEastAsia"/>
          <w:noProof/>
        </w:rPr>
        <w:t xml:space="preserve"> </w:t>
      </w:r>
      <w:r w:rsidR="0FBC2FFB" w:rsidRPr="00542EB9">
        <w:rPr>
          <w:rFonts w:eastAsiaTheme="minorEastAsia"/>
          <w:noProof/>
        </w:rPr>
        <w:t>m</w:t>
      </w:r>
      <w:r w:rsidR="5E1FBFA4" w:rsidRPr="00542EB9">
        <w:rPr>
          <w:rFonts w:eastAsiaTheme="minorEastAsia"/>
          <w:noProof/>
        </w:rPr>
        <w:t>arket</w:t>
      </w:r>
      <w:r w:rsidR="68C8EEFD" w:rsidRPr="00542EB9">
        <w:rPr>
          <w:rFonts w:eastAsiaTheme="minorEastAsia"/>
          <w:noProof/>
        </w:rPr>
        <w:t xml:space="preserve"> for goods and services alone could add EUR 713 billion to the economy by the end of 2029</w:t>
      </w:r>
      <w:r w:rsidR="005422AC" w:rsidRPr="00542EB9">
        <w:rPr>
          <w:rFonts w:eastAsiaTheme="minorEastAsia"/>
          <w:noProof/>
          <w:sz w:val="20"/>
          <w:szCs w:val="20"/>
          <w:vertAlign w:val="superscript"/>
        </w:rPr>
        <w:footnoteReference w:id="12"/>
      </w:r>
      <w:r w:rsidR="68C8EEFD" w:rsidRPr="00542EB9">
        <w:rPr>
          <w:rFonts w:eastAsiaTheme="minorEastAsia"/>
          <w:noProof/>
        </w:rPr>
        <w:t>.</w:t>
      </w:r>
    </w:p>
    <w:p w14:paraId="5D3AAAE2" w14:textId="63C7021E" w:rsidR="15F534F1" w:rsidRPr="00542EB9" w:rsidRDefault="15F534F1" w:rsidP="658819FF">
      <w:pPr>
        <w:spacing w:line="257" w:lineRule="auto"/>
        <w:rPr>
          <w:rFonts w:eastAsia="Times New Roman"/>
          <w:noProof/>
        </w:rPr>
      </w:pPr>
      <w:r w:rsidRPr="00542EB9">
        <w:rPr>
          <w:b/>
          <w:bCs/>
          <w:noProof/>
        </w:rPr>
        <w:t xml:space="preserve">EU competition law has an essential role to play in ensuring the proper functioning of the </w:t>
      </w:r>
      <w:r w:rsidR="005459CC" w:rsidRPr="00542EB9">
        <w:rPr>
          <w:b/>
          <w:bCs/>
          <w:noProof/>
        </w:rPr>
        <w:t>single market</w:t>
      </w:r>
      <w:r w:rsidRPr="00542EB9">
        <w:rPr>
          <w:noProof/>
        </w:rPr>
        <w:t>, as is recognised explicitly in the Treaties on the EU and on the Functioning of the EU (TFEU). The effectiveness of competition in the internal market in turn is an essential driver of EU competitiveness. According to the Draghi Report ‘the evidence is overwhelming that competition stimulates productivity, investment and innovation’, while weak productivity harms productivity growth</w:t>
      </w:r>
      <w:r w:rsidRPr="00542EB9">
        <w:rPr>
          <w:rStyle w:val="FootnoteReference"/>
          <w:rFonts w:asciiTheme="minorHAnsi" w:eastAsiaTheme="minorEastAsia" w:hAnsiTheme="minorHAnsi" w:cstheme="minorBidi"/>
          <w:noProof/>
          <w:sz w:val="20"/>
          <w:szCs w:val="20"/>
        </w:rPr>
        <w:footnoteReference w:id="13"/>
      </w:r>
      <w:r w:rsidRPr="00542EB9">
        <w:rPr>
          <w:noProof/>
          <w:sz w:val="20"/>
          <w:szCs w:val="20"/>
        </w:rPr>
        <w:t>.</w:t>
      </w:r>
      <w:r w:rsidRPr="00542EB9">
        <w:rPr>
          <w:noProof/>
        </w:rPr>
        <w:t xml:space="preserve"> </w:t>
      </w:r>
      <w:r w:rsidRPr="00542EB9">
        <w:rPr>
          <w:b/>
          <w:bCs/>
          <w:noProof/>
        </w:rPr>
        <w:t>Competition enforcement will face the next years new or growing challenges which are likely to significantly increase competition risks and the complexity of enforcement</w:t>
      </w:r>
      <w:r w:rsidRPr="00542EB9">
        <w:rPr>
          <w:noProof/>
        </w:rPr>
        <w:t>. Pr</w:t>
      </w:r>
      <w:r w:rsidRPr="00542EB9">
        <w:rPr>
          <w:rFonts w:eastAsia="Times New Roman"/>
          <w:noProof/>
        </w:rPr>
        <w:t>ofound changes in the economy have led to (i) increasing market and industry concentration, (ii) increasing markups and profits and (iii) decreasing business dynamism.</w:t>
      </w:r>
    </w:p>
    <w:p w14:paraId="65D99321" w14:textId="16C140A9" w:rsidR="00415D44" w:rsidRPr="00542EB9" w:rsidRDefault="3484ACE2" w:rsidP="001A7BC8">
      <w:pPr>
        <w:rPr>
          <w:noProof/>
        </w:rPr>
      </w:pPr>
      <w:r w:rsidRPr="00542EB9">
        <w:rPr>
          <w:b/>
          <w:bCs/>
          <w:noProof/>
        </w:rPr>
        <w:t xml:space="preserve">In the area of customs, the ever growing and rapidly evolving global trade and supply chain </w:t>
      </w:r>
      <w:r w:rsidR="00720A00" w:rsidRPr="00542EB9">
        <w:rPr>
          <w:b/>
          <w:bCs/>
          <w:noProof/>
        </w:rPr>
        <w:t xml:space="preserve">patterns </w:t>
      </w:r>
      <w:r w:rsidRPr="00542EB9">
        <w:rPr>
          <w:b/>
          <w:bCs/>
          <w:noProof/>
        </w:rPr>
        <w:t>requires an agile, yet robust digital customs environment</w:t>
      </w:r>
      <w:r w:rsidRPr="00542EB9">
        <w:rPr>
          <w:noProof/>
        </w:rPr>
        <w:t xml:space="preserve">. </w:t>
      </w:r>
      <w:r w:rsidR="15C8B3D6" w:rsidRPr="00542EB9">
        <w:rPr>
          <w:noProof/>
        </w:rPr>
        <w:t xml:space="preserve">The </w:t>
      </w:r>
      <w:r w:rsidR="5C77FE37" w:rsidRPr="00542EB9">
        <w:rPr>
          <w:noProof/>
        </w:rPr>
        <w:t xml:space="preserve">initiatives to digitalise customs were </w:t>
      </w:r>
      <w:r w:rsidR="00637050" w:rsidRPr="00542EB9">
        <w:rPr>
          <w:noProof/>
        </w:rPr>
        <w:t xml:space="preserve">at the forefront </w:t>
      </w:r>
      <w:r w:rsidR="5C77FE37" w:rsidRPr="00542EB9">
        <w:rPr>
          <w:noProof/>
        </w:rPr>
        <w:t>of the</w:t>
      </w:r>
      <w:r w:rsidR="6C32499D" w:rsidRPr="00542EB9">
        <w:rPr>
          <w:noProof/>
        </w:rPr>
        <w:t xml:space="preserve"> EU’s</w:t>
      </w:r>
      <w:r w:rsidR="5C77FE37" w:rsidRPr="00542EB9">
        <w:rPr>
          <w:noProof/>
        </w:rPr>
        <w:t xml:space="preserve"> digital transition already in the 1990</w:t>
      </w:r>
      <w:r w:rsidR="1BB6C9C5" w:rsidRPr="00542EB9">
        <w:rPr>
          <w:noProof/>
        </w:rPr>
        <w:t xml:space="preserve">s. </w:t>
      </w:r>
      <w:r w:rsidR="43F4A225" w:rsidRPr="00542EB9">
        <w:rPr>
          <w:noProof/>
        </w:rPr>
        <w:t xml:space="preserve">The progress over the decades </w:t>
      </w:r>
      <w:r w:rsidR="568679CF" w:rsidRPr="00542EB9">
        <w:rPr>
          <w:noProof/>
        </w:rPr>
        <w:t xml:space="preserve">reached a watershed moment with the realisation that simply going digital in itself is no longer the reply to </w:t>
      </w:r>
      <w:r w:rsidR="395D94D4" w:rsidRPr="00542EB9">
        <w:rPr>
          <w:noProof/>
        </w:rPr>
        <w:t xml:space="preserve">the needs. </w:t>
      </w:r>
      <w:r w:rsidR="5180653B" w:rsidRPr="00542EB9">
        <w:rPr>
          <w:noProof/>
        </w:rPr>
        <w:t xml:space="preserve">The </w:t>
      </w:r>
      <w:r w:rsidR="4518AAC8" w:rsidRPr="00542EB9">
        <w:rPr>
          <w:noProof/>
        </w:rPr>
        <w:t>drive</w:t>
      </w:r>
      <w:r w:rsidR="5180653B" w:rsidRPr="00542EB9">
        <w:rPr>
          <w:noProof/>
        </w:rPr>
        <w:t xml:space="preserve"> to gain</w:t>
      </w:r>
      <w:r w:rsidR="395D94D4" w:rsidRPr="00542EB9">
        <w:rPr>
          <w:noProof/>
        </w:rPr>
        <w:t xml:space="preserve"> efficiencies and </w:t>
      </w:r>
      <w:r w:rsidR="4518AAC8" w:rsidRPr="00542EB9">
        <w:rPr>
          <w:noProof/>
        </w:rPr>
        <w:t>increase the</w:t>
      </w:r>
      <w:r w:rsidR="395D94D4" w:rsidRPr="00542EB9">
        <w:rPr>
          <w:noProof/>
        </w:rPr>
        <w:t xml:space="preserve"> agile use of data </w:t>
      </w:r>
      <w:r w:rsidR="4D779FBE" w:rsidRPr="00542EB9">
        <w:rPr>
          <w:noProof/>
        </w:rPr>
        <w:t>has</w:t>
      </w:r>
      <w:r w:rsidR="51799D5E" w:rsidRPr="00542EB9">
        <w:rPr>
          <w:noProof/>
        </w:rPr>
        <w:t xml:space="preserve"> </w:t>
      </w:r>
      <w:r w:rsidR="738E77D0" w:rsidRPr="00542EB9">
        <w:rPr>
          <w:noProof/>
        </w:rPr>
        <w:t>led</w:t>
      </w:r>
      <w:r w:rsidR="51799D5E" w:rsidRPr="00542EB9">
        <w:rPr>
          <w:noProof/>
        </w:rPr>
        <w:t xml:space="preserve"> to t</w:t>
      </w:r>
      <w:r w:rsidRPr="00542EB9">
        <w:rPr>
          <w:noProof/>
        </w:rPr>
        <w:t xml:space="preserve">he </w:t>
      </w:r>
      <w:r w:rsidR="00CB5958" w:rsidRPr="00542EB9">
        <w:rPr>
          <w:noProof/>
        </w:rPr>
        <w:t>next</w:t>
      </w:r>
      <w:r w:rsidR="00141854" w:rsidRPr="00542EB9">
        <w:rPr>
          <w:noProof/>
        </w:rPr>
        <w:t xml:space="preserve"> </w:t>
      </w:r>
      <w:r w:rsidR="00CB5958" w:rsidRPr="00542EB9">
        <w:rPr>
          <w:noProof/>
        </w:rPr>
        <w:t>iteration</w:t>
      </w:r>
      <w:r w:rsidR="00FB47A8" w:rsidRPr="00542EB9">
        <w:rPr>
          <w:noProof/>
        </w:rPr>
        <w:t xml:space="preserve"> </w:t>
      </w:r>
      <w:r w:rsidRPr="00542EB9">
        <w:rPr>
          <w:noProof/>
        </w:rPr>
        <w:t>of EU customs policy</w:t>
      </w:r>
      <w:r w:rsidR="51799D5E" w:rsidRPr="00542EB9">
        <w:rPr>
          <w:noProof/>
        </w:rPr>
        <w:t>, which</w:t>
      </w:r>
      <w:r w:rsidRPr="00542EB9">
        <w:rPr>
          <w:noProof/>
        </w:rPr>
        <w:t xml:space="preserve"> is framed by the Commission’s proposal on the Customs Union Reform</w:t>
      </w:r>
      <w:r w:rsidR="00FB47A8" w:rsidRPr="00542EB9">
        <w:rPr>
          <w:noProof/>
        </w:rPr>
        <w:t>.</w:t>
      </w:r>
      <w:r w:rsidR="00731B2C" w:rsidRPr="00542EB9">
        <w:rPr>
          <w:rStyle w:val="FootnoteReference"/>
          <w:noProof/>
          <w:sz w:val="20"/>
          <w:szCs w:val="20"/>
        </w:rPr>
        <w:footnoteReference w:id="14"/>
      </w:r>
      <w:r w:rsidRPr="00542EB9">
        <w:rPr>
          <w:noProof/>
        </w:rPr>
        <w:t xml:space="preserve"> </w:t>
      </w:r>
      <w:r w:rsidR="00FB47A8" w:rsidRPr="00542EB9">
        <w:rPr>
          <w:noProof/>
        </w:rPr>
        <w:t>The proposal aims</w:t>
      </w:r>
      <w:r w:rsidRPr="00542EB9">
        <w:rPr>
          <w:noProof/>
        </w:rPr>
        <w:t xml:space="preserve"> </w:t>
      </w:r>
      <w:r w:rsidR="00CB5958" w:rsidRPr="00542EB9">
        <w:rPr>
          <w:noProof/>
        </w:rPr>
        <w:t>to advance</w:t>
      </w:r>
      <w:r w:rsidR="1E6CFE70" w:rsidRPr="00542EB9">
        <w:rPr>
          <w:noProof/>
        </w:rPr>
        <w:t xml:space="preserve"> </w:t>
      </w:r>
      <w:r w:rsidRPr="00542EB9">
        <w:rPr>
          <w:noProof/>
        </w:rPr>
        <w:t xml:space="preserve">on the </w:t>
      </w:r>
      <w:r w:rsidRPr="00542EB9">
        <w:rPr>
          <w:b/>
          <w:bCs/>
          <w:noProof/>
        </w:rPr>
        <w:t>digitalisation of the Customs Union</w:t>
      </w:r>
      <w:r w:rsidRPr="00542EB9">
        <w:rPr>
          <w:noProof/>
        </w:rPr>
        <w:t xml:space="preserve"> by establishing an EU Customs </w:t>
      </w:r>
      <w:r w:rsidR="00E7BD65" w:rsidRPr="00542EB9">
        <w:rPr>
          <w:noProof/>
        </w:rPr>
        <w:t>Authority which</w:t>
      </w:r>
      <w:r w:rsidR="64D8DB1D" w:rsidRPr="00542EB9">
        <w:rPr>
          <w:noProof/>
        </w:rPr>
        <w:t>,</w:t>
      </w:r>
      <w:r w:rsidR="00E7BD65" w:rsidRPr="00542EB9">
        <w:rPr>
          <w:noProof/>
        </w:rPr>
        <w:t xml:space="preserve"> amongst others</w:t>
      </w:r>
      <w:r w:rsidR="64D8DB1D" w:rsidRPr="00542EB9">
        <w:rPr>
          <w:noProof/>
        </w:rPr>
        <w:t>,</w:t>
      </w:r>
      <w:r w:rsidR="00E7BD65" w:rsidRPr="00542EB9">
        <w:rPr>
          <w:noProof/>
        </w:rPr>
        <w:t xml:space="preserve"> </w:t>
      </w:r>
      <w:r w:rsidR="73B36BB9" w:rsidRPr="00542EB9">
        <w:rPr>
          <w:noProof/>
        </w:rPr>
        <w:t xml:space="preserve">would develop and manage an </w:t>
      </w:r>
      <w:r w:rsidRPr="00542EB9">
        <w:rPr>
          <w:noProof/>
        </w:rPr>
        <w:t>EU Customs Data Hub</w:t>
      </w:r>
      <w:r w:rsidR="00731B2C" w:rsidRPr="00542EB9">
        <w:rPr>
          <w:rStyle w:val="FootnoteReference"/>
          <w:noProof/>
          <w:sz w:val="20"/>
          <w:szCs w:val="20"/>
        </w:rPr>
        <w:footnoteReference w:id="15"/>
      </w:r>
      <w:r w:rsidRPr="00542EB9">
        <w:rPr>
          <w:noProof/>
        </w:rPr>
        <w:t xml:space="preserve"> </w:t>
      </w:r>
      <w:r w:rsidR="0A491234" w:rsidRPr="00542EB9">
        <w:rPr>
          <w:noProof/>
        </w:rPr>
        <w:t>representing</w:t>
      </w:r>
      <w:r w:rsidRPr="00542EB9">
        <w:rPr>
          <w:noProof/>
        </w:rPr>
        <w:t xml:space="preserve"> this</w:t>
      </w:r>
      <w:r w:rsidR="0A491234" w:rsidRPr="00542EB9">
        <w:rPr>
          <w:noProof/>
        </w:rPr>
        <w:t xml:space="preserve"> new</w:t>
      </w:r>
      <w:r w:rsidRPr="00542EB9">
        <w:rPr>
          <w:noProof/>
        </w:rPr>
        <w:t xml:space="preserve"> centrali</w:t>
      </w:r>
      <w:r w:rsidR="64D8DB1D" w:rsidRPr="00542EB9">
        <w:rPr>
          <w:noProof/>
        </w:rPr>
        <w:t>s</w:t>
      </w:r>
      <w:r w:rsidRPr="00542EB9">
        <w:rPr>
          <w:noProof/>
        </w:rPr>
        <w:t xml:space="preserve">ed digital environment. The EU Customs </w:t>
      </w:r>
      <w:r w:rsidR="6B8F4B3E" w:rsidRPr="00542EB9">
        <w:rPr>
          <w:noProof/>
        </w:rPr>
        <w:t>Authority</w:t>
      </w:r>
      <w:r w:rsidR="00AA1478" w:rsidRPr="00542EB9">
        <w:rPr>
          <w:noProof/>
        </w:rPr>
        <w:t>,</w:t>
      </w:r>
      <w:r w:rsidR="6B8F4B3E" w:rsidRPr="00542EB9">
        <w:rPr>
          <w:noProof/>
        </w:rPr>
        <w:t xml:space="preserve"> and the</w:t>
      </w:r>
      <w:r w:rsidRPr="00542EB9">
        <w:rPr>
          <w:noProof/>
        </w:rPr>
        <w:t xml:space="preserve"> Data Hub </w:t>
      </w:r>
      <w:r w:rsidR="6B8F4B3E" w:rsidRPr="00542EB9">
        <w:rPr>
          <w:noProof/>
        </w:rPr>
        <w:t xml:space="preserve">it </w:t>
      </w:r>
      <w:r w:rsidR="29218E57" w:rsidRPr="00542EB9">
        <w:rPr>
          <w:noProof/>
        </w:rPr>
        <w:t xml:space="preserve">would </w:t>
      </w:r>
      <w:r w:rsidR="6B8F4B3E" w:rsidRPr="00542EB9">
        <w:rPr>
          <w:noProof/>
        </w:rPr>
        <w:t>manage</w:t>
      </w:r>
      <w:r w:rsidR="00AA1478" w:rsidRPr="00542EB9">
        <w:rPr>
          <w:noProof/>
        </w:rPr>
        <w:t>,</w:t>
      </w:r>
      <w:r w:rsidR="6B8F4B3E" w:rsidRPr="00542EB9">
        <w:rPr>
          <w:noProof/>
        </w:rPr>
        <w:t xml:space="preserve"> are </w:t>
      </w:r>
      <w:r w:rsidRPr="00542EB9">
        <w:rPr>
          <w:noProof/>
        </w:rPr>
        <w:t>enabler</w:t>
      </w:r>
      <w:r w:rsidR="6B8F4B3E" w:rsidRPr="00542EB9">
        <w:rPr>
          <w:noProof/>
        </w:rPr>
        <w:t>s</w:t>
      </w:r>
      <w:r w:rsidRPr="00542EB9">
        <w:rPr>
          <w:noProof/>
        </w:rPr>
        <w:t xml:space="preserve"> </w:t>
      </w:r>
      <w:r w:rsidRPr="00542EB9">
        <w:rPr>
          <w:b/>
          <w:bCs/>
          <w:noProof/>
        </w:rPr>
        <w:t xml:space="preserve">of digital innovation </w:t>
      </w:r>
      <w:r w:rsidR="669B2FAA" w:rsidRPr="00542EB9">
        <w:rPr>
          <w:b/>
          <w:bCs/>
          <w:noProof/>
        </w:rPr>
        <w:t xml:space="preserve">aiming </w:t>
      </w:r>
      <w:r w:rsidR="2A5244BD" w:rsidRPr="00542EB9">
        <w:rPr>
          <w:b/>
          <w:bCs/>
          <w:noProof/>
        </w:rPr>
        <w:t xml:space="preserve">to increase </w:t>
      </w:r>
      <w:r w:rsidRPr="00542EB9">
        <w:rPr>
          <w:b/>
          <w:bCs/>
          <w:noProof/>
        </w:rPr>
        <w:t xml:space="preserve">the efficiency, simplification and harmonisation of </w:t>
      </w:r>
      <w:r w:rsidR="72926A1B" w:rsidRPr="00542EB9">
        <w:rPr>
          <w:b/>
          <w:bCs/>
          <w:noProof/>
        </w:rPr>
        <w:t xml:space="preserve">the </w:t>
      </w:r>
      <w:r w:rsidRPr="00542EB9">
        <w:rPr>
          <w:b/>
          <w:bCs/>
          <w:noProof/>
        </w:rPr>
        <w:t xml:space="preserve">EU </w:t>
      </w:r>
      <w:r w:rsidR="498153E8" w:rsidRPr="00542EB9">
        <w:rPr>
          <w:b/>
          <w:bCs/>
          <w:noProof/>
        </w:rPr>
        <w:t>c</w:t>
      </w:r>
      <w:r w:rsidRPr="00542EB9">
        <w:rPr>
          <w:b/>
          <w:bCs/>
          <w:noProof/>
        </w:rPr>
        <w:t>ustoms</w:t>
      </w:r>
      <w:r w:rsidRPr="00542EB9">
        <w:rPr>
          <w:noProof/>
        </w:rPr>
        <w:t xml:space="preserve">. Until the new Data Hub is developed and fully deployed to take over, the almost 70 currently running central customs IT systems </w:t>
      </w:r>
      <w:r w:rsidR="72926A1B" w:rsidRPr="00542EB9">
        <w:rPr>
          <w:noProof/>
        </w:rPr>
        <w:t>(</w:t>
      </w:r>
      <w:r w:rsidRPr="00542EB9">
        <w:rPr>
          <w:noProof/>
        </w:rPr>
        <w:t>developed and operated by the Commission</w:t>
      </w:r>
      <w:r w:rsidR="72926A1B" w:rsidRPr="00542EB9">
        <w:rPr>
          <w:noProof/>
        </w:rPr>
        <w:t>)</w:t>
      </w:r>
      <w:r w:rsidRPr="00542EB9">
        <w:rPr>
          <w:noProof/>
        </w:rPr>
        <w:t xml:space="preserve"> as the backbone of the </w:t>
      </w:r>
      <w:r w:rsidR="17C28954" w:rsidRPr="00542EB9">
        <w:rPr>
          <w:noProof/>
        </w:rPr>
        <w:t>C</w:t>
      </w:r>
      <w:r w:rsidRPr="00542EB9">
        <w:rPr>
          <w:noProof/>
        </w:rPr>
        <w:t xml:space="preserve">ustoms </w:t>
      </w:r>
      <w:r w:rsidR="17C28954" w:rsidRPr="00542EB9">
        <w:rPr>
          <w:noProof/>
        </w:rPr>
        <w:t>U</w:t>
      </w:r>
      <w:r w:rsidRPr="00542EB9">
        <w:rPr>
          <w:noProof/>
        </w:rPr>
        <w:t>nion</w:t>
      </w:r>
      <w:r w:rsidR="2413016F" w:rsidRPr="00542EB9">
        <w:rPr>
          <w:noProof/>
        </w:rPr>
        <w:t>,</w:t>
      </w:r>
      <w:r w:rsidRPr="00542EB9">
        <w:rPr>
          <w:noProof/>
        </w:rPr>
        <w:t xml:space="preserve"> in line with EU legal obligations, must be maintained to ensure the uninterrupted operation of the Customs Union.</w:t>
      </w:r>
      <w:r w:rsidR="350B4A91" w:rsidRPr="00542EB9">
        <w:rPr>
          <w:noProof/>
        </w:rPr>
        <w:t xml:space="preserve"> </w:t>
      </w:r>
    </w:p>
    <w:p w14:paraId="16BB10D3" w14:textId="743336FB" w:rsidR="004A648A" w:rsidRPr="00542EB9" w:rsidRDefault="4C91251A" w:rsidP="00A75C68">
      <w:pPr>
        <w:spacing w:line="257" w:lineRule="auto"/>
        <w:rPr>
          <w:rFonts w:ascii="Calibri" w:eastAsia="Calibri" w:hAnsi="Calibri" w:cs="Calibri"/>
          <w:noProof/>
          <w:color w:val="2E74B5"/>
          <w:sz w:val="22"/>
          <w:szCs w:val="22"/>
        </w:rPr>
      </w:pPr>
      <w:r w:rsidRPr="00542EB9">
        <w:rPr>
          <w:b/>
          <w:bCs/>
          <w:noProof/>
        </w:rPr>
        <w:t>EU tax</w:t>
      </w:r>
      <w:r w:rsidR="00567F52" w:rsidRPr="00542EB9">
        <w:rPr>
          <w:b/>
          <w:bCs/>
          <w:noProof/>
        </w:rPr>
        <w:t>ation</w:t>
      </w:r>
      <w:r w:rsidRPr="00542EB9">
        <w:rPr>
          <w:b/>
          <w:bCs/>
          <w:noProof/>
        </w:rPr>
        <w:t xml:space="preserve"> policy </w:t>
      </w:r>
      <w:r w:rsidRPr="00542EB9">
        <w:rPr>
          <w:noProof/>
        </w:rPr>
        <w:t xml:space="preserve">is a key aspect in the enhancement of the functioning of the </w:t>
      </w:r>
      <w:r w:rsidR="4510FE0E" w:rsidRPr="00542EB9">
        <w:rPr>
          <w:noProof/>
        </w:rPr>
        <w:t>single</w:t>
      </w:r>
      <w:r w:rsidRPr="00542EB9">
        <w:rPr>
          <w:noProof/>
        </w:rPr>
        <w:t xml:space="preserve"> </w:t>
      </w:r>
      <w:r w:rsidR="4510FE0E" w:rsidRPr="00542EB9">
        <w:rPr>
          <w:noProof/>
        </w:rPr>
        <w:t>m</w:t>
      </w:r>
      <w:r w:rsidR="187EFDCB" w:rsidRPr="00542EB9">
        <w:rPr>
          <w:noProof/>
        </w:rPr>
        <w:t>arket</w:t>
      </w:r>
      <w:r w:rsidRPr="00542EB9">
        <w:rPr>
          <w:noProof/>
        </w:rPr>
        <w:t xml:space="preserve">. </w:t>
      </w:r>
      <w:r w:rsidRPr="00542EB9">
        <w:rPr>
          <w:b/>
          <w:bCs/>
          <w:noProof/>
        </w:rPr>
        <w:t>Digitalisation and modernisation of taxation are now key</w:t>
      </w:r>
      <w:r w:rsidR="421184F3" w:rsidRPr="00542EB9">
        <w:rPr>
          <w:b/>
          <w:bCs/>
          <w:noProof/>
        </w:rPr>
        <w:t xml:space="preserve"> </w:t>
      </w:r>
      <w:r w:rsidRPr="00542EB9">
        <w:rPr>
          <w:b/>
          <w:bCs/>
          <w:noProof/>
        </w:rPr>
        <w:t>factors inherent in the</w:t>
      </w:r>
      <w:r w:rsidR="228A6882" w:rsidRPr="00542EB9">
        <w:rPr>
          <w:b/>
          <w:bCs/>
          <w:noProof/>
        </w:rPr>
        <w:t xml:space="preserve"> effective implementation</w:t>
      </w:r>
      <w:r w:rsidR="0FE9C811" w:rsidRPr="00542EB9">
        <w:rPr>
          <w:b/>
          <w:bCs/>
          <w:noProof/>
        </w:rPr>
        <w:t xml:space="preserve"> of</w:t>
      </w:r>
      <w:r w:rsidRPr="00542EB9">
        <w:rPr>
          <w:b/>
          <w:bCs/>
          <w:noProof/>
        </w:rPr>
        <w:t xml:space="preserve"> </w:t>
      </w:r>
      <w:r w:rsidR="52EFAF93" w:rsidRPr="00542EB9">
        <w:rPr>
          <w:b/>
          <w:bCs/>
          <w:noProof/>
        </w:rPr>
        <w:t xml:space="preserve">EU </w:t>
      </w:r>
      <w:r w:rsidR="6CF80F31" w:rsidRPr="00542EB9">
        <w:rPr>
          <w:b/>
          <w:bCs/>
          <w:noProof/>
        </w:rPr>
        <w:t>taxation poli</w:t>
      </w:r>
      <w:r w:rsidR="4BF4CEE3" w:rsidRPr="00542EB9">
        <w:rPr>
          <w:b/>
          <w:bCs/>
          <w:noProof/>
        </w:rPr>
        <w:t>cy</w:t>
      </w:r>
      <w:r w:rsidR="6C53BA21" w:rsidRPr="00542EB9">
        <w:rPr>
          <w:b/>
          <w:bCs/>
          <w:noProof/>
        </w:rPr>
        <w:t>,</w:t>
      </w:r>
      <w:r w:rsidR="52EFAF93" w:rsidRPr="00542EB9">
        <w:rPr>
          <w:b/>
          <w:bCs/>
          <w:noProof/>
        </w:rPr>
        <w:t xml:space="preserve"> and tax collection</w:t>
      </w:r>
      <w:r w:rsidR="0FE9C811" w:rsidRPr="00542EB9">
        <w:rPr>
          <w:b/>
          <w:bCs/>
          <w:noProof/>
        </w:rPr>
        <w:t xml:space="preserve"> by </w:t>
      </w:r>
      <w:r w:rsidRPr="00542EB9">
        <w:rPr>
          <w:b/>
          <w:bCs/>
          <w:noProof/>
        </w:rPr>
        <w:t xml:space="preserve">the Member States. The massive </w:t>
      </w:r>
      <w:r w:rsidR="769AB81E" w:rsidRPr="00542EB9">
        <w:rPr>
          <w:b/>
          <w:bCs/>
          <w:noProof/>
        </w:rPr>
        <w:t xml:space="preserve">uptake </w:t>
      </w:r>
      <w:r w:rsidRPr="00542EB9">
        <w:rPr>
          <w:b/>
          <w:bCs/>
          <w:noProof/>
        </w:rPr>
        <w:t>of artificial intelligence, with yet unknown consequences, raises the question of readjustment of ambitions and needs, as well as digitalisation and updates of existing digital systems and infrastructures.</w:t>
      </w:r>
      <w:r w:rsidRPr="00542EB9">
        <w:rPr>
          <w:noProof/>
        </w:rPr>
        <w:t xml:space="preserve"> In addition, </w:t>
      </w:r>
      <w:r w:rsidR="7C9FE477" w:rsidRPr="00542EB9">
        <w:rPr>
          <w:noProof/>
        </w:rPr>
        <w:t>the evolution of</w:t>
      </w:r>
      <w:r w:rsidRPr="00542EB9">
        <w:rPr>
          <w:noProof/>
        </w:rPr>
        <w:t xml:space="preserve"> tax </w:t>
      </w:r>
      <w:r w:rsidR="7C9FE477" w:rsidRPr="00542EB9">
        <w:rPr>
          <w:noProof/>
        </w:rPr>
        <w:t xml:space="preserve">policies </w:t>
      </w:r>
      <w:r w:rsidR="3674B8EA" w:rsidRPr="00542EB9">
        <w:rPr>
          <w:noProof/>
        </w:rPr>
        <w:t>forecast the need for more and more reinforced</w:t>
      </w:r>
      <w:r w:rsidRPr="00542EB9">
        <w:rPr>
          <w:noProof/>
        </w:rPr>
        <w:t xml:space="preserve"> digital components</w:t>
      </w:r>
      <w:r w:rsidR="3674B8EA" w:rsidRPr="00542EB9">
        <w:rPr>
          <w:noProof/>
        </w:rPr>
        <w:t xml:space="preserve"> and solutions</w:t>
      </w:r>
      <w:r w:rsidR="1022065E" w:rsidRPr="00542EB9">
        <w:rPr>
          <w:noProof/>
        </w:rPr>
        <w:t xml:space="preserve"> </w:t>
      </w:r>
      <w:r w:rsidR="2D2DEC8F" w:rsidRPr="00542EB9">
        <w:rPr>
          <w:noProof/>
        </w:rPr>
        <w:t xml:space="preserve">that would complement </w:t>
      </w:r>
      <w:r w:rsidR="414879A8" w:rsidRPr="00542EB9">
        <w:rPr>
          <w:noProof/>
        </w:rPr>
        <w:t xml:space="preserve">the </w:t>
      </w:r>
      <w:r w:rsidR="5F5A89BA" w:rsidRPr="00542EB9">
        <w:rPr>
          <w:noProof/>
        </w:rPr>
        <w:t xml:space="preserve">portfolio of </w:t>
      </w:r>
      <w:r w:rsidR="0705A979" w:rsidRPr="00542EB9">
        <w:rPr>
          <w:noProof/>
        </w:rPr>
        <w:t xml:space="preserve">close to </w:t>
      </w:r>
      <w:r w:rsidR="0A808340" w:rsidRPr="00542EB9">
        <w:rPr>
          <w:noProof/>
        </w:rPr>
        <w:t xml:space="preserve">30 </w:t>
      </w:r>
      <w:r w:rsidR="414879A8" w:rsidRPr="00542EB9">
        <w:rPr>
          <w:noProof/>
        </w:rPr>
        <w:t xml:space="preserve">already </w:t>
      </w:r>
      <w:r w:rsidR="24FB638A" w:rsidRPr="00542EB9">
        <w:rPr>
          <w:noProof/>
        </w:rPr>
        <w:t xml:space="preserve">established </w:t>
      </w:r>
      <w:r w:rsidR="278CFB69" w:rsidRPr="00542EB9">
        <w:rPr>
          <w:noProof/>
        </w:rPr>
        <w:t xml:space="preserve">central tax </w:t>
      </w:r>
      <w:r w:rsidR="04CDB9BB" w:rsidRPr="00542EB9">
        <w:rPr>
          <w:noProof/>
        </w:rPr>
        <w:t>IT systems</w:t>
      </w:r>
      <w:r w:rsidR="6E14A255" w:rsidRPr="00542EB9">
        <w:rPr>
          <w:noProof/>
        </w:rPr>
        <w:t>.</w:t>
      </w:r>
      <w:r w:rsidR="7C9FE477" w:rsidRPr="00542EB9">
        <w:rPr>
          <w:noProof/>
        </w:rPr>
        <w:t xml:space="preserve"> EU tax policy supports revenue collection for the EU and Member States' budgets. Coordination on tax matters amongst Member States improve the fight against tax fraud, tax evasion and tax avoidance. EU tax policy is a key element for ensuring the proper functioning of the</w:t>
      </w:r>
      <w:r w:rsidR="4510FE0E" w:rsidRPr="00542EB9">
        <w:rPr>
          <w:noProof/>
        </w:rPr>
        <w:t xml:space="preserve"> single</w:t>
      </w:r>
      <w:r w:rsidR="7C9FE477" w:rsidRPr="00542EB9">
        <w:rPr>
          <w:noProof/>
        </w:rPr>
        <w:t xml:space="preserve"> </w:t>
      </w:r>
      <w:r w:rsidR="187EFDCB" w:rsidRPr="00542EB9">
        <w:rPr>
          <w:noProof/>
        </w:rPr>
        <w:t>market</w:t>
      </w:r>
      <w:r w:rsidR="7C9FE477" w:rsidRPr="00542EB9">
        <w:rPr>
          <w:noProof/>
        </w:rPr>
        <w:t xml:space="preserve"> including by avoiding </w:t>
      </w:r>
      <w:r w:rsidR="00CE6929" w:rsidRPr="00542EB9">
        <w:rPr>
          <w:noProof/>
        </w:rPr>
        <w:t xml:space="preserve">taxation-based </w:t>
      </w:r>
      <w:r w:rsidR="7C9FE477" w:rsidRPr="00542EB9">
        <w:rPr>
          <w:noProof/>
        </w:rPr>
        <w:t xml:space="preserve">distortions </w:t>
      </w:r>
      <w:r w:rsidR="002A70E1" w:rsidRPr="00542EB9">
        <w:rPr>
          <w:noProof/>
        </w:rPr>
        <w:t>to</w:t>
      </w:r>
      <w:r w:rsidR="7C9FE477" w:rsidRPr="00542EB9">
        <w:rPr>
          <w:noProof/>
        </w:rPr>
        <w:t xml:space="preserve"> competition. </w:t>
      </w:r>
      <w:r w:rsidR="714633C5" w:rsidRPr="00542EB9">
        <w:rPr>
          <w:noProof/>
        </w:rPr>
        <w:t xml:space="preserve">For many years, tax laws have been tightly connected to national sovereignty because they affect national income, budgets, and policy decisions. Countries have protected this sovereignty by </w:t>
      </w:r>
      <w:r w:rsidR="6E652FF9" w:rsidRPr="00542EB9">
        <w:rPr>
          <w:noProof/>
        </w:rPr>
        <w:t>maintaining</w:t>
      </w:r>
      <w:r w:rsidRPr="00542EB9">
        <w:rPr>
          <w:noProof/>
        </w:rPr>
        <w:t xml:space="preserve"> </w:t>
      </w:r>
      <w:r w:rsidR="714633C5" w:rsidRPr="00542EB9">
        <w:rPr>
          <w:noProof/>
        </w:rPr>
        <w:t>unanim</w:t>
      </w:r>
      <w:r w:rsidR="2B718989" w:rsidRPr="00542EB9">
        <w:rPr>
          <w:noProof/>
        </w:rPr>
        <w:t>ity in</w:t>
      </w:r>
      <w:r w:rsidR="714633C5" w:rsidRPr="00542EB9">
        <w:rPr>
          <w:noProof/>
        </w:rPr>
        <w:t xml:space="preserve"> decision-making in taxation, allowing any country to veto proposals. Consequently, the Treaties maintain the rule that the Council </w:t>
      </w:r>
      <w:r w:rsidR="46D98A82" w:rsidRPr="00542EB9">
        <w:rPr>
          <w:noProof/>
        </w:rPr>
        <w:t>of the EU</w:t>
      </w:r>
      <w:r w:rsidR="714633C5" w:rsidRPr="00542EB9">
        <w:rPr>
          <w:noProof/>
        </w:rPr>
        <w:t xml:space="preserve"> must reach unanimous agreement </w:t>
      </w:r>
      <w:r w:rsidR="788A0E7A" w:rsidRPr="00542EB9">
        <w:rPr>
          <w:noProof/>
        </w:rPr>
        <w:t xml:space="preserve">for </w:t>
      </w:r>
      <w:r w:rsidR="2258C908" w:rsidRPr="00542EB9">
        <w:rPr>
          <w:noProof/>
        </w:rPr>
        <w:t xml:space="preserve">any </w:t>
      </w:r>
      <w:r w:rsidR="714633C5" w:rsidRPr="00542EB9">
        <w:rPr>
          <w:noProof/>
        </w:rPr>
        <w:t xml:space="preserve">tax proposals </w:t>
      </w:r>
      <w:r w:rsidR="788A0E7A" w:rsidRPr="00542EB9">
        <w:rPr>
          <w:noProof/>
        </w:rPr>
        <w:t xml:space="preserve">to </w:t>
      </w:r>
      <w:r w:rsidR="714633C5" w:rsidRPr="00542EB9">
        <w:rPr>
          <w:noProof/>
        </w:rPr>
        <w:t xml:space="preserve">be adopted at the EU level. </w:t>
      </w:r>
      <w:r w:rsidR="02F8881C" w:rsidRPr="00542EB9">
        <w:rPr>
          <w:noProof/>
        </w:rPr>
        <w:t>Consequently</w:t>
      </w:r>
      <w:r w:rsidR="4B14803C" w:rsidRPr="00542EB9">
        <w:rPr>
          <w:noProof/>
        </w:rPr>
        <w:t xml:space="preserve">, </w:t>
      </w:r>
      <w:r w:rsidR="07E3EA8E" w:rsidRPr="00542EB9">
        <w:rPr>
          <w:noProof/>
        </w:rPr>
        <w:t>despi</w:t>
      </w:r>
      <w:r w:rsidR="715E8169" w:rsidRPr="00542EB9">
        <w:rPr>
          <w:noProof/>
        </w:rPr>
        <w:t xml:space="preserve">te </w:t>
      </w:r>
      <w:r w:rsidR="3DCD7E49" w:rsidRPr="00542EB9">
        <w:rPr>
          <w:noProof/>
        </w:rPr>
        <w:t xml:space="preserve">their expected added value </w:t>
      </w:r>
      <w:r w:rsidR="60C3F9DA" w:rsidRPr="00542EB9">
        <w:rPr>
          <w:noProof/>
        </w:rPr>
        <w:t>for EU competitiveness</w:t>
      </w:r>
      <w:r w:rsidR="6A06AF87" w:rsidRPr="00542EB9">
        <w:rPr>
          <w:noProof/>
        </w:rPr>
        <w:t xml:space="preserve"> and </w:t>
      </w:r>
      <w:r w:rsidR="50424261" w:rsidRPr="00542EB9">
        <w:rPr>
          <w:noProof/>
        </w:rPr>
        <w:t xml:space="preserve">ensuring a level playing field in the EU, </w:t>
      </w:r>
      <w:r w:rsidR="4F767172" w:rsidRPr="00542EB9">
        <w:rPr>
          <w:noProof/>
        </w:rPr>
        <w:t xml:space="preserve">not all </w:t>
      </w:r>
      <w:r w:rsidR="1BB69528" w:rsidRPr="00542EB9">
        <w:rPr>
          <w:noProof/>
        </w:rPr>
        <w:t>tax related propos</w:t>
      </w:r>
      <w:r w:rsidR="3DF7AD5B" w:rsidRPr="00542EB9">
        <w:rPr>
          <w:noProof/>
        </w:rPr>
        <w:t xml:space="preserve">als </w:t>
      </w:r>
      <w:r w:rsidR="675E79A8" w:rsidRPr="00542EB9">
        <w:rPr>
          <w:noProof/>
        </w:rPr>
        <w:t xml:space="preserve">get adopted or their adoption process </w:t>
      </w:r>
      <w:r w:rsidR="6F1CF545" w:rsidRPr="00542EB9">
        <w:rPr>
          <w:noProof/>
        </w:rPr>
        <w:t xml:space="preserve">becomes </w:t>
      </w:r>
      <w:r w:rsidR="412292BB" w:rsidRPr="00542EB9">
        <w:rPr>
          <w:noProof/>
        </w:rPr>
        <w:t>particularly long</w:t>
      </w:r>
      <w:r w:rsidR="44287C6E" w:rsidRPr="00542EB9">
        <w:rPr>
          <w:noProof/>
        </w:rPr>
        <w:t xml:space="preserve">. </w:t>
      </w:r>
    </w:p>
    <w:p w14:paraId="4A7130C4" w14:textId="38572B60" w:rsidR="16350C36" w:rsidRPr="00542EB9" w:rsidRDefault="16350C36" w:rsidP="00856F33">
      <w:pPr>
        <w:spacing w:line="257" w:lineRule="auto"/>
        <w:rPr>
          <w:noProof/>
        </w:rPr>
      </w:pPr>
      <w:r w:rsidRPr="00542EB9">
        <w:rPr>
          <w:b/>
          <w:bCs/>
          <w:noProof/>
        </w:rPr>
        <w:t>Fraud, corruption and other illegal activities</w:t>
      </w:r>
      <w:r w:rsidRPr="00542EB9">
        <w:rPr>
          <w:noProof/>
        </w:rPr>
        <w:t xml:space="preserve"> linked to the EU budget have an impact not only on the Union’s financial integrity and the efficiency spending of the EU money, but also on the core policies at the heart of its </w:t>
      </w:r>
      <w:r w:rsidR="005459CC" w:rsidRPr="00542EB9">
        <w:rPr>
          <w:noProof/>
        </w:rPr>
        <w:t>single market</w:t>
      </w:r>
      <w:r w:rsidRPr="00542EB9">
        <w:rPr>
          <w:noProof/>
        </w:rPr>
        <w:t xml:space="preserve">. Conversely, a high prevalence of fraud can stifle economic growth and undermine the well-functioning of the </w:t>
      </w:r>
      <w:r w:rsidR="005459CC" w:rsidRPr="00542EB9">
        <w:rPr>
          <w:noProof/>
        </w:rPr>
        <w:t>single market</w:t>
      </w:r>
      <w:r w:rsidRPr="00542EB9">
        <w:rPr>
          <w:noProof/>
        </w:rPr>
        <w:t>.</w:t>
      </w:r>
    </w:p>
    <w:p w14:paraId="3EE87344" w14:textId="780E5BF9" w:rsidR="16350C36" w:rsidRPr="00542EB9" w:rsidRDefault="16350C36" w:rsidP="00856F33">
      <w:pPr>
        <w:spacing w:line="257" w:lineRule="auto"/>
        <w:rPr>
          <w:noProof/>
        </w:rPr>
      </w:pPr>
      <w:r w:rsidRPr="00542EB9">
        <w:rPr>
          <w:noProof/>
        </w:rPr>
        <w:t xml:space="preserve">Article 325 TFEU requires the Union and the Member States to counter fraud and any other illegal activities affecting the financial interests of the Union. In addition, EU legislation requires Member States to mandatory report irregularities and fraud affecting EU expenditure in the areas of shared and indirect (pre-accession assistance), expected to be maintained also for the new MFF. </w:t>
      </w:r>
    </w:p>
    <w:p w14:paraId="25D818DF" w14:textId="35E42697" w:rsidR="16350C36" w:rsidRPr="00542EB9" w:rsidRDefault="16350C36" w:rsidP="00856F33">
      <w:pPr>
        <w:spacing w:line="257" w:lineRule="auto"/>
        <w:rPr>
          <w:noProof/>
        </w:rPr>
      </w:pPr>
      <w:r w:rsidRPr="00542EB9">
        <w:rPr>
          <w:noProof/>
        </w:rPr>
        <w:t>Action at Union level is necessary as it assists Member States in collectively protecting the financial interests of the Union and encourages the use of common Union structures in order to increase cooperation and information exchange between competent authorities, while supporting the reporting of data on irregularities and cases of fraud.</w:t>
      </w:r>
    </w:p>
    <w:p w14:paraId="43E22F9F" w14:textId="54A74E39" w:rsidR="16350C36" w:rsidRPr="00542EB9" w:rsidRDefault="16350C36" w:rsidP="00B26F84">
      <w:pPr>
        <w:spacing w:line="257" w:lineRule="auto"/>
        <w:rPr>
          <w:noProof/>
        </w:rPr>
      </w:pPr>
      <w:r w:rsidRPr="00542EB9">
        <w:rPr>
          <w:noProof/>
        </w:rPr>
        <w:t xml:space="preserve">The far-reaching technological changes require an important, structural upgrading of the anti-fraud infrastructure in all Member States, with significant investment to be made in digitalisation, artificial intelligence and IT-based tools. The Union needs to strengthen its support in order to meet the Member States’ needs in terms of upgrading the existing capacities. </w:t>
      </w:r>
    </w:p>
    <w:p w14:paraId="2B65979B" w14:textId="77777777" w:rsidR="16350C36" w:rsidRPr="00542EB9" w:rsidRDefault="16350C36" w:rsidP="00B26F84">
      <w:pPr>
        <w:spacing w:line="257" w:lineRule="auto"/>
        <w:rPr>
          <w:noProof/>
        </w:rPr>
      </w:pPr>
      <w:r w:rsidRPr="00542EB9">
        <w:rPr>
          <w:noProof/>
        </w:rPr>
        <w:t>The Union also needs to support candidate countries, investing in their anti-fraud preparedness and national capacities. Likewise, many neighbouring countries are strategic partners in the implementation of EU policies; therefore, strengthening their anti-fraud capacities will further strengthen the protection of the EU budget.</w:t>
      </w:r>
    </w:p>
    <w:p w14:paraId="2C99DF7C" w14:textId="54F2238D" w:rsidR="004A648A" w:rsidRPr="00542EB9" w:rsidRDefault="74191A9C" w:rsidP="4ECA7446">
      <w:pPr>
        <w:rPr>
          <w:noProof/>
        </w:rPr>
      </w:pPr>
      <w:r w:rsidRPr="00542EB9">
        <w:rPr>
          <w:noProof/>
        </w:rPr>
        <w:t xml:space="preserve">In terms of the </w:t>
      </w:r>
      <w:r w:rsidR="1DEF9E63" w:rsidRPr="00542EB9">
        <w:rPr>
          <w:noProof/>
        </w:rPr>
        <w:t>decision-making</w:t>
      </w:r>
      <w:r w:rsidRPr="00542EB9">
        <w:rPr>
          <w:noProof/>
        </w:rPr>
        <w:t xml:space="preserve"> process, the approach for action at EU level differs between direct and indirect taxation, primarily due to the degree of EU competence and the Member States as well as the perceived need for harmonisation. The EU exercises greater competence when it comes to indirect taxation, particularly in areas such as VAT and excise duties. This strong competence is rooted in the necessity of harmonising rules to ensure the proper functioning of the </w:t>
      </w:r>
      <w:r w:rsidR="005459CC" w:rsidRPr="00542EB9">
        <w:rPr>
          <w:noProof/>
        </w:rPr>
        <w:t>single market</w:t>
      </w:r>
      <w:r w:rsidR="708F2D25" w:rsidRPr="00542EB9">
        <w:rPr>
          <w:noProof/>
        </w:rPr>
        <w:t>.</w:t>
      </w:r>
      <w:r w:rsidRPr="00542EB9">
        <w:rPr>
          <w:noProof/>
        </w:rPr>
        <w:t xml:space="preserve"> In contrast, the EU’s competence in the area of direct taxation is more restricted. Member States maintain greater autonomy, resulting in a more cautious approach. However, EU-level directives on administrative cooperation are having their influence on this domain. These directives represent a shift towards improving (digital) collaboration and data exchange among Member States, although at a slower pace compared to indirect taxation activities.</w:t>
      </w:r>
    </w:p>
    <w:p w14:paraId="42802F2F" w14:textId="455C26C9" w:rsidR="005C3F74" w:rsidRPr="00542EB9" w:rsidRDefault="004E1D4F" w:rsidP="00856F33">
      <w:pPr>
        <w:spacing w:after="160" w:line="257" w:lineRule="auto"/>
        <w:rPr>
          <w:noProof/>
        </w:rPr>
      </w:pPr>
      <w:r w:rsidRPr="00542EB9">
        <w:rPr>
          <w:noProof/>
        </w:rPr>
        <w:t>The political agenda has been increasingly influenced by tax competition between countries and tax avoidance practices by companies. Those phenomena go well beyond Member States’ borders and involve also third countries. Expectations for the Union to take action to fight tax fraud, evasion and avoidance</w:t>
      </w:r>
      <w:r w:rsidR="00EA6C3B" w:rsidRPr="00542EB9">
        <w:rPr>
          <w:noProof/>
        </w:rPr>
        <w:t xml:space="preserve"> </w:t>
      </w:r>
      <w:r w:rsidR="00CE5807" w:rsidRPr="00542EB9">
        <w:rPr>
          <w:noProof/>
        </w:rPr>
        <w:t xml:space="preserve">are </w:t>
      </w:r>
      <w:r w:rsidR="00EA6C3B" w:rsidRPr="00542EB9">
        <w:rPr>
          <w:noProof/>
        </w:rPr>
        <w:t>high</w:t>
      </w:r>
      <w:r w:rsidR="00CE5807" w:rsidRPr="00542EB9">
        <w:rPr>
          <w:noProof/>
        </w:rPr>
        <w:t>,</w:t>
      </w:r>
      <w:r w:rsidRPr="00542EB9">
        <w:rPr>
          <w:noProof/>
        </w:rPr>
        <w:t xml:space="preserve"> as </w:t>
      </w:r>
      <w:r w:rsidR="00CE5807" w:rsidRPr="00542EB9">
        <w:rPr>
          <w:noProof/>
        </w:rPr>
        <w:t xml:space="preserve">these </w:t>
      </w:r>
      <w:r w:rsidRPr="00542EB9">
        <w:rPr>
          <w:noProof/>
        </w:rPr>
        <w:t xml:space="preserve">distort competition, jeopardise the functioning of the </w:t>
      </w:r>
      <w:r w:rsidR="00971C8B" w:rsidRPr="00542EB9">
        <w:rPr>
          <w:noProof/>
        </w:rPr>
        <w:t>single</w:t>
      </w:r>
      <w:r w:rsidRPr="00542EB9">
        <w:rPr>
          <w:noProof/>
        </w:rPr>
        <w:t xml:space="preserve"> </w:t>
      </w:r>
      <w:r w:rsidR="00971C8B" w:rsidRPr="00542EB9">
        <w:rPr>
          <w:noProof/>
        </w:rPr>
        <w:t>m</w:t>
      </w:r>
      <w:r w:rsidR="00E83D7A" w:rsidRPr="00542EB9">
        <w:rPr>
          <w:noProof/>
        </w:rPr>
        <w:t>arket</w:t>
      </w:r>
      <w:r w:rsidRPr="00542EB9">
        <w:rPr>
          <w:noProof/>
        </w:rPr>
        <w:t xml:space="preserve"> and undermine social fairness.</w:t>
      </w:r>
      <w:r w:rsidR="0092730D" w:rsidRPr="00542EB9">
        <w:rPr>
          <w:rFonts w:ascii="Calibri" w:eastAsia="Calibri" w:hAnsi="Calibri" w:cs="Calibri"/>
          <w:noProof/>
          <w:color w:val="2E74B5"/>
          <w:sz w:val="22"/>
          <w:szCs w:val="22"/>
        </w:rPr>
        <w:t xml:space="preserve"> </w:t>
      </w:r>
    </w:p>
    <w:p w14:paraId="48716061" w14:textId="5C65964D" w:rsidR="00A86100" w:rsidRPr="00542EB9" w:rsidRDefault="10171808" w:rsidP="5DD21FD3">
      <w:pPr>
        <w:pStyle w:val="Heading2"/>
        <w:rPr>
          <w:noProof/>
        </w:rPr>
      </w:pPr>
      <w:bookmarkStart w:id="6" w:name="_Toc191905068"/>
      <w:bookmarkStart w:id="7" w:name="_Toc191909091"/>
      <w:bookmarkStart w:id="8" w:name="_Toc191909092"/>
      <w:bookmarkStart w:id="9" w:name="_Toc198549035"/>
      <w:bookmarkEnd w:id="6"/>
      <w:bookmarkEnd w:id="7"/>
      <w:r w:rsidRPr="00542EB9">
        <w:rPr>
          <w:noProof/>
        </w:rPr>
        <w:t>Scope of this impact assessment</w:t>
      </w:r>
      <w:bookmarkEnd w:id="8"/>
      <w:r w:rsidR="00CB7312" w:rsidRPr="00542EB9">
        <w:rPr>
          <w:rStyle w:val="FootnoteReference"/>
          <w:noProof/>
          <w:sz w:val="20"/>
        </w:rPr>
        <w:footnoteReference w:id="16"/>
      </w:r>
      <w:bookmarkEnd w:id="9"/>
    </w:p>
    <w:p w14:paraId="7258B342" w14:textId="2CE1A97C" w:rsidR="00472179" w:rsidRPr="00542EB9" w:rsidRDefault="797BD8F7" w:rsidP="658819FF">
      <w:pPr>
        <w:rPr>
          <w:noProof/>
        </w:rPr>
      </w:pPr>
      <w:r w:rsidRPr="00542EB9">
        <w:rPr>
          <w:noProof/>
        </w:rPr>
        <w:t xml:space="preserve">The Member States and the Commission share the responsibility for enforcing EU law, including ensuring that </w:t>
      </w:r>
      <w:r w:rsidR="390246A9" w:rsidRPr="00542EB9">
        <w:rPr>
          <w:noProof/>
        </w:rPr>
        <w:t>single m</w:t>
      </w:r>
      <w:r w:rsidR="5ECBBAC4" w:rsidRPr="00542EB9">
        <w:rPr>
          <w:noProof/>
        </w:rPr>
        <w:t>arket</w:t>
      </w:r>
      <w:r w:rsidRPr="00542EB9">
        <w:rPr>
          <w:noProof/>
        </w:rPr>
        <w:t xml:space="preserve"> rules are complied </w:t>
      </w:r>
      <w:r w:rsidR="140ACCF3" w:rsidRPr="00542EB9">
        <w:rPr>
          <w:noProof/>
        </w:rPr>
        <w:t>with,</w:t>
      </w:r>
      <w:r w:rsidRPr="00542EB9">
        <w:rPr>
          <w:noProof/>
        </w:rPr>
        <w:t xml:space="preserve"> and that people’s rights are enforced. The C</w:t>
      </w:r>
      <w:r w:rsidRPr="00542EB9">
        <w:rPr>
          <w:rFonts w:asciiTheme="minorHAnsi" w:eastAsiaTheme="minorEastAsia" w:hAnsiTheme="minorHAnsi" w:cstheme="minorBidi"/>
          <w:noProof/>
        </w:rPr>
        <w:t>omm</w:t>
      </w:r>
      <w:r w:rsidRPr="00542EB9">
        <w:rPr>
          <w:noProof/>
        </w:rPr>
        <w:t xml:space="preserve">ission’s work on ensuring compliance combines three main aspects: strengthening barrier prevention, collaboration with Member States, and corrective </w:t>
      </w:r>
      <w:r w:rsidR="7DF8E56B" w:rsidRPr="00542EB9">
        <w:rPr>
          <w:noProof/>
        </w:rPr>
        <w:t xml:space="preserve">implementation and </w:t>
      </w:r>
      <w:r w:rsidRPr="00542EB9">
        <w:rPr>
          <w:noProof/>
        </w:rPr>
        <w:t>enforcement actions.</w:t>
      </w:r>
      <w:r w:rsidRPr="00542EB9">
        <w:rPr>
          <w:rFonts w:asciiTheme="minorHAnsi" w:eastAsiaTheme="minorEastAsia" w:hAnsiTheme="minorHAnsi" w:cstheme="minorBidi"/>
          <w:noProof/>
        </w:rPr>
        <w:t xml:space="preserve"> </w:t>
      </w:r>
      <w:r w:rsidR="3680EFE0" w:rsidRPr="00542EB9">
        <w:rPr>
          <w:noProof/>
        </w:rPr>
        <w:t xml:space="preserve">Similarly, protecting the EU budget is a shared responsibility between the EU and its Member States, while the </w:t>
      </w:r>
      <w:r w:rsidR="00F34EA1" w:rsidRPr="00542EB9">
        <w:rPr>
          <w:noProof/>
        </w:rPr>
        <w:t>European</w:t>
      </w:r>
      <w:r w:rsidR="00110F69" w:rsidRPr="00542EB9">
        <w:rPr>
          <w:noProof/>
        </w:rPr>
        <w:t xml:space="preserve"> Commission</w:t>
      </w:r>
      <w:r w:rsidR="00F34EA1" w:rsidRPr="00542EB9">
        <w:rPr>
          <w:noProof/>
        </w:rPr>
        <w:t xml:space="preserve"> play</w:t>
      </w:r>
      <w:r w:rsidR="008F1C5B" w:rsidRPr="00542EB9">
        <w:rPr>
          <w:noProof/>
        </w:rPr>
        <w:t>s</w:t>
      </w:r>
      <w:r w:rsidR="00F34EA1" w:rsidRPr="00542EB9">
        <w:rPr>
          <w:noProof/>
        </w:rPr>
        <w:t xml:space="preserve"> leading and coordination roles for this shared responsibility</w:t>
      </w:r>
      <w:r w:rsidR="3680EFE0" w:rsidRPr="00542EB9">
        <w:rPr>
          <w:noProof/>
        </w:rPr>
        <w:t>.</w:t>
      </w:r>
    </w:p>
    <w:p w14:paraId="123A89A1" w14:textId="570875BA" w:rsidR="008741B3" w:rsidRPr="00542EB9" w:rsidRDefault="5186E1D3" w:rsidP="00BB019A">
      <w:pPr>
        <w:rPr>
          <w:noProof/>
        </w:rPr>
      </w:pPr>
      <w:r w:rsidRPr="00542EB9">
        <w:rPr>
          <w:noProof/>
        </w:rPr>
        <w:t>Under</w:t>
      </w:r>
      <w:r w:rsidR="0B0E8BCD" w:rsidRPr="00542EB9">
        <w:rPr>
          <w:noProof/>
        </w:rPr>
        <w:t xml:space="preserve"> the </w:t>
      </w:r>
      <w:r w:rsidR="721991B8" w:rsidRPr="00542EB9">
        <w:rPr>
          <w:noProof/>
        </w:rPr>
        <w:t xml:space="preserve">current </w:t>
      </w:r>
      <w:r w:rsidR="0B0E8BCD" w:rsidRPr="00542EB9">
        <w:rPr>
          <w:noProof/>
        </w:rPr>
        <w:t>MFF</w:t>
      </w:r>
      <w:r w:rsidR="48FBAE1C" w:rsidRPr="00542EB9">
        <w:rPr>
          <w:noProof/>
        </w:rPr>
        <w:t xml:space="preserve"> 2021-2027</w:t>
      </w:r>
      <w:r w:rsidRPr="00542EB9">
        <w:rPr>
          <w:noProof/>
        </w:rPr>
        <w:t xml:space="preserve">, </w:t>
      </w:r>
      <w:r w:rsidRPr="00542EB9">
        <w:rPr>
          <w:b/>
          <w:bCs/>
          <w:noProof/>
        </w:rPr>
        <w:t xml:space="preserve">the </w:t>
      </w:r>
      <w:r w:rsidR="00B43624" w:rsidRPr="00542EB9">
        <w:rPr>
          <w:b/>
          <w:bCs/>
          <w:noProof/>
        </w:rPr>
        <w:t>S</w:t>
      </w:r>
      <w:r w:rsidR="005459CC" w:rsidRPr="00542EB9">
        <w:rPr>
          <w:b/>
          <w:bCs/>
          <w:noProof/>
        </w:rPr>
        <w:t xml:space="preserve">ingle </w:t>
      </w:r>
      <w:r w:rsidR="00B43624" w:rsidRPr="00542EB9">
        <w:rPr>
          <w:b/>
          <w:bCs/>
          <w:noProof/>
        </w:rPr>
        <w:t>M</w:t>
      </w:r>
      <w:r w:rsidR="005459CC" w:rsidRPr="00542EB9">
        <w:rPr>
          <w:b/>
          <w:bCs/>
          <w:noProof/>
        </w:rPr>
        <w:t>arket</w:t>
      </w:r>
      <w:r w:rsidR="48FBAE1C" w:rsidRPr="00542EB9">
        <w:rPr>
          <w:b/>
          <w:bCs/>
          <w:noProof/>
        </w:rPr>
        <w:t xml:space="preserve"> </w:t>
      </w:r>
      <w:r w:rsidRPr="00542EB9">
        <w:rPr>
          <w:b/>
          <w:bCs/>
          <w:noProof/>
        </w:rPr>
        <w:t>Programme (SMP)</w:t>
      </w:r>
      <w:r w:rsidR="48FBAE1C" w:rsidRPr="00542EB9">
        <w:rPr>
          <w:noProof/>
        </w:rPr>
        <w:t xml:space="preserve"> </w:t>
      </w:r>
      <w:r w:rsidRPr="00542EB9">
        <w:rPr>
          <w:noProof/>
        </w:rPr>
        <w:t xml:space="preserve">has </w:t>
      </w:r>
      <w:r w:rsidR="1C42F1C0" w:rsidRPr="00542EB9">
        <w:rPr>
          <w:rFonts w:eastAsia="Calibri"/>
          <w:noProof/>
        </w:rPr>
        <w:t>support</w:t>
      </w:r>
      <w:r w:rsidRPr="00542EB9">
        <w:rPr>
          <w:rFonts w:eastAsia="Calibri"/>
          <w:noProof/>
        </w:rPr>
        <w:t>ed</w:t>
      </w:r>
      <w:r w:rsidR="1C42F1C0" w:rsidRPr="00542EB9">
        <w:rPr>
          <w:rFonts w:eastAsia="Calibri"/>
          <w:noProof/>
        </w:rPr>
        <w:t xml:space="preserve"> the design, implementation and enforcement of EU legislation underpinning the proper functioning of the </w:t>
      </w:r>
      <w:r w:rsidR="390246A9" w:rsidRPr="00542EB9">
        <w:rPr>
          <w:rFonts w:eastAsia="Calibri"/>
          <w:noProof/>
        </w:rPr>
        <w:t>single</w:t>
      </w:r>
      <w:r w:rsidR="1C42F1C0" w:rsidRPr="00542EB9">
        <w:rPr>
          <w:rFonts w:eastAsia="Calibri"/>
          <w:noProof/>
        </w:rPr>
        <w:t xml:space="preserve"> </w:t>
      </w:r>
      <w:r w:rsidR="390246A9" w:rsidRPr="00542EB9">
        <w:rPr>
          <w:rFonts w:eastAsia="Calibri"/>
          <w:noProof/>
        </w:rPr>
        <w:t>m</w:t>
      </w:r>
      <w:r w:rsidR="5ECBBAC4" w:rsidRPr="00542EB9">
        <w:rPr>
          <w:rFonts w:eastAsia="Calibri"/>
          <w:noProof/>
        </w:rPr>
        <w:t>arket</w:t>
      </w:r>
      <w:r w:rsidR="1C42F1C0" w:rsidRPr="00542EB9">
        <w:rPr>
          <w:rFonts w:eastAsia="Aptos"/>
          <w:noProof/>
        </w:rPr>
        <w:t xml:space="preserve"> so that it can reach its full potential</w:t>
      </w:r>
      <w:r w:rsidR="1C42F1C0" w:rsidRPr="00542EB9">
        <w:rPr>
          <w:rFonts w:eastAsia="Calibri"/>
          <w:noProof/>
        </w:rPr>
        <w:t xml:space="preserve">. </w:t>
      </w:r>
      <w:r w:rsidR="4F5F0A6E" w:rsidRPr="00542EB9">
        <w:rPr>
          <w:rFonts w:eastAsia="Calibri"/>
          <w:noProof/>
        </w:rPr>
        <w:t>Funding opportunities offered through the SMP d</w:t>
      </w:r>
      <w:r w:rsidR="57E387A5" w:rsidRPr="00542EB9">
        <w:rPr>
          <w:noProof/>
        </w:rPr>
        <w:t>eliver on a major policy priority of the Union</w:t>
      </w:r>
      <w:r w:rsidR="0A930923" w:rsidRPr="00542EB9">
        <w:rPr>
          <w:noProof/>
        </w:rPr>
        <w:t xml:space="preserve"> which is the completion of </w:t>
      </w:r>
      <w:r w:rsidR="64E702EC" w:rsidRPr="00542EB9">
        <w:rPr>
          <w:noProof/>
        </w:rPr>
        <w:t>the single</w:t>
      </w:r>
      <w:r w:rsidR="390246A9" w:rsidRPr="00542EB9">
        <w:rPr>
          <w:noProof/>
        </w:rPr>
        <w:t xml:space="preserve"> m</w:t>
      </w:r>
      <w:r w:rsidR="5ECBBAC4" w:rsidRPr="00542EB9">
        <w:rPr>
          <w:noProof/>
        </w:rPr>
        <w:t>arket</w:t>
      </w:r>
      <w:r w:rsidR="4F5F0A6E" w:rsidRPr="00542EB9">
        <w:rPr>
          <w:noProof/>
        </w:rPr>
        <w:t xml:space="preserve"> and need to be continued in the </w:t>
      </w:r>
      <w:r w:rsidR="0A930923" w:rsidRPr="00542EB9">
        <w:rPr>
          <w:noProof/>
        </w:rPr>
        <w:t>future.</w:t>
      </w:r>
    </w:p>
    <w:p w14:paraId="05BF8014" w14:textId="37CBD629" w:rsidR="0049746E" w:rsidRPr="00542EB9" w:rsidRDefault="00B1185E" w:rsidP="00BB019A">
      <w:pPr>
        <w:rPr>
          <w:noProof/>
        </w:rPr>
      </w:pPr>
      <w:r w:rsidRPr="00542EB9">
        <w:rPr>
          <w:noProof/>
        </w:rPr>
        <w:t xml:space="preserve">For the purposes of this impact assessment, the Single Market is defined as the EU's integrated market based on the four fundamental freedoms—free movement of goods, services, people, and capital—established since 1 January 1993. It also encompasses a broader regulatory and operational framework supporting competitiveness, growth, and the protection of EU financial interests. </w:t>
      </w:r>
    </w:p>
    <w:p w14:paraId="2AF26B4D" w14:textId="38F48829" w:rsidR="00CC072B" w:rsidRPr="00542EB9" w:rsidRDefault="00B1185E" w:rsidP="00BB019A">
      <w:pPr>
        <w:rPr>
          <w:noProof/>
        </w:rPr>
      </w:pPr>
      <w:r w:rsidRPr="00542EB9">
        <w:rPr>
          <w:noProof/>
        </w:rPr>
        <w:t>In this context</w:t>
      </w:r>
      <w:r w:rsidR="00375894" w:rsidRPr="00542EB9">
        <w:rPr>
          <w:noProof/>
        </w:rPr>
        <w:t>,</w:t>
      </w:r>
      <w:r w:rsidRPr="00542EB9">
        <w:rPr>
          <w:noProof/>
        </w:rPr>
        <w:t xml:space="preserve"> the programme goes beyond the four freedoms, covering areas such as customs, market surveillance, standardisation, public procurement, intellectual property, crisis management, enforcement, taxation, consumer protection, competition, financial services, implementing tools for administrative cooperation and access to information</w:t>
      </w:r>
      <w:r w:rsidRPr="00542EB9">
        <w:rPr>
          <w:noProof/>
          <w:vertAlign w:val="superscript"/>
        </w:rPr>
        <w:footnoteReference w:id="17"/>
      </w:r>
      <w:r w:rsidRPr="00542EB9">
        <w:rPr>
          <w:noProof/>
        </w:rPr>
        <w:t xml:space="preserve">, collection of statistics, and the protection of </w:t>
      </w:r>
      <w:r w:rsidR="00F877D1" w:rsidRPr="00542EB9">
        <w:rPr>
          <w:noProof/>
        </w:rPr>
        <w:t xml:space="preserve">the </w:t>
      </w:r>
      <w:r w:rsidRPr="00542EB9">
        <w:rPr>
          <w:noProof/>
        </w:rPr>
        <w:t xml:space="preserve">EU’s and Member States’ financial interests and anti-fraud. </w:t>
      </w:r>
    </w:p>
    <w:p w14:paraId="0EF43533" w14:textId="3CB59832" w:rsidR="00DA0029" w:rsidRPr="00542EB9" w:rsidRDefault="5E4D080D" w:rsidP="4ECA7446">
      <w:pPr>
        <w:rPr>
          <w:b/>
          <w:noProof/>
        </w:rPr>
      </w:pPr>
      <w:r w:rsidRPr="00542EB9">
        <w:rPr>
          <w:noProof/>
        </w:rPr>
        <w:t xml:space="preserve">The aim is </w:t>
      </w:r>
      <w:r w:rsidR="42EED3CB" w:rsidRPr="00542EB9">
        <w:rPr>
          <w:noProof/>
        </w:rPr>
        <w:t xml:space="preserve">to </w:t>
      </w:r>
      <w:r w:rsidR="42EED3CB" w:rsidRPr="00542EB9">
        <w:rPr>
          <w:rFonts w:eastAsia="Calibri"/>
          <w:b/>
          <w:bCs/>
          <w:noProof/>
        </w:rPr>
        <w:t xml:space="preserve">make the </w:t>
      </w:r>
      <w:r w:rsidR="005459CC" w:rsidRPr="00542EB9">
        <w:rPr>
          <w:rFonts w:eastAsia="Calibri"/>
          <w:b/>
          <w:bCs/>
          <w:noProof/>
        </w:rPr>
        <w:t>single market</w:t>
      </w:r>
      <w:r w:rsidR="42EED3CB" w:rsidRPr="00542EB9">
        <w:rPr>
          <w:rFonts w:eastAsia="Calibri"/>
          <w:b/>
          <w:bCs/>
          <w:noProof/>
        </w:rPr>
        <w:t xml:space="preserve"> more effective in the era of digitalisation and globalisation and to </w:t>
      </w:r>
      <w:r w:rsidR="42EED3CB" w:rsidRPr="00542EB9">
        <w:rPr>
          <w:b/>
          <w:bCs/>
          <w:noProof/>
        </w:rPr>
        <w:t xml:space="preserve">facilitate </w:t>
      </w:r>
      <w:r w:rsidR="005459CC" w:rsidRPr="00542EB9">
        <w:rPr>
          <w:b/>
          <w:bCs/>
          <w:noProof/>
        </w:rPr>
        <w:t>single market</w:t>
      </w:r>
      <w:r w:rsidR="42EED3CB" w:rsidRPr="00542EB9">
        <w:rPr>
          <w:b/>
          <w:bCs/>
          <w:noProof/>
        </w:rPr>
        <w:t xml:space="preserve"> access and international cooperation</w:t>
      </w:r>
      <w:r w:rsidR="42EED3CB" w:rsidRPr="00542EB9">
        <w:rPr>
          <w:noProof/>
        </w:rPr>
        <w:t>.</w:t>
      </w:r>
      <w:r w:rsidR="42EED3CB" w:rsidRPr="00542EB9">
        <w:rPr>
          <w:rFonts w:eastAsia="Calibri"/>
          <w:noProof/>
        </w:rPr>
        <w:t xml:space="preserve"> </w:t>
      </w:r>
      <w:r w:rsidR="1C642B57" w:rsidRPr="00542EB9">
        <w:rPr>
          <w:noProof/>
        </w:rPr>
        <w:t xml:space="preserve">The </w:t>
      </w:r>
      <w:r w:rsidR="19E394BB" w:rsidRPr="00542EB9">
        <w:rPr>
          <w:noProof/>
        </w:rPr>
        <w:t xml:space="preserve">SMP </w:t>
      </w:r>
      <w:r w:rsidR="42EED3CB" w:rsidRPr="00542EB9">
        <w:rPr>
          <w:noProof/>
        </w:rPr>
        <w:t xml:space="preserve">provides support to </w:t>
      </w:r>
      <w:r w:rsidR="2E5D1489" w:rsidRPr="00542EB9">
        <w:rPr>
          <w:noProof/>
        </w:rPr>
        <w:t>bu</w:t>
      </w:r>
      <w:r w:rsidR="585E4B8C" w:rsidRPr="00542EB9">
        <w:rPr>
          <w:noProof/>
        </w:rPr>
        <w:t>sinesses</w:t>
      </w:r>
      <w:r w:rsidR="6DB4DFCC" w:rsidRPr="00542EB9">
        <w:rPr>
          <w:noProof/>
        </w:rPr>
        <w:t>, non</w:t>
      </w:r>
      <w:r w:rsidR="1EE1A894" w:rsidRPr="00542EB9">
        <w:rPr>
          <w:noProof/>
        </w:rPr>
        <w:t>-</w:t>
      </w:r>
      <w:r w:rsidR="6DB4DFCC" w:rsidRPr="00542EB9">
        <w:rPr>
          <w:noProof/>
        </w:rPr>
        <w:t>state</w:t>
      </w:r>
      <w:r w:rsidR="1469D6AA" w:rsidRPr="00542EB9">
        <w:rPr>
          <w:noProof/>
        </w:rPr>
        <w:t>-</w:t>
      </w:r>
      <w:r w:rsidR="6DB4DFCC" w:rsidRPr="00542EB9">
        <w:rPr>
          <w:noProof/>
        </w:rPr>
        <w:t>actors</w:t>
      </w:r>
      <w:r w:rsidR="41C11057" w:rsidRPr="00542EB9">
        <w:rPr>
          <w:noProof/>
        </w:rPr>
        <w:t xml:space="preserve"> </w:t>
      </w:r>
      <w:r w:rsidR="42EED3CB" w:rsidRPr="00542EB9">
        <w:rPr>
          <w:noProof/>
        </w:rPr>
        <w:t>and to EU authorities and bodies to maintain effective rulemaking, standard-setting and enforcement of EU law</w:t>
      </w:r>
      <w:r w:rsidR="00912566" w:rsidRPr="00542EB9">
        <w:rPr>
          <w:noProof/>
        </w:rPr>
        <w:t xml:space="preserve"> (for example, </w:t>
      </w:r>
      <w:r w:rsidR="008419E3" w:rsidRPr="00542EB9">
        <w:rPr>
          <w:noProof/>
        </w:rPr>
        <w:t>t</w:t>
      </w:r>
      <w:r w:rsidR="00912566" w:rsidRPr="00542EB9">
        <w:rPr>
          <w:noProof/>
        </w:rPr>
        <w:t>he Internal Market Information System (IMI) has further supported the exchange of information on rules of operating of the Single Market between public authorities. Information exchanges rose from 81 980 in 2021 to 112 550 in 2023</w:t>
      </w:r>
      <w:r w:rsidR="00912566" w:rsidRPr="00542EB9">
        <w:rPr>
          <w:noProof/>
          <w:sz w:val="20"/>
          <w:szCs w:val="20"/>
          <w:vertAlign w:val="superscript"/>
        </w:rPr>
        <w:footnoteReference w:id="18"/>
      </w:r>
      <w:r w:rsidR="008419E3" w:rsidRPr="00542EB9">
        <w:rPr>
          <w:noProof/>
        </w:rPr>
        <w:t>)</w:t>
      </w:r>
      <w:r w:rsidR="4512A44C" w:rsidRPr="00542EB9">
        <w:rPr>
          <w:noProof/>
        </w:rPr>
        <w:t xml:space="preserve">. It </w:t>
      </w:r>
      <w:r w:rsidR="243FD406" w:rsidRPr="00542EB9">
        <w:rPr>
          <w:noProof/>
        </w:rPr>
        <w:t xml:space="preserve">mobilises investment through capital markets and </w:t>
      </w:r>
      <w:r w:rsidR="4F45768B" w:rsidRPr="00542EB9">
        <w:rPr>
          <w:noProof/>
        </w:rPr>
        <w:t>b</w:t>
      </w:r>
      <w:r w:rsidR="243FD406" w:rsidRPr="00542EB9">
        <w:rPr>
          <w:noProof/>
        </w:rPr>
        <w:t>a</w:t>
      </w:r>
      <w:r w:rsidR="5AC562D7" w:rsidRPr="00542EB9">
        <w:rPr>
          <w:noProof/>
        </w:rPr>
        <w:t xml:space="preserve">nking </w:t>
      </w:r>
      <w:r w:rsidR="243FD406" w:rsidRPr="00542EB9">
        <w:rPr>
          <w:noProof/>
        </w:rPr>
        <w:t xml:space="preserve">and </w:t>
      </w:r>
      <w:r w:rsidR="02C49B73" w:rsidRPr="00542EB9">
        <w:rPr>
          <w:rFonts w:eastAsia="Calibri"/>
          <w:noProof/>
        </w:rPr>
        <w:t>empower</w:t>
      </w:r>
      <w:r w:rsidR="79BBCCB3" w:rsidRPr="00542EB9">
        <w:rPr>
          <w:rFonts w:eastAsia="Calibri"/>
          <w:noProof/>
        </w:rPr>
        <w:t>s</w:t>
      </w:r>
      <w:r w:rsidR="02C49B73" w:rsidRPr="00542EB9">
        <w:rPr>
          <w:rFonts w:eastAsia="Calibri"/>
          <w:noProof/>
        </w:rPr>
        <w:t xml:space="preserve"> and protect</w:t>
      </w:r>
      <w:r w:rsidR="79BBCCB3" w:rsidRPr="00542EB9">
        <w:rPr>
          <w:rFonts w:eastAsia="Calibri"/>
          <w:noProof/>
        </w:rPr>
        <w:t>s</w:t>
      </w:r>
      <w:r w:rsidR="02C49B73" w:rsidRPr="00542EB9">
        <w:rPr>
          <w:rFonts w:eastAsia="Calibri"/>
          <w:noProof/>
        </w:rPr>
        <w:t xml:space="preserve"> consumers</w:t>
      </w:r>
      <w:r w:rsidR="0B104930" w:rsidRPr="00542EB9">
        <w:rPr>
          <w:noProof/>
        </w:rPr>
        <w:t>.</w:t>
      </w:r>
      <w:r w:rsidR="6E47A6F0" w:rsidRPr="00542EB9">
        <w:rPr>
          <w:noProof/>
        </w:rPr>
        <w:t xml:space="preserve"> </w:t>
      </w:r>
      <w:r w:rsidR="42EED3CB" w:rsidRPr="00542EB9">
        <w:rPr>
          <w:noProof/>
        </w:rPr>
        <w:t>In addition, it supports the capacity-building of Member States’ competent authorities, such as Market Surveillance Authorities</w:t>
      </w:r>
      <w:r w:rsidR="00CA313D" w:rsidRPr="00542EB9">
        <w:rPr>
          <w:rStyle w:val="FootnoteReference"/>
          <w:noProof/>
          <w:sz w:val="20"/>
          <w:szCs w:val="20"/>
        </w:rPr>
        <w:footnoteReference w:id="19"/>
      </w:r>
      <w:r w:rsidR="42EED3CB" w:rsidRPr="00542EB9">
        <w:rPr>
          <w:noProof/>
        </w:rPr>
        <w:t xml:space="preserve">. Finally, </w:t>
      </w:r>
      <w:r w:rsidR="44C3FCC4" w:rsidRPr="00542EB9">
        <w:rPr>
          <w:noProof/>
        </w:rPr>
        <w:t>it</w:t>
      </w:r>
      <w:r w:rsidR="42EED3CB" w:rsidRPr="00542EB9">
        <w:rPr>
          <w:noProof/>
        </w:rPr>
        <w:t xml:space="preserve"> facilitates cooperation among national authorities by providing </w:t>
      </w:r>
      <w:r w:rsidR="15403EB2" w:rsidRPr="00542EB9">
        <w:rPr>
          <w:noProof/>
        </w:rPr>
        <w:t>d</w:t>
      </w:r>
      <w:r w:rsidR="6510F6E1" w:rsidRPr="00542EB9">
        <w:rPr>
          <w:noProof/>
        </w:rPr>
        <w:t>igital tools</w:t>
      </w:r>
      <w:r w:rsidR="42EED3CB" w:rsidRPr="00542EB9">
        <w:rPr>
          <w:noProof/>
        </w:rPr>
        <w:t xml:space="preserve"> or by organising meetings with relevant national authorities (for example through meetings of the European Competition Network).</w:t>
      </w:r>
      <w:r w:rsidR="1F9D3C82" w:rsidRPr="00542EB9">
        <w:rPr>
          <w:noProof/>
        </w:rPr>
        <w:t xml:space="preserve"> </w:t>
      </w:r>
      <w:r w:rsidR="55A798DF" w:rsidRPr="00542EB9">
        <w:rPr>
          <w:noProof/>
        </w:rPr>
        <w:t>Funding in the area of</w:t>
      </w:r>
      <w:r w:rsidR="693A8581" w:rsidRPr="00542EB9">
        <w:rPr>
          <w:b/>
          <w:bCs/>
          <w:noProof/>
        </w:rPr>
        <w:t xml:space="preserve"> </w:t>
      </w:r>
      <w:r w:rsidR="42EED3CB" w:rsidRPr="00542EB9">
        <w:rPr>
          <w:rFonts w:eastAsia="Calibri"/>
          <w:b/>
          <w:bCs/>
          <w:noProof/>
        </w:rPr>
        <w:t>European statistic</w:t>
      </w:r>
      <w:r w:rsidR="2A82BD15" w:rsidRPr="00542EB9">
        <w:rPr>
          <w:rFonts w:eastAsia="Calibri"/>
          <w:b/>
          <w:bCs/>
          <w:noProof/>
        </w:rPr>
        <w:t>s</w:t>
      </w:r>
      <w:r w:rsidR="42EED3CB" w:rsidRPr="00542EB9">
        <w:rPr>
          <w:rFonts w:eastAsia="Calibri"/>
          <w:noProof/>
        </w:rPr>
        <w:t xml:space="preserve"> support</w:t>
      </w:r>
      <w:r w:rsidR="55A798DF" w:rsidRPr="00542EB9">
        <w:rPr>
          <w:rFonts w:eastAsia="Calibri"/>
          <w:noProof/>
        </w:rPr>
        <w:t>s</w:t>
      </w:r>
      <w:r w:rsidR="42EED3CB" w:rsidRPr="00542EB9">
        <w:rPr>
          <w:rFonts w:eastAsia="Calibri"/>
          <w:noProof/>
        </w:rPr>
        <w:t xml:space="preserve"> the development, production and dissemination of </w:t>
      </w:r>
      <w:r w:rsidR="1C39A482" w:rsidRPr="00542EB9">
        <w:rPr>
          <w:rFonts w:eastAsia="Calibri"/>
          <w:noProof/>
        </w:rPr>
        <w:t xml:space="preserve">high-quality, comparable, timely and reliable </w:t>
      </w:r>
      <w:r w:rsidR="42EED3CB" w:rsidRPr="00542EB9">
        <w:rPr>
          <w:rFonts w:eastAsia="Calibri"/>
          <w:noProof/>
        </w:rPr>
        <w:t xml:space="preserve">European statistics </w:t>
      </w:r>
      <w:r w:rsidR="7CF234AB" w:rsidRPr="00542EB9">
        <w:rPr>
          <w:rFonts w:eastAsia="Calibri"/>
          <w:noProof/>
        </w:rPr>
        <w:t>which underpin the design, monitoring and evaluation of all Union policies and help citizens, policymakers, authorities, businesses, academia and the media</w:t>
      </w:r>
      <w:r w:rsidR="105B2ECF" w:rsidRPr="00542EB9">
        <w:rPr>
          <w:rFonts w:eastAsia="Calibri"/>
          <w:noProof/>
        </w:rPr>
        <w:t xml:space="preserve"> to make informed decisions and to actively participate in the democratic process. </w:t>
      </w:r>
    </w:p>
    <w:p w14:paraId="5C0E18B4" w14:textId="253B3AE0" w:rsidR="004B0D92" w:rsidRPr="00542EB9" w:rsidRDefault="00E728A7" w:rsidP="00DC3BF9">
      <w:pPr>
        <w:rPr>
          <w:noProof/>
        </w:rPr>
      </w:pPr>
      <w:r w:rsidRPr="00542EB9">
        <w:rPr>
          <w:noProof/>
        </w:rPr>
        <w:t>The</w:t>
      </w:r>
      <w:r w:rsidRPr="00542EB9">
        <w:rPr>
          <w:b/>
          <w:bCs/>
          <w:noProof/>
        </w:rPr>
        <w:t xml:space="preserve"> </w:t>
      </w:r>
      <w:r w:rsidR="00DC3BF9" w:rsidRPr="00542EB9">
        <w:rPr>
          <w:b/>
          <w:bCs/>
          <w:noProof/>
        </w:rPr>
        <w:t>Custo</w:t>
      </w:r>
      <w:r w:rsidR="00BA03DD" w:rsidRPr="00542EB9">
        <w:rPr>
          <w:b/>
          <w:bCs/>
          <w:noProof/>
        </w:rPr>
        <w:t>ms</w:t>
      </w:r>
      <w:r w:rsidR="00DC3BF9" w:rsidRPr="00542EB9">
        <w:rPr>
          <w:noProof/>
        </w:rPr>
        <w:t xml:space="preserve"> </w:t>
      </w:r>
      <w:r w:rsidR="00DC3BF9" w:rsidRPr="00542EB9">
        <w:rPr>
          <w:b/>
          <w:bCs/>
          <w:noProof/>
        </w:rPr>
        <w:t>and Fiscalis</w:t>
      </w:r>
      <w:r w:rsidR="00DC3BF9" w:rsidRPr="00542EB9">
        <w:rPr>
          <w:noProof/>
        </w:rPr>
        <w:t xml:space="preserve"> </w:t>
      </w:r>
      <w:r w:rsidR="00DC3BF9" w:rsidRPr="00542EB9">
        <w:rPr>
          <w:b/>
          <w:bCs/>
          <w:noProof/>
        </w:rPr>
        <w:t>programmes</w:t>
      </w:r>
      <w:r w:rsidR="00EB05EF" w:rsidRPr="00542EB9">
        <w:rPr>
          <w:b/>
          <w:bCs/>
          <w:noProof/>
        </w:rPr>
        <w:t xml:space="preserve"> </w:t>
      </w:r>
      <w:r w:rsidR="00EB05EF" w:rsidRPr="00542EB9">
        <w:rPr>
          <w:noProof/>
        </w:rPr>
        <w:t>and their previous iterations</w:t>
      </w:r>
      <w:r w:rsidR="00DC3BF9" w:rsidRPr="00542EB9">
        <w:rPr>
          <w:noProof/>
        </w:rPr>
        <w:t xml:space="preserve"> </w:t>
      </w:r>
      <w:r w:rsidR="00AC4E6C" w:rsidRPr="00542EB9">
        <w:rPr>
          <w:noProof/>
        </w:rPr>
        <w:t xml:space="preserve">accompany </w:t>
      </w:r>
      <w:r w:rsidR="00EB05EF" w:rsidRPr="00542EB9">
        <w:rPr>
          <w:noProof/>
        </w:rPr>
        <w:t>the customs and tax</w:t>
      </w:r>
      <w:r w:rsidR="00DC3BF9" w:rsidRPr="00542EB9">
        <w:rPr>
          <w:noProof/>
        </w:rPr>
        <w:t xml:space="preserve"> </w:t>
      </w:r>
      <w:r w:rsidR="00A44FBC" w:rsidRPr="00542EB9">
        <w:rPr>
          <w:noProof/>
        </w:rPr>
        <w:t xml:space="preserve">policies in the EU for more than </w:t>
      </w:r>
      <w:r w:rsidR="005D68FB" w:rsidRPr="00542EB9">
        <w:rPr>
          <w:noProof/>
        </w:rPr>
        <w:t>three</w:t>
      </w:r>
      <w:r w:rsidR="00A44FBC" w:rsidRPr="00542EB9">
        <w:rPr>
          <w:noProof/>
        </w:rPr>
        <w:t xml:space="preserve"> decades</w:t>
      </w:r>
      <w:r w:rsidR="002C0C39" w:rsidRPr="00542EB9">
        <w:rPr>
          <w:noProof/>
        </w:rPr>
        <w:t>. B</w:t>
      </w:r>
      <w:r w:rsidR="00DC3BF9" w:rsidRPr="00542EB9">
        <w:rPr>
          <w:noProof/>
        </w:rPr>
        <w:t xml:space="preserve">oth </w:t>
      </w:r>
      <w:r w:rsidR="002C0C39" w:rsidRPr="00542EB9">
        <w:rPr>
          <w:noProof/>
        </w:rPr>
        <w:t>programmes</w:t>
      </w:r>
      <w:r w:rsidR="00DC3BF9" w:rsidRPr="00542EB9">
        <w:rPr>
          <w:noProof/>
        </w:rPr>
        <w:t xml:space="preserve"> have a heavy digital component</w:t>
      </w:r>
      <w:r w:rsidR="009C20BA" w:rsidRPr="00542EB9">
        <w:rPr>
          <w:noProof/>
        </w:rPr>
        <w:t xml:space="preserve"> (see next paragraphs)</w:t>
      </w:r>
      <w:r w:rsidR="00DC3BF9" w:rsidRPr="00542EB9">
        <w:rPr>
          <w:noProof/>
        </w:rPr>
        <w:t xml:space="preserve"> and face the same challenges as mentioned above, including </w:t>
      </w:r>
      <w:r w:rsidR="00C37417" w:rsidRPr="00542EB9">
        <w:rPr>
          <w:noProof/>
        </w:rPr>
        <w:t xml:space="preserve">– </w:t>
      </w:r>
      <w:r w:rsidR="001C115E" w:rsidRPr="00542EB9">
        <w:rPr>
          <w:noProof/>
        </w:rPr>
        <w:t xml:space="preserve">primarily </w:t>
      </w:r>
      <w:r w:rsidR="00C37417" w:rsidRPr="00542EB9">
        <w:rPr>
          <w:noProof/>
        </w:rPr>
        <w:t xml:space="preserve">on the customs policy side – </w:t>
      </w:r>
      <w:r w:rsidR="00DC3BF9" w:rsidRPr="00542EB9">
        <w:rPr>
          <w:noProof/>
        </w:rPr>
        <w:t xml:space="preserve">ensuring adequate funding to secure the functioning of a highly performing Customs Union and </w:t>
      </w:r>
      <w:r w:rsidR="00BD04CD" w:rsidRPr="00542EB9">
        <w:rPr>
          <w:noProof/>
        </w:rPr>
        <w:t xml:space="preserve">EU </w:t>
      </w:r>
      <w:r w:rsidR="001C115E" w:rsidRPr="00542EB9">
        <w:rPr>
          <w:noProof/>
        </w:rPr>
        <w:t xml:space="preserve">taxation </w:t>
      </w:r>
      <w:r w:rsidR="00DC3BF9" w:rsidRPr="00542EB9">
        <w:rPr>
          <w:noProof/>
        </w:rPr>
        <w:t xml:space="preserve">to address challenges in the digital age. </w:t>
      </w:r>
      <w:r w:rsidR="00720CE6" w:rsidRPr="00542EB9">
        <w:rPr>
          <w:noProof/>
        </w:rPr>
        <w:t xml:space="preserve">This in particular is confirmed by the findings of the </w:t>
      </w:r>
      <w:r w:rsidR="00F66698" w:rsidRPr="00542EB9">
        <w:rPr>
          <w:noProof/>
        </w:rPr>
        <w:t>Customs and Fiscalis 2020 programmes’ final evaluations</w:t>
      </w:r>
      <w:r w:rsidR="001C115E" w:rsidRPr="00542EB9">
        <w:rPr>
          <w:noProof/>
        </w:rPr>
        <w:t xml:space="preserve">. </w:t>
      </w:r>
      <w:r w:rsidR="00DC3BF9" w:rsidRPr="00542EB9">
        <w:rPr>
          <w:noProof/>
        </w:rPr>
        <w:t xml:space="preserve">The cross-border nature of infrastructure and services and the focus on system interoperability are evident both in the area of customs and taxation. </w:t>
      </w:r>
    </w:p>
    <w:p w14:paraId="2C7CB42A" w14:textId="1FD793FB" w:rsidR="00DC3BF9" w:rsidRPr="00542EB9" w:rsidRDefault="00DC3BF9" w:rsidP="00DC3BF9">
      <w:pPr>
        <w:rPr>
          <w:noProof/>
        </w:rPr>
      </w:pPr>
      <w:r w:rsidRPr="00542EB9">
        <w:rPr>
          <w:noProof/>
        </w:rPr>
        <w:t xml:space="preserve">Approximately 95% of the current </w:t>
      </w:r>
      <w:r w:rsidRPr="00542EB9">
        <w:rPr>
          <w:b/>
          <w:bCs/>
          <w:noProof/>
        </w:rPr>
        <w:t>Customs programme</w:t>
      </w:r>
      <w:r w:rsidR="00002351" w:rsidRPr="00542EB9">
        <w:rPr>
          <w:rStyle w:val="FootnoteReference"/>
          <w:b/>
          <w:noProof/>
          <w:sz w:val="20"/>
          <w:szCs w:val="20"/>
        </w:rPr>
        <w:footnoteReference w:id="20"/>
      </w:r>
      <w:r w:rsidRPr="00542EB9">
        <w:rPr>
          <w:noProof/>
        </w:rPr>
        <w:t xml:space="preserve"> budget is dedicated to digital customs in the form of Commission procurement for central digital systems and solutions.</w:t>
      </w:r>
      <w:r w:rsidR="00823AA8" w:rsidRPr="00542EB9" w:rsidDel="00823AA8">
        <w:rPr>
          <w:noProof/>
        </w:rPr>
        <w:t xml:space="preserve"> </w:t>
      </w:r>
      <w:r w:rsidRPr="00542EB9">
        <w:rPr>
          <w:noProof/>
        </w:rPr>
        <w:t xml:space="preserve">The future is focused on an even more centralised digital </w:t>
      </w:r>
      <w:r w:rsidR="008153A9" w:rsidRPr="00542EB9">
        <w:rPr>
          <w:noProof/>
        </w:rPr>
        <w:t>C</w:t>
      </w:r>
      <w:r w:rsidRPr="00542EB9">
        <w:rPr>
          <w:noProof/>
        </w:rPr>
        <w:t xml:space="preserve">ustoms </w:t>
      </w:r>
      <w:r w:rsidR="008153A9" w:rsidRPr="00542EB9">
        <w:rPr>
          <w:noProof/>
        </w:rPr>
        <w:t>U</w:t>
      </w:r>
      <w:r w:rsidRPr="00542EB9">
        <w:rPr>
          <w:noProof/>
        </w:rPr>
        <w:t>nion, represented by a central Data Hub to be developed and managed by an EU Customs A</w:t>
      </w:r>
      <w:r w:rsidR="004F6021" w:rsidRPr="00542EB9">
        <w:rPr>
          <w:noProof/>
        </w:rPr>
        <w:t>uthority</w:t>
      </w:r>
      <w:r w:rsidR="0056351C" w:rsidRPr="00542EB9">
        <w:rPr>
          <w:noProof/>
        </w:rPr>
        <w:t xml:space="preserve"> as set out </w:t>
      </w:r>
      <w:r w:rsidR="00D13B83" w:rsidRPr="00542EB9">
        <w:rPr>
          <w:noProof/>
        </w:rPr>
        <w:t xml:space="preserve">in the Commission’s proposal </w:t>
      </w:r>
      <w:r w:rsidR="003E0D5F" w:rsidRPr="00542EB9">
        <w:rPr>
          <w:noProof/>
        </w:rPr>
        <w:t xml:space="preserve">on </w:t>
      </w:r>
      <w:r w:rsidR="00D13B83" w:rsidRPr="00542EB9">
        <w:rPr>
          <w:noProof/>
        </w:rPr>
        <w:t xml:space="preserve">the Customs Union </w:t>
      </w:r>
      <w:r w:rsidR="00267B1B" w:rsidRPr="00542EB9">
        <w:rPr>
          <w:noProof/>
        </w:rPr>
        <w:t>R</w:t>
      </w:r>
      <w:r w:rsidR="00D13B83" w:rsidRPr="00542EB9">
        <w:rPr>
          <w:noProof/>
        </w:rPr>
        <w:t>eform</w:t>
      </w:r>
      <w:r w:rsidRPr="00542EB9">
        <w:rPr>
          <w:noProof/>
        </w:rPr>
        <w:t xml:space="preserve">. </w:t>
      </w:r>
    </w:p>
    <w:p w14:paraId="0CDE5959" w14:textId="4C2BBECB" w:rsidR="00DB0D4B" w:rsidRPr="00542EB9" w:rsidRDefault="19620820" w:rsidP="00DC3BF9">
      <w:pPr>
        <w:rPr>
          <w:noProof/>
        </w:rPr>
      </w:pPr>
      <w:r w:rsidRPr="00542EB9">
        <w:rPr>
          <w:noProof/>
        </w:rPr>
        <w:t xml:space="preserve">In addition, </w:t>
      </w:r>
      <w:r w:rsidRPr="00542EB9">
        <w:rPr>
          <w:b/>
          <w:bCs/>
          <w:noProof/>
        </w:rPr>
        <w:t xml:space="preserve">the Customs Control Equipment </w:t>
      </w:r>
      <w:r w:rsidR="684915F5" w:rsidRPr="00542EB9">
        <w:rPr>
          <w:b/>
          <w:bCs/>
          <w:noProof/>
        </w:rPr>
        <w:t>I</w:t>
      </w:r>
      <w:r w:rsidRPr="00542EB9">
        <w:rPr>
          <w:b/>
          <w:bCs/>
          <w:noProof/>
        </w:rPr>
        <w:t>nstrument</w:t>
      </w:r>
      <w:r w:rsidR="008A751E" w:rsidRPr="00542EB9">
        <w:rPr>
          <w:rStyle w:val="FootnoteReference"/>
          <w:b/>
          <w:noProof/>
          <w:sz w:val="20"/>
          <w:szCs w:val="20"/>
        </w:rPr>
        <w:footnoteReference w:id="21"/>
      </w:r>
      <w:r w:rsidRPr="00542EB9">
        <w:rPr>
          <w:noProof/>
        </w:rPr>
        <w:t xml:space="preserve"> as part of the In</w:t>
      </w:r>
      <w:r w:rsidR="4F824CE1" w:rsidRPr="00542EB9">
        <w:rPr>
          <w:noProof/>
        </w:rPr>
        <w:t xml:space="preserve">tegrated Border Management Fund, </w:t>
      </w:r>
      <w:r w:rsidR="4E0A90C2" w:rsidRPr="00542EB9">
        <w:rPr>
          <w:noProof/>
        </w:rPr>
        <w:t>contribute</w:t>
      </w:r>
      <w:r w:rsidR="684915F5" w:rsidRPr="00542EB9">
        <w:rPr>
          <w:noProof/>
        </w:rPr>
        <w:t>s</w:t>
      </w:r>
      <w:r w:rsidR="4E0A90C2" w:rsidRPr="00542EB9">
        <w:rPr>
          <w:noProof/>
        </w:rPr>
        <w:t xml:space="preserve"> to increasing</w:t>
      </w:r>
      <w:r w:rsidR="4F824CE1" w:rsidRPr="00542EB9">
        <w:rPr>
          <w:noProof/>
        </w:rPr>
        <w:t xml:space="preserve"> the </w:t>
      </w:r>
      <w:r w:rsidR="4E0A90C2" w:rsidRPr="00542EB9">
        <w:rPr>
          <w:noProof/>
        </w:rPr>
        <w:t>efficient and effective customs controls</w:t>
      </w:r>
      <w:r w:rsidR="684915F5" w:rsidRPr="00542EB9">
        <w:rPr>
          <w:noProof/>
        </w:rPr>
        <w:t xml:space="preserve">, essential for the </w:t>
      </w:r>
      <w:r w:rsidR="6B1DD941" w:rsidRPr="00542EB9">
        <w:rPr>
          <w:noProof/>
        </w:rPr>
        <w:t>facilitation of legitimate trade, while ensuring sufficient level of protection at the external borders,</w:t>
      </w:r>
      <w:r w:rsidR="4E0A90C2" w:rsidRPr="00542EB9">
        <w:rPr>
          <w:noProof/>
        </w:rPr>
        <w:t xml:space="preserve"> by </w:t>
      </w:r>
      <w:r w:rsidR="6B070BF2" w:rsidRPr="00542EB9">
        <w:rPr>
          <w:noProof/>
        </w:rPr>
        <w:t>supporting the</w:t>
      </w:r>
      <w:r w:rsidR="4B8A92E0" w:rsidRPr="00542EB9">
        <w:rPr>
          <w:noProof/>
        </w:rPr>
        <w:t xml:space="preserve"> purchase, maint</w:t>
      </w:r>
      <w:r w:rsidR="6B070BF2" w:rsidRPr="00542EB9">
        <w:rPr>
          <w:noProof/>
        </w:rPr>
        <w:t>enance</w:t>
      </w:r>
      <w:r w:rsidR="4B8A92E0" w:rsidRPr="00542EB9">
        <w:rPr>
          <w:noProof/>
        </w:rPr>
        <w:t xml:space="preserve"> and upgrade </w:t>
      </w:r>
      <w:r w:rsidR="6B070BF2" w:rsidRPr="00542EB9">
        <w:rPr>
          <w:noProof/>
        </w:rPr>
        <w:t>of</w:t>
      </w:r>
      <w:r w:rsidR="4B8A92E0" w:rsidRPr="00542EB9">
        <w:rPr>
          <w:noProof/>
        </w:rPr>
        <w:t xml:space="preserve"> state-of-the-art customs equipment such as scanners, automated number plate detection systems, teams of sniffer dogs and mobile laboratories for sample analysis.</w:t>
      </w:r>
    </w:p>
    <w:p w14:paraId="47188CB1" w14:textId="1F5AD08F" w:rsidR="00DC3BF9" w:rsidRPr="00542EB9" w:rsidRDefault="07671185" w:rsidP="00DC3BF9">
      <w:pPr>
        <w:rPr>
          <w:noProof/>
        </w:rPr>
      </w:pPr>
      <w:r w:rsidRPr="00542EB9">
        <w:rPr>
          <w:noProof/>
        </w:rPr>
        <w:t>The</w:t>
      </w:r>
      <w:r w:rsidR="001A5135" w:rsidRPr="00542EB9">
        <w:rPr>
          <w:noProof/>
        </w:rPr>
        <w:t xml:space="preserve"> </w:t>
      </w:r>
      <w:r w:rsidRPr="00542EB9">
        <w:rPr>
          <w:b/>
          <w:bCs/>
          <w:noProof/>
        </w:rPr>
        <w:t>Fiscalis programme</w:t>
      </w:r>
      <w:r w:rsidR="00592EC0" w:rsidRPr="00542EB9">
        <w:rPr>
          <w:rStyle w:val="FootnoteReference"/>
          <w:b/>
          <w:noProof/>
          <w:sz w:val="20"/>
          <w:szCs w:val="20"/>
        </w:rPr>
        <w:footnoteReference w:id="22"/>
      </w:r>
      <w:r w:rsidRPr="00542EB9">
        <w:rPr>
          <w:noProof/>
        </w:rPr>
        <w:t xml:space="preserve"> </w:t>
      </w:r>
      <w:r w:rsidR="00AA5979" w:rsidRPr="00542EB9">
        <w:rPr>
          <w:noProof/>
        </w:rPr>
        <w:t>supports the</w:t>
      </w:r>
      <w:r w:rsidRPr="00542EB9">
        <w:rPr>
          <w:noProof/>
        </w:rPr>
        <w:t xml:space="preserve"> </w:t>
      </w:r>
      <w:r w:rsidR="7449814B" w:rsidRPr="00542EB9">
        <w:rPr>
          <w:noProof/>
        </w:rPr>
        <w:t>develop</w:t>
      </w:r>
      <w:r w:rsidR="0A22501C" w:rsidRPr="00542EB9">
        <w:rPr>
          <w:noProof/>
        </w:rPr>
        <w:t>ment</w:t>
      </w:r>
      <w:r w:rsidR="7449814B" w:rsidRPr="00542EB9">
        <w:rPr>
          <w:noProof/>
        </w:rPr>
        <w:t>, operati</w:t>
      </w:r>
      <w:r w:rsidR="0A22501C" w:rsidRPr="00542EB9">
        <w:rPr>
          <w:noProof/>
        </w:rPr>
        <w:t>on</w:t>
      </w:r>
      <w:r w:rsidRPr="00542EB9">
        <w:rPr>
          <w:noProof/>
        </w:rPr>
        <w:t xml:space="preserve"> and </w:t>
      </w:r>
      <w:r w:rsidR="7449814B" w:rsidRPr="00542EB9">
        <w:rPr>
          <w:noProof/>
        </w:rPr>
        <w:t>modernis</w:t>
      </w:r>
      <w:r w:rsidR="0A22501C" w:rsidRPr="00542EB9">
        <w:rPr>
          <w:noProof/>
        </w:rPr>
        <w:t>ation</w:t>
      </w:r>
      <w:r w:rsidRPr="00542EB9">
        <w:rPr>
          <w:noProof/>
        </w:rPr>
        <w:t xml:space="preserve"> </w:t>
      </w:r>
      <w:r w:rsidR="00AA5979" w:rsidRPr="00542EB9">
        <w:rPr>
          <w:noProof/>
        </w:rPr>
        <w:t>of</w:t>
      </w:r>
      <w:r w:rsidRPr="00542EB9">
        <w:rPr>
          <w:noProof/>
        </w:rPr>
        <w:t xml:space="preserve"> the key digital infrastructures for taxation </w:t>
      </w:r>
      <w:r w:rsidR="6A927851" w:rsidRPr="00542EB9">
        <w:rPr>
          <w:noProof/>
        </w:rPr>
        <w:t>(</w:t>
      </w:r>
      <w:r w:rsidR="42377E08" w:rsidRPr="00542EB9">
        <w:rPr>
          <w:noProof/>
        </w:rPr>
        <w:t xml:space="preserve">representing </w:t>
      </w:r>
      <w:r w:rsidR="5A5C5DC1" w:rsidRPr="00542EB9">
        <w:rPr>
          <w:noProof/>
        </w:rPr>
        <w:t>around 85</w:t>
      </w:r>
      <w:r w:rsidR="57B2137A" w:rsidRPr="00542EB9">
        <w:rPr>
          <w:noProof/>
        </w:rPr>
        <w:t>% of the current programme’s budget</w:t>
      </w:r>
      <w:r w:rsidR="08D537EA" w:rsidRPr="00542EB9">
        <w:rPr>
          <w:noProof/>
        </w:rPr>
        <w:t>, in the form of Commission procurement</w:t>
      </w:r>
      <w:r w:rsidR="57B2137A" w:rsidRPr="00542EB9">
        <w:rPr>
          <w:noProof/>
        </w:rPr>
        <w:t xml:space="preserve">), </w:t>
      </w:r>
      <w:r w:rsidR="3C3DE244" w:rsidRPr="00542EB9">
        <w:rPr>
          <w:noProof/>
        </w:rPr>
        <w:t>as well as</w:t>
      </w:r>
      <w:r w:rsidR="7A9A1298" w:rsidRPr="00542EB9">
        <w:rPr>
          <w:noProof/>
        </w:rPr>
        <w:t xml:space="preserve"> project</w:t>
      </w:r>
      <w:r w:rsidR="00390D55" w:rsidRPr="00542EB9">
        <w:rPr>
          <w:noProof/>
        </w:rPr>
        <w:t>-</w:t>
      </w:r>
      <w:r w:rsidR="7A9A1298" w:rsidRPr="00542EB9">
        <w:rPr>
          <w:noProof/>
        </w:rPr>
        <w:t xml:space="preserve">based cooperation and human capacity building activities, </w:t>
      </w:r>
      <w:r w:rsidR="13D21487" w:rsidRPr="00542EB9">
        <w:rPr>
          <w:noProof/>
        </w:rPr>
        <w:t xml:space="preserve">to implement </w:t>
      </w:r>
      <w:r w:rsidRPr="00542EB9">
        <w:rPr>
          <w:noProof/>
        </w:rPr>
        <w:t xml:space="preserve">the EU </w:t>
      </w:r>
      <w:r w:rsidR="00AA5979" w:rsidRPr="00542EB9">
        <w:rPr>
          <w:noProof/>
        </w:rPr>
        <w:t xml:space="preserve">tax </w:t>
      </w:r>
      <w:r w:rsidRPr="00542EB9">
        <w:rPr>
          <w:noProof/>
        </w:rPr>
        <w:t xml:space="preserve">policy objectives including enhancing the functioning of the </w:t>
      </w:r>
      <w:r w:rsidR="005459CC" w:rsidRPr="00542EB9">
        <w:rPr>
          <w:noProof/>
        </w:rPr>
        <w:t>single market</w:t>
      </w:r>
      <w:r w:rsidRPr="00542EB9">
        <w:rPr>
          <w:noProof/>
        </w:rPr>
        <w:t xml:space="preserve">. It also </w:t>
      </w:r>
      <w:r w:rsidR="7449814B" w:rsidRPr="00542EB9">
        <w:rPr>
          <w:noProof/>
        </w:rPr>
        <w:t>put</w:t>
      </w:r>
      <w:r w:rsidR="7D60E800" w:rsidRPr="00542EB9">
        <w:rPr>
          <w:noProof/>
        </w:rPr>
        <w:t>s</w:t>
      </w:r>
      <w:r w:rsidRPr="00542EB9">
        <w:rPr>
          <w:noProof/>
        </w:rPr>
        <w:t xml:space="preserve"> in place </w:t>
      </w:r>
      <w:r w:rsidR="00AA5979" w:rsidRPr="00542EB9">
        <w:rPr>
          <w:noProof/>
        </w:rPr>
        <w:t xml:space="preserve">and </w:t>
      </w:r>
      <w:r w:rsidR="3D6AD99B" w:rsidRPr="00542EB9">
        <w:rPr>
          <w:noProof/>
        </w:rPr>
        <w:t>operate</w:t>
      </w:r>
      <w:r w:rsidR="740AC07B" w:rsidRPr="00542EB9">
        <w:rPr>
          <w:noProof/>
        </w:rPr>
        <w:t>s</w:t>
      </w:r>
      <w:r w:rsidR="00AA5979" w:rsidRPr="00542EB9">
        <w:rPr>
          <w:noProof/>
        </w:rPr>
        <w:t xml:space="preserve"> </w:t>
      </w:r>
      <w:r w:rsidRPr="00542EB9">
        <w:rPr>
          <w:noProof/>
        </w:rPr>
        <w:t>common tools to facilitate the cooperation</w:t>
      </w:r>
      <w:r w:rsidR="00546BCC" w:rsidRPr="00542EB9">
        <w:rPr>
          <w:noProof/>
        </w:rPr>
        <w:t xml:space="preserve"> in the </w:t>
      </w:r>
      <w:r w:rsidR="005459CC" w:rsidRPr="00542EB9">
        <w:rPr>
          <w:noProof/>
        </w:rPr>
        <w:t>single market</w:t>
      </w:r>
      <w:r w:rsidRPr="00542EB9">
        <w:rPr>
          <w:noProof/>
        </w:rPr>
        <w:t xml:space="preserve">, particularly in the fight against tax evasion and fraud. </w:t>
      </w:r>
    </w:p>
    <w:p w14:paraId="5FF3C632" w14:textId="61D9F64B" w:rsidR="00A424DE" w:rsidRPr="00542EB9" w:rsidRDefault="00A424DE" w:rsidP="00DC3BF9">
      <w:pPr>
        <w:rPr>
          <w:noProof/>
        </w:rPr>
      </w:pPr>
      <w:r w:rsidRPr="00542EB9">
        <w:rPr>
          <w:noProof/>
        </w:rPr>
        <w:t xml:space="preserve">As cooperation programmes, the Customs and Fiscalis programmes </w:t>
      </w:r>
      <w:r w:rsidR="00B962FE" w:rsidRPr="00542EB9">
        <w:rPr>
          <w:noProof/>
        </w:rPr>
        <w:t xml:space="preserve">support </w:t>
      </w:r>
      <w:r w:rsidR="00CF7E79" w:rsidRPr="00542EB9">
        <w:rPr>
          <w:noProof/>
        </w:rPr>
        <w:t xml:space="preserve">and facilitate the engagement and integration of </w:t>
      </w:r>
      <w:r w:rsidR="00C50003" w:rsidRPr="00542EB9">
        <w:rPr>
          <w:noProof/>
        </w:rPr>
        <w:t xml:space="preserve">customs and taxation administrations </w:t>
      </w:r>
      <w:r w:rsidR="00CF7E79" w:rsidRPr="00542EB9">
        <w:rPr>
          <w:noProof/>
        </w:rPr>
        <w:t xml:space="preserve">from enlargement countries </w:t>
      </w:r>
      <w:r w:rsidR="009617EE" w:rsidRPr="00542EB9">
        <w:rPr>
          <w:noProof/>
        </w:rPr>
        <w:t xml:space="preserve">into the </w:t>
      </w:r>
      <w:r w:rsidR="00CF7E79" w:rsidRPr="00542EB9">
        <w:rPr>
          <w:noProof/>
        </w:rPr>
        <w:t>broader</w:t>
      </w:r>
      <w:r w:rsidR="009617EE" w:rsidRPr="00542EB9">
        <w:rPr>
          <w:noProof/>
        </w:rPr>
        <w:t xml:space="preserve"> </w:t>
      </w:r>
      <w:r w:rsidR="00EF070B" w:rsidRPr="00542EB9">
        <w:rPr>
          <w:noProof/>
        </w:rPr>
        <w:t xml:space="preserve">EU </w:t>
      </w:r>
      <w:r w:rsidR="00762890" w:rsidRPr="00542EB9">
        <w:rPr>
          <w:noProof/>
        </w:rPr>
        <w:t>customs and taxa</w:t>
      </w:r>
      <w:r w:rsidR="003D6817" w:rsidRPr="00542EB9">
        <w:rPr>
          <w:noProof/>
        </w:rPr>
        <w:t>tion community</w:t>
      </w:r>
      <w:r w:rsidR="00CF7E79" w:rsidRPr="00542EB9">
        <w:rPr>
          <w:noProof/>
        </w:rPr>
        <w:t>. This includes their</w:t>
      </w:r>
      <w:r w:rsidR="00953F15" w:rsidRPr="00542EB9">
        <w:rPr>
          <w:noProof/>
        </w:rPr>
        <w:t xml:space="preserve"> </w:t>
      </w:r>
      <w:r w:rsidR="00BB5BAC" w:rsidRPr="00542EB9">
        <w:rPr>
          <w:noProof/>
        </w:rPr>
        <w:t xml:space="preserve">digital </w:t>
      </w:r>
      <w:r w:rsidR="00953F15" w:rsidRPr="00542EB9">
        <w:rPr>
          <w:noProof/>
        </w:rPr>
        <w:t xml:space="preserve">onboarding </w:t>
      </w:r>
      <w:r w:rsidR="00CF7E79" w:rsidRPr="00542EB9">
        <w:rPr>
          <w:noProof/>
        </w:rPr>
        <w:t>into</w:t>
      </w:r>
      <w:r w:rsidR="00BB5BAC" w:rsidRPr="00542EB9">
        <w:rPr>
          <w:noProof/>
        </w:rPr>
        <w:t xml:space="preserve"> some </w:t>
      </w:r>
      <w:r w:rsidR="006A7F55" w:rsidRPr="00542EB9">
        <w:rPr>
          <w:noProof/>
        </w:rPr>
        <w:t xml:space="preserve">key </w:t>
      </w:r>
      <w:r w:rsidR="00CF7E79" w:rsidRPr="00542EB9">
        <w:rPr>
          <w:noProof/>
        </w:rPr>
        <w:t>European common</w:t>
      </w:r>
      <w:r w:rsidR="006A7F55" w:rsidRPr="00542EB9">
        <w:rPr>
          <w:noProof/>
        </w:rPr>
        <w:t xml:space="preserve"> IT systems</w:t>
      </w:r>
      <w:r w:rsidR="00092BE9" w:rsidRPr="00542EB9">
        <w:rPr>
          <w:noProof/>
        </w:rPr>
        <w:t>, such as the New Computerised Customs System</w:t>
      </w:r>
      <w:r w:rsidR="006A7F55" w:rsidRPr="00542EB9">
        <w:rPr>
          <w:noProof/>
        </w:rPr>
        <w:t>.</w:t>
      </w:r>
      <w:r w:rsidR="003168B8" w:rsidRPr="00542EB9">
        <w:rPr>
          <w:noProof/>
        </w:rPr>
        <w:t xml:space="preserve"> </w:t>
      </w:r>
    </w:p>
    <w:p w14:paraId="5E7D914A" w14:textId="3300CCB2" w:rsidR="00C92BA2" w:rsidRPr="00542EB9" w:rsidRDefault="518C57E5" w:rsidP="00C92BA2">
      <w:pPr>
        <w:spacing w:after="160"/>
        <w:rPr>
          <w:rFonts w:eastAsia="Times New Roman"/>
          <w:noProof/>
          <w:lang w:val="en-IE"/>
        </w:rPr>
      </w:pPr>
      <w:r w:rsidRPr="00542EB9">
        <w:rPr>
          <w:noProof/>
        </w:rPr>
        <w:t xml:space="preserve">The </w:t>
      </w:r>
      <w:r w:rsidRPr="00542EB9">
        <w:rPr>
          <w:b/>
          <w:bCs/>
          <w:noProof/>
        </w:rPr>
        <w:t>Union Anti-Fraud Programme</w:t>
      </w:r>
      <w:r w:rsidRPr="00542EB9">
        <w:rPr>
          <w:noProof/>
        </w:rPr>
        <w:t xml:space="preserve"> </w:t>
      </w:r>
      <w:r w:rsidR="565E9D0B" w:rsidRPr="00542EB9">
        <w:rPr>
          <w:noProof/>
        </w:rPr>
        <w:t>(UAFP)</w:t>
      </w:r>
      <w:r w:rsidRPr="00542EB9">
        <w:rPr>
          <w:noProof/>
          <w:sz w:val="20"/>
          <w:szCs w:val="20"/>
          <w:vertAlign w:val="superscript"/>
        </w:rPr>
        <w:footnoteReference w:id="23"/>
      </w:r>
      <w:r w:rsidRPr="00542EB9">
        <w:rPr>
          <w:noProof/>
        </w:rPr>
        <w:t xml:space="preserve"> funds actions which aim to prevent and combat fraud, corruption and other illegal activities affecting the EU's financial interests.</w:t>
      </w:r>
      <w:r w:rsidR="54D4B585" w:rsidRPr="00542EB9">
        <w:rPr>
          <w:noProof/>
        </w:rPr>
        <w:t xml:space="preserve"> The programme addresse</w:t>
      </w:r>
      <w:r w:rsidR="3C325A91" w:rsidRPr="00542EB9">
        <w:rPr>
          <w:noProof/>
        </w:rPr>
        <w:t>s both</w:t>
      </w:r>
      <w:r w:rsidR="54D4B585" w:rsidRPr="00542EB9">
        <w:rPr>
          <w:noProof/>
        </w:rPr>
        <w:t xml:space="preserve"> the </w:t>
      </w:r>
      <w:r w:rsidR="71BAD6CA" w:rsidRPr="00542EB9">
        <w:rPr>
          <w:noProof/>
        </w:rPr>
        <w:t xml:space="preserve">expenditure and the revenue components of anti-fraud activities to protect the </w:t>
      </w:r>
      <w:r w:rsidR="3212625C" w:rsidRPr="00542EB9">
        <w:rPr>
          <w:noProof/>
        </w:rPr>
        <w:t>U</w:t>
      </w:r>
      <w:r w:rsidR="71BAD6CA" w:rsidRPr="00542EB9">
        <w:rPr>
          <w:noProof/>
        </w:rPr>
        <w:t>nion’s budget.</w:t>
      </w:r>
      <w:r w:rsidRPr="00542EB9">
        <w:rPr>
          <w:noProof/>
        </w:rPr>
        <w:t xml:space="preserve"> </w:t>
      </w:r>
      <w:r w:rsidR="565E9D0B" w:rsidRPr="00542EB9">
        <w:rPr>
          <w:noProof/>
        </w:rPr>
        <w:t xml:space="preserve">It combines the financing and implementation of three different, previously separate EU interventions: 1) financial support to Member States for anti-fraud measures, 2) the Anti-Fraud Information System (AFIS) and 3) the Irregularity Management System (IMS). </w:t>
      </w:r>
      <w:r w:rsidRPr="00542EB9">
        <w:rPr>
          <w:noProof/>
        </w:rPr>
        <w:t xml:space="preserve">Actions eligible for funding include technical and operational investigation support, </w:t>
      </w:r>
      <w:r w:rsidR="21309727" w:rsidRPr="00542EB9">
        <w:rPr>
          <w:noProof/>
        </w:rPr>
        <w:t>such as t</w:t>
      </w:r>
      <w:r w:rsidR="6B2D3BCA" w:rsidRPr="00542EB9">
        <w:rPr>
          <w:noProof/>
        </w:rPr>
        <w:t>he acquisition of databases and tools</w:t>
      </w:r>
      <w:r w:rsidR="0F81D0AF" w:rsidRPr="00542EB9">
        <w:rPr>
          <w:noProof/>
        </w:rPr>
        <w:t>/equipment</w:t>
      </w:r>
      <w:r w:rsidR="6B2D3BCA" w:rsidRPr="00542EB9">
        <w:rPr>
          <w:noProof/>
        </w:rPr>
        <w:t>, digital forensic analysis</w:t>
      </w:r>
      <w:r w:rsidRPr="00542EB9">
        <w:rPr>
          <w:noProof/>
        </w:rPr>
        <w:t xml:space="preserve">, specialised </w:t>
      </w:r>
      <w:r w:rsidR="589E26BE" w:rsidRPr="00542EB9">
        <w:rPr>
          <w:noProof/>
        </w:rPr>
        <w:t xml:space="preserve">anti-fraud </w:t>
      </w:r>
      <w:r w:rsidRPr="00542EB9">
        <w:rPr>
          <w:noProof/>
        </w:rPr>
        <w:t>training</w:t>
      </w:r>
      <w:r w:rsidR="0F81D0AF" w:rsidRPr="00542EB9">
        <w:rPr>
          <w:noProof/>
        </w:rPr>
        <w:t xml:space="preserve"> activities</w:t>
      </w:r>
      <w:r w:rsidRPr="00542EB9">
        <w:rPr>
          <w:noProof/>
        </w:rPr>
        <w:t xml:space="preserve">, research activities and </w:t>
      </w:r>
      <w:r w:rsidR="4AD6AE54" w:rsidRPr="00542EB9">
        <w:rPr>
          <w:noProof/>
        </w:rPr>
        <w:t xml:space="preserve">the operation of </w:t>
      </w:r>
      <w:r w:rsidR="70980FF6" w:rsidRPr="00542EB9">
        <w:rPr>
          <w:noProof/>
        </w:rPr>
        <w:t>AFIS and IMS</w:t>
      </w:r>
      <w:r w:rsidRPr="00542EB9">
        <w:rPr>
          <w:noProof/>
        </w:rPr>
        <w:t>.</w:t>
      </w:r>
      <w:r w:rsidR="1CE6D4D9" w:rsidRPr="00542EB9">
        <w:rPr>
          <w:noProof/>
        </w:rPr>
        <w:t xml:space="preserve"> </w:t>
      </w:r>
      <w:r w:rsidR="1A3487A7" w:rsidRPr="00542EB9">
        <w:rPr>
          <w:noProof/>
        </w:rPr>
        <w:t>Due to their specific nature</w:t>
      </w:r>
      <w:r w:rsidR="003E658F" w:rsidRPr="00542EB9">
        <w:rPr>
          <w:noProof/>
        </w:rPr>
        <w:t xml:space="preserve"> </w:t>
      </w:r>
      <w:r w:rsidR="1A3487A7" w:rsidRPr="00542EB9">
        <w:rPr>
          <w:noProof/>
        </w:rPr>
        <w:t>linked to</w:t>
      </w:r>
      <w:r w:rsidR="054A63FD" w:rsidRPr="00542EB9">
        <w:rPr>
          <w:noProof/>
        </w:rPr>
        <w:t xml:space="preserve"> the Commission’s </w:t>
      </w:r>
      <w:r w:rsidR="1A3487A7" w:rsidRPr="00542EB9">
        <w:rPr>
          <w:noProof/>
        </w:rPr>
        <w:t xml:space="preserve">operational activities in support of Member States, </w:t>
      </w:r>
      <w:r w:rsidR="69972113" w:rsidRPr="00542EB9">
        <w:rPr>
          <w:noProof/>
        </w:rPr>
        <w:t>the work within AFIS and IMS</w:t>
      </w:r>
      <w:r w:rsidR="0820405F" w:rsidRPr="00542EB9">
        <w:rPr>
          <w:noProof/>
        </w:rPr>
        <w:t xml:space="preserve"> </w:t>
      </w:r>
      <w:r w:rsidR="26039135" w:rsidRPr="00542EB9">
        <w:rPr>
          <w:noProof/>
        </w:rPr>
        <w:t>would be considered</w:t>
      </w:r>
      <w:r w:rsidR="0820405F" w:rsidRPr="00542EB9">
        <w:rPr>
          <w:noProof/>
        </w:rPr>
        <w:t xml:space="preserve"> </w:t>
      </w:r>
      <w:r w:rsidR="1A3487A7" w:rsidRPr="00542EB9">
        <w:rPr>
          <w:noProof/>
        </w:rPr>
        <w:t>indispensable. The AFIS component finances operational activities, necessary for the independent investigative mandate of OLAF, while the IMS component finances the maintenance, development and user support of a</w:t>
      </w:r>
      <w:r w:rsidR="39566BF7" w:rsidRPr="00542EB9">
        <w:rPr>
          <w:noProof/>
        </w:rPr>
        <w:t>n</w:t>
      </w:r>
      <w:r w:rsidR="61DFECBB" w:rsidRPr="00542EB9">
        <w:rPr>
          <w:noProof/>
        </w:rPr>
        <w:t xml:space="preserve"> IT</w:t>
      </w:r>
      <w:r w:rsidR="1A3487A7" w:rsidRPr="00542EB9">
        <w:rPr>
          <w:noProof/>
        </w:rPr>
        <w:t xml:space="preserve"> system managed by OLAF on behalf of the Commission. </w:t>
      </w:r>
    </w:p>
    <w:p w14:paraId="6AF8750F" w14:textId="60B07BA7" w:rsidR="00FE1CE5" w:rsidRPr="00542EB9" w:rsidRDefault="00FE1CE5" w:rsidP="00FE1CE5">
      <w:pPr>
        <w:rPr>
          <w:rFonts w:eastAsia="Aptos"/>
          <w:noProof/>
        </w:rPr>
      </w:pPr>
      <w:r w:rsidRPr="00542EB9">
        <w:rPr>
          <w:rFonts w:eastAsia="Aptos"/>
          <w:noProof/>
        </w:rPr>
        <w:t>The programme is not perceived as the discontinuation of existing programmes, nor their reorientation. While the names of the programmes (e.g. Single Market Programme, Customs, Fiscalis or Union Anti-Fraud Programme) are no longer spelled out separately, the future actions supported in the relevant policy areas will continue to provide support with increased coordination and synergies at policy and design level. Most of the actions stem from the EU-level legal obligations established upon the Commission and the Member States, for most of them, would be implemented via public procurement by the Commission. </w:t>
      </w:r>
    </w:p>
    <w:p w14:paraId="5A8673FA" w14:textId="108074DB" w:rsidR="00C71304" w:rsidRPr="00542EB9" w:rsidRDefault="00C71304" w:rsidP="00FE1CE5">
      <w:pPr>
        <w:rPr>
          <w:rFonts w:eastAsia="Aptos"/>
          <w:noProof/>
          <w:lang w:val="en-US"/>
        </w:rPr>
      </w:pPr>
      <w:r w:rsidRPr="00542EB9">
        <w:rPr>
          <w:rFonts w:eastAsia="Aptos"/>
          <w:noProof/>
        </w:rPr>
        <w:t xml:space="preserve">More information on the Single Market, Customs Union, Taxation, and </w:t>
      </w:r>
      <w:r w:rsidR="00F814C9" w:rsidRPr="00542EB9">
        <w:rPr>
          <w:rFonts w:eastAsia="Aptos"/>
          <w:noProof/>
        </w:rPr>
        <w:t xml:space="preserve">Anti-Fraud can be found in Annex 7. </w:t>
      </w:r>
    </w:p>
    <w:p w14:paraId="5BDA5DC0" w14:textId="39D89B50" w:rsidR="006B087E" w:rsidRPr="00542EB9" w:rsidRDefault="2CEB5DE4" w:rsidP="5DD21FD3">
      <w:pPr>
        <w:pStyle w:val="Heading1"/>
        <w:rPr>
          <w:noProof/>
        </w:rPr>
      </w:pPr>
      <w:bookmarkStart w:id="10" w:name="_Toc191909093"/>
      <w:bookmarkStart w:id="11" w:name="_Toc198549036"/>
      <w:r w:rsidRPr="00542EB9">
        <w:rPr>
          <w:noProof/>
        </w:rPr>
        <w:t>Problem definition</w:t>
      </w:r>
      <w:bookmarkEnd w:id="10"/>
      <w:bookmarkEnd w:id="11"/>
    </w:p>
    <w:p w14:paraId="1A5A9613" w14:textId="71DE70CD" w:rsidR="007E5063" w:rsidRPr="00542EB9" w:rsidRDefault="0E4B8AF7" w:rsidP="5DD21FD3">
      <w:pPr>
        <w:pStyle w:val="Heading2"/>
        <w:rPr>
          <w:noProof/>
        </w:rPr>
      </w:pPr>
      <w:bookmarkStart w:id="12" w:name="_Toc191909094"/>
      <w:bookmarkStart w:id="13" w:name="_Toc198549037"/>
      <w:r w:rsidRPr="00542EB9">
        <w:rPr>
          <w:noProof/>
        </w:rPr>
        <w:t>What are the problem</w:t>
      </w:r>
      <w:r w:rsidR="00664B8C" w:rsidRPr="00542EB9">
        <w:rPr>
          <w:noProof/>
        </w:rPr>
        <w:t>s</w:t>
      </w:r>
      <w:r w:rsidRPr="00542EB9">
        <w:rPr>
          <w:noProof/>
        </w:rPr>
        <w:t>?</w:t>
      </w:r>
      <w:bookmarkEnd w:id="12"/>
      <w:bookmarkEnd w:id="13"/>
    </w:p>
    <w:p w14:paraId="507DDC69" w14:textId="59A960D9" w:rsidR="00EC38F1" w:rsidRPr="00542EB9" w:rsidRDefault="009925D0" w:rsidP="00D43B25">
      <w:pPr>
        <w:pStyle w:val="Text1"/>
        <w:ind w:left="0" w:right="-28"/>
        <w:rPr>
          <w:noProof/>
        </w:rPr>
      </w:pPr>
      <w:r w:rsidRPr="00542EB9">
        <w:rPr>
          <w:noProof/>
        </w:rPr>
        <w:t xml:space="preserve">It is imperative to ensure continuous funding in the area of the </w:t>
      </w:r>
      <w:r w:rsidR="00446CEE" w:rsidRPr="00542EB9">
        <w:rPr>
          <w:noProof/>
        </w:rPr>
        <w:t>s</w:t>
      </w:r>
      <w:r w:rsidRPr="00542EB9">
        <w:rPr>
          <w:noProof/>
        </w:rPr>
        <w:t xml:space="preserve">ingle </w:t>
      </w:r>
      <w:r w:rsidR="00446CEE" w:rsidRPr="00542EB9">
        <w:rPr>
          <w:noProof/>
        </w:rPr>
        <w:t>m</w:t>
      </w:r>
      <w:r w:rsidRPr="00542EB9">
        <w:rPr>
          <w:noProof/>
        </w:rPr>
        <w:t>arket, including cooperation between national administrations</w:t>
      </w:r>
      <w:r w:rsidR="0069268A" w:rsidRPr="511B530B">
        <w:rPr>
          <w:rStyle w:val="FootnoteReference"/>
          <w:noProof/>
          <w:sz w:val="20"/>
        </w:rPr>
        <w:footnoteReference w:id="24"/>
      </w:r>
      <w:r w:rsidRPr="511B530B">
        <w:rPr>
          <w:noProof/>
          <w:sz w:val="20"/>
        </w:rPr>
        <w:t>.</w:t>
      </w:r>
      <w:r w:rsidRPr="00542EB9">
        <w:rPr>
          <w:noProof/>
        </w:rPr>
        <w:t xml:space="preserve"> However, under the current </w:t>
      </w:r>
      <w:r w:rsidR="009C4EFD" w:rsidRPr="00542EB9">
        <w:rPr>
          <w:noProof/>
        </w:rPr>
        <w:t>framework, t</w:t>
      </w:r>
      <w:r w:rsidR="5F728AB3" w:rsidRPr="00542EB9">
        <w:rPr>
          <w:noProof/>
        </w:rPr>
        <w:t xml:space="preserve">he overarching </w:t>
      </w:r>
      <w:r w:rsidR="5496E4F3" w:rsidRPr="00542EB9">
        <w:rPr>
          <w:noProof/>
        </w:rPr>
        <w:t xml:space="preserve">problem </w:t>
      </w:r>
      <w:r w:rsidR="697FF2F0" w:rsidRPr="00542EB9">
        <w:rPr>
          <w:noProof/>
        </w:rPr>
        <w:t xml:space="preserve">is </w:t>
      </w:r>
      <w:r w:rsidR="5F728AB3" w:rsidRPr="00542EB9">
        <w:rPr>
          <w:noProof/>
        </w:rPr>
        <w:t xml:space="preserve">a </w:t>
      </w:r>
      <w:r w:rsidR="5F728AB3" w:rsidRPr="511B530B">
        <w:rPr>
          <w:b/>
          <w:bCs/>
          <w:noProof/>
        </w:rPr>
        <w:t>c</w:t>
      </w:r>
      <w:r w:rsidR="0F078C1C" w:rsidRPr="511B530B">
        <w:rPr>
          <w:b/>
          <w:bCs/>
          <w:noProof/>
        </w:rPr>
        <w:t xml:space="preserve">omplex funding landscape </w:t>
      </w:r>
      <w:r w:rsidR="60EBC322" w:rsidRPr="511B530B">
        <w:rPr>
          <w:b/>
          <w:bCs/>
          <w:noProof/>
        </w:rPr>
        <w:t>lacking flexibility</w:t>
      </w:r>
      <w:r w:rsidR="095E30F0" w:rsidRPr="511B530B">
        <w:rPr>
          <w:b/>
          <w:bCs/>
          <w:noProof/>
        </w:rPr>
        <w:t>, synergies</w:t>
      </w:r>
      <w:r w:rsidR="0123E77F" w:rsidRPr="511B530B">
        <w:rPr>
          <w:b/>
          <w:bCs/>
          <w:noProof/>
        </w:rPr>
        <w:t xml:space="preserve">, </w:t>
      </w:r>
      <w:r w:rsidR="70F192F7" w:rsidRPr="511B530B">
        <w:rPr>
          <w:b/>
          <w:bCs/>
          <w:noProof/>
        </w:rPr>
        <w:t>and</w:t>
      </w:r>
      <w:r w:rsidR="0123E77F" w:rsidRPr="511B530B">
        <w:rPr>
          <w:b/>
          <w:bCs/>
          <w:noProof/>
        </w:rPr>
        <w:t xml:space="preserve"> </w:t>
      </w:r>
      <w:r w:rsidR="79A33B86" w:rsidRPr="511B530B">
        <w:rPr>
          <w:b/>
          <w:bCs/>
          <w:noProof/>
        </w:rPr>
        <w:t xml:space="preserve">showing </w:t>
      </w:r>
      <w:r w:rsidR="7C3A6C0F" w:rsidRPr="511B530B">
        <w:rPr>
          <w:b/>
          <w:bCs/>
          <w:noProof/>
        </w:rPr>
        <w:t>shortcomings</w:t>
      </w:r>
      <w:r w:rsidR="36C42D6F" w:rsidRPr="511B530B">
        <w:rPr>
          <w:b/>
          <w:bCs/>
          <w:noProof/>
        </w:rPr>
        <w:t xml:space="preserve"> in terms of</w:t>
      </w:r>
      <w:r w:rsidR="79A33B86" w:rsidRPr="511B530B">
        <w:rPr>
          <w:b/>
          <w:bCs/>
          <w:noProof/>
        </w:rPr>
        <w:t xml:space="preserve"> coherence</w:t>
      </w:r>
      <w:r w:rsidR="2508DBA2" w:rsidRPr="00542EB9">
        <w:rPr>
          <w:noProof/>
        </w:rPr>
        <w:t xml:space="preserve">. </w:t>
      </w:r>
      <w:r w:rsidR="69BCD8A5" w:rsidRPr="00542EB9">
        <w:rPr>
          <w:noProof/>
        </w:rPr>
        <w:t>This</w:t>
      </w:r>
      <w:r w:rsidR="79ACC192" w:rsidRPr="00542EB9">
        <w:rPr>
          <w:noProof/>
        </w:rPr>
        <w:t xml:space="preserve"> creates</w:t>
      </w:r>
      <w:r w:rsidR="79AEFF5E" w:rsidRPr="00542EB9">
        <w:rPr>
          <w:noProof/>
        </w:rPr>
        <w:t xml:space="preserve"> barriers and hinder</w:t>
      </w:r>
      <w:r w:rsidR="4A1A3A4D" w:rsidRPr="00542EB9">
        <w:rPr>
          <w:noProof/>
        </w:rPr>
        <w:t>s</w:t>
      </w:r>
      <w:r w:rsidR="79AEFF5E" w:rsidRPr="00542EB9">
        <w:rPr>
          <w:noProof/>
        </w:rPr>
        <w:t xml:space="preserve"> effective access to the available funds</w:t>
      </w:r>
      <w:r w:rsidR="79ACC192" w:rsidRPr="00542EB9">
        <w:rPr>
          <w:noProof/>
        </w:rPr>
        <w:t xml:space="preserve">. </w:t>
      </w:r>
    </w:p>
    <w:p w14:paraId="2C52C67E" w14:textId="797D98A6" w:rsidR="00A71790" w:rsidRPr="00542EB9" w:rsidRDefault="00A71790" w:rsidP="00D43B25">
      <w:pPr>
        <w:pStyle w:val="Text1"/>
        <w:ind w:left="0" w:right="-28"/>
        <w:rPr>
          <w:noProof/>
        </w:rPr>
      </w:pPr>
      <w:r w:rsidRPr="00542EB9">
        <w:rPr>
          <w:noProof/>
        </w:rPr>
        <w:t>Considering the identified shortcomings in the synergies between EU programmes and calls for simplification and rationalisation of the funding landscape as well as the importance to be able to react to crises, the EU programmes’ flexibility and reactiveness to new challenges is critical</w:t>
      </w:r>
      <w:r w:rsidR="00AF409F" w:rsidRPr="00542EB9">
        <w:rPr>
          <w:rStyle w:val="FootnoteReference"/>
          <w:noProof/>
          <w:sz w:val="20"/>
        </w:rPr>
        <w:footnoteReference w:id="25"/>
      </w:r>
      <w:r w:rsidRPr="00542EB9">
        <w:rPr>
          <w:noProof/>
        </w:rPr>
        <w:t xml:space="preserve">. </w:t>
      </w:r>
    </w:p>
    <w:p w14:paraId="5C47BB33" w14:textId="7D0C0B2E" w:rsidR="001A6D12" w:rsidRPr="00542EB9" w:rsidRDefault="00331F79" w:rsidP="00D43B25">
      <w:pPr>
        <w:pStyle w:val="Text1"/>
        <w:ind w:left="0" w:right="-28"/>
        <w:rPr>
          <w:noProof/>
        </w:rPr>
      </w:pPr>
      <w:r w:rsidRPr="00542EB9">
        <w:rPr>
          <w:noProof/>
        </w:rPr>
        <w:t>F</w:t>
      </w:r>
      <w:r w:rsidR="001A6D12" w:rsidRPr="00542EB9">
        <w:rPr>
          <w:noProof/>
        </w:rPr>
        <w:t xml:space="preserve">ragmentation issues – ranging from diverse </w:t>
      </w:r>
      <w:r w:rsidR="006A7124" w:rsidRPr="00542EB9">
        <w:rPr>
          <w:noProof/>
        </w:rPr>
        <w:t>rulebooks</w:t>
      </w:r>
      <w:r w:rsidR="001A6D12" w:rsidRPr="00542EB9">
        <w:rPr>
          <w:noProof/>
        </w:rPr>
        <w:t xml:space="preserve"> to overlapping programmes </w:t>
      </w:r>
      <w:r w:rsidR="00493FF8" w:rsidRPr="00542EB9">
        <w:rPr>
          <w:noProof/>
        </w:rPr>
        <w:t>–</w:t>
      </w:r>
      <w:r w:rsidR="001A6D12" w:rsidRPr="00542EB9">
        <w:rPr>
          <w:noProof/>
        </w:rPr>
        <w:t xml:space="preserve"> can </w:t>
      </w:r>
      <w:r w:rsidR="00B34D27" w:rsidRPr="00542EB9">
        <w:rPr>
          <w:noProof/>
        </w:rPr>
        <w:t>lead to EU</w:t>
      </w:r>
      <w:r w:rsidR="001A6D12" w:rsidRPr="00542EB9">
        <w:rPr>
          <w:noProof/>
        </w:rPr>
        <w:t xml:space="preserve"> funding </w:t>
      </w:r>
      <w:r w:rsidR="00B34D27" w:rsidRPr="00542EB9">
        <w:rPr>
          <w:noProof/>
        </w:rPr>
        <w:t xml:space="preserve">not </w:t>
      </w:r>
      <w:r w:rsidR="001A6D12" w:rsidRPr="00542EB9">
        <w:rPr>
          <w:noProof/>
        </w:rPr>
        <w:t>reach</w:t>
      </w:r>
      <w:r w:rsidR="00B34D27" w:rsidRPr="00542EB9">
        <w:rPr>
          <w:noProof/>
        </w:rPr>
        <w:t>ing</w:t>
      </w:r>
      <w:r w:rsidR="001A6D12" w:rsidRPr="00542EB9">
        <w:rPr>
          <w:noProof/>
        </w:rPr>
        <w:t xml:space="preserve"> the right beneficiaries at the right time addressing the most relevant policy needs. Ultimately, this </w:t>
      </w:r>
      <w:r w:rsidR="00B34D27" w:rsidRPr="00542EB9">
        <w:rPr>
          <w:noProof/>
        </w:rPr>
        <w:t xml:space="preserve">impacts </w:t>
      </w:r>
      <w:r w:rsidR="001A6D12" w:rsidRPr="00542EB9">
        <w:rPr>
          <w:noProof/>
        </w:rPr>
        <w:t xml:space="preserve">not only individual, but also the EU’s overall economic resilience, social cohesion, and innovative capacity, and consequently the competitiveness of the </w:t>
      </w:r>
      <w:r w:rsidR="005459CC" w:rsidRPr="00542EB9">
        <w:rPr>
          <w:noProof/>
        </w:rPr>
        <w:t>single market</w:t>
      </w:r>
      <w:r w:rsidR="00D1664A" w:rsidRPr="00542EB9">
        <w:rPr>
          <w:noProof/>
        </w:rPr>
        <w:t>.</w:t>
      </w:r>
    </w:p>
    <w:p w14:paraId="697D098C" w14:textId="52027D0D" w:rsidR="0053793C" w:rsidRPr="00542EB9" w:rsidRDefault="0053793C" w:rsidP="00D43B25">
      <w:pPr>
        <w:pStyle w:val="Text1"/>
        <w:ind w:left="0" w:right="-28"/>
        <w:rPr>
          <w:noProof/>
        </w:rPr>
      </w:pPr>
      <w:r w:rsidRPr="00542EB9">
        <w:rPr>
          <w:noProof/>
        </w:rPr>
        <w:t xml:space="preserve">In the policy fields related to </w:t>
      </w:r>
      <w:r w:rsidR="005410A5" w:rsidRPr="00542EB9">
        <w:rPr>
          <w:noProof/>
        </w:rPr>
        <w:t xml:space="preserve">the </w:t>
      </w:r>
      <w:r w:rsidRPr="00542EB9">
        <w:rPr>
          <w:noProof/>
        </w:rPr>
        <w:t>single market, customs, taxation and anti-fraud</w:t>
      </w:r>
      <w:r w:rsidR="004637E0" w:rsidRPr="00542EB9">
        <w:rPr>
          <w:rStyle w:val="FootnoteReference"/>
          <w:noProof/>
          <w:sz w:val="20"/>
        </w:rPr>
        <w:footnoteReference w:id="26"/>
      </w:r>
      <w:r w:rsidRPr="00542EB9">
        <w:rPr>
          <w:noProof/>
        </w:rPr>
        <w:t>, there</w:t>
      </w:r>
      <w:r w:rsidR="007C70B0" w:rsidRPr="00542EB9">
        <w:rPr>
          <w:noProof/>
        </w:rPr>
        <w:t xml:space="preserve"> i</w:t>
      </w:r>
      <w:r w:rsidRPr="00542EB9">
        <w:rPr>
          <w:noProof/>
        </w:rPr>
        <w:t xml:space="preserve">s a need for a more flexible EU funding landscape </w:t>
      </w:r>
      <w:r w:rsidR="003B675B" w:rsidRPr="00542EB9">
        <w:rPr>
          <w:noProof/>
        </w:rPr>
        <w:t xml:space="preserve">to </w:t>
      </w:r>
      <w:r w:rsidRPr="00542EB9">
        <w:rPr>
          <w:noProof/>
        </w:rPr>
        <w:t>help streamline administrative processes, harmoni</w:t>
      </w:r>
      <w:r w:rsidR="00725D73" w:rsidRPr="00542EB9">
        <w:rPr>
          <w:noProof/>
        </w:rPr>
        <w:t>s</w:t>
      </w:r>
      <w:r w:rsidRPr="00542EB9">
        <w:rPr>
          <w:noProof/>
        </w:rPr>
        <w:t>e rules across M</w:t>
      </w:r>
      <w:r w:rsidR="00725D73" w:rsidRPr="00542EB9">
        <w:rPr>
          <w:noProof/>
        </w:rPr>
        <w:t xml:space="preserve">ember </w:t>
      </w:r>
      <w:r w:rsidRPr="00542EB9">
        <w:rPr>
          <w:noProof/>
        </w:rPr>
        <w:t>S</w:t>
      </w:r>
      <w:r w:rsidR="00725D73" w:rsidRPr="00542EB9">
        <w:rPr>
          <w:noProof/>
        </w:rPr>
        <w:t>tates</w:t>
      </w:r>
      <w:r w:rsidRPr="00542EB9">
        <w:rPr>
          <w:noProof/>
        </w:rPr>
        <w:t xml:space="preserve">, and facilitate quicker responses to evolving challenges and crisis situations. </w:t>
      </w:r>
    </w:p>
    <w:p w14:paraId="164C4405" w14:textId="4497199E" w:rsidR="00A71790" w:rsidRPr="00542EB9" w:rsidRDefault="06CCB17F" w:rsidP="00D43B25">
      <w:pPr>
        <w:ind w:right="-28"/>
        <w:rPr>
          <w:rFonts w:eastAsia="Times New Roman"/>
          <w:noProof/>
        </w:rPr>
      </w:pPr>
      <w:r w:rsidRPr="00542EB9">
        <w:rPr>
          <w:rFonts w:eastAsia="Times New Roman"/>
          <w:noProof/>
        </w:rPr>
        <w:t xml:space="preserve">Despite the availability of significant resources through various current programmes (e.g., the </w:t>
      </w:r>
      <w:r w:rsidR="005459CC" w:rsidRPr="00542EB9">
        <w:rPr>
          <w:rFonts w:eastAsia="Times New Roman"/>
          <w:noProof/>
        </w:rPr>
        <w:t>single market</w:t>
      </w:r>
      <w:r w:rsidRPr="00542EB9">
        <w:rPr>
          <w:rFonts w:eastAsia="Times New Roman"/>
          <w:noProof/>
        </w:rPr>
        <w:t>, Customs</w:t>
      </w:r>
      <w:r w:rsidR="00D273EE" w:rsidRPr="00542EB9">
        <w:rPr>
          <w:rStyle w:val="FootnoteReference"/>
          <w:rFonts w:eastAsia="Times New Roman"/>
          <w:noProof/>
          <w:sz w:val="20"/>
          <w:szCs w:val="20"/>
        </w:rPr>
        <w:footnoteReference w:id="27"/>
      </w:r>
      <w:r w:rsidR="0CD4EA32" w:rsidRPr="00542EB9">
        <w:rPr>
          <w:rFonts w:eastAsia="Times New Roman"/>
          <w:noProof/>
        </w:rPr>
        <w:t>,</w:t>
      </w:r>
      <w:r w:rsidRPr="00542EB9">
        <w:rPr>
          <w:rFonts w:eastAsia="Times New Roman"/>
          <w:noProof/>
        </w:rPr>
        <w:t xml:space="preserve"> Fiscalis and Union Anti-Fraud programmes), a range of factors can hamper effective allocation and uptake:</w:t>
      </w:r>
    </w:p>
    <w:p w14:paraId="06DA304A" w14:textId="06E4BE15" w:rsidR="00A71790" w:rsidRPr="00542EB9" w:rsidRDefault="00A71790" w:rsidP="00D43B25">
      <w:pPr>
        <w:pStyle w:val="Text1"/>
        <w:ind w:left="0" w:right="-28"/>
        <w:rPr>
          <w:b/>
          <w:bCs/>
          <w:noProof/>
        </w:rPr>
      </w:pPr>
      <w:r w:rsidRPr="00542EB9">
        <w:rPr>
          <w:b/>
          <w:bCs/>
          <w:noProof/>
        </w:rPr>
        <w:t>Complex administrative procedures</w:t>
      </w:r>
    </w:p>
    <w:p w14:paraId="7B7B2A65" w14:textId="0F35FA9C" w:rsidR="00A71790" w:rsidRPr="00542EB9" w:rsidRDefault="00A71790" w:rsidP="00D43B25">
      <w:pPr>
        <w:pStyle w:val="Text1"/>
        <w:ind w:left="0" w:right="-28"/>
        <w:rPr>
          <w:noProof/>
        </w:rPr>
      </w:pPr>
      <w:r w:rsidRPr="00542EB9">
        <w:rPr>
          <w:noProof/>
        </w:rPr>
        <w:t>Multiple and varying application processes, different programme guidelines, and varying eligibility criteria create administrative burden on both the potential beneficiaries and managing authorities. This complexity can deter smaller organi</w:t>
      </w:r>
      <w:r w:rsidR="00283309" w:rsidRPr="00542EB9">
        <w:rPr>
          <w:noProof/>
        </w:rPr>
        <w:t>s</w:t>
      </w:r>
      <w:r w:rsidRPr="00542EB9">
        <w:rPr>
          <w:noProof/>
        </w:rPr>
        <w:t>ations or first-time applicants, who may lack the capacity to navigate the wide range of options and overcome red tape.</w:t>
      </w:r>
      <w:r w:rsidR="001479EF" w:rsidRPr="00542EB9">
        <w:rPr>
          <w:noProof/>
        </w:rPr>
        <w:t xml:space="preserve"> </w:t>
      </w:r>
      <w:r w:rsidR="00B41AC5" w:rsidRPr="00542EB9">
        <w:rPr>
          <w:noProof/>
        </w:rPr>
        <w:t>80% (530 out of 650)</w:t>
      </w:r>
      <w:r w:rsidR="001479EF" w:rsidRPr="00542EB9">
        <w:rPr>
          <w:noProof/>
        </w:rPr>
        <w:t xml:space="preserve"> of </w:t>
      </w:r>
      <w:r w:rsidR="0032353C" w:rsidRPr="00542EB9">
        <w:rPr>
          <w:noProof/>
        </w:rPr>
        <w:t>respondents</w:t>
      </w:r>
      <w:r w:rsidR="001479EF" w:rsidRPr="00542EB9">
        <w:rPr>
          <w:noProof/>
        </w:rPr>
        <w:t xml:space="preserve"> to the public consultation indicated that </w:t>
      </w:r>
      <w:r w:rsidR="00E93651" w:rsidRPr="00542EB9">
        <w:rPr>
          <w:noProof/>
        </w:rPr>
        <w:t xml:space="preserve">different and complex fund-specific </w:t>
      </w:r>
      <w:r w:rsidR="0032353C" w:rsidRPr="00542EB9">
        <w:rPr>
          <w:noProof/>
        </w:rPr>
        <w:t>requirements and rules are an obstacle to the EU budget achieving its objectives</w:t>
      </w:r>
      <w:r w:rsidR="00FF5BF7" w:rsidRPr="00542EB9">
        <w:rPr>
          <w:noProof/>
        </w:rPr>
        <w:t>.</w:t>
      </w:r>
    </w:p>
    <w:p w14:paraId="3F1668A4" w14:textId="4984D10A" w:rsidR="00A71790" w:rsidRPr="00542EB9" w:rsidRDefault="00A71790" w:rsidP="5DD21FD3">
      <w:pPr>
        <w:pStyle w:val="Text1"/>
        <w:ind w:left="0"/>
        <w:rPr>
          <w:b/>
          <w:bCs/>
          <w:noProof/>
        </w:rPr>
      </w:pPr>
      <w:r w:rsidRPr="00542EB9">
        <w:rPr>
          <w:b/>
          <w:bCs/>
          <w:noProof/>
        </w:rPr>
        <w:t>Inconsistent national and regional capacities to apply for EU funding and unequal access to information</w:t>
      </w:r>
    </w:p>
    <w:p w14:paraId="691F2136" w14:textId="0A95FB5F" w:rsidR="00A71790" w:rsidRPr="00542EB9" w:rsidRDefault="00A71790" w:rsidP="5DD21FD3">
      <w:pPr>
        <w:pStyle w:val="Text1"/>
        <w:ind w:left="0"/>
        <w:rPr>
          <w:noProof/>
        </w:rPr>
      </w:pPr>
      <w:r w:rsidRPr="00542EB9">
        <w:rPr>
          <w:noProof/>
        </w:rPr>
        <w:t xml:space="preserve">Although the EU sets overarching funding frameworks accessible to all, Member States and potential beneficiaries have varying capacities to </w:t>
      </w:r>
      <w:r w:rsidR="008A7B84" w:rsidRPr="00542EB9">
        <w:rPr>
          <w:noProof/>
        </w:rPr>
        <w:t>tap</w:t>
      </w:r>
      <w:r w:rsidRPr="00542EB9">
        <w:rPr>
          <w:noProof/>
        </w:rPr>
        <w:t xml:space="preserve"> into these funding opportunities. This can lead to distortion in the use of funds, as potential beneficiaries with more experience in and more resources for accessing EU funds are often better prepared to apply successfully, while others may lack the networks or know-how to identify and secure relevant grants. This includes the fact that often those potential beneficiaries who need the support the most, are not even aware of the funding opportunities.</w:t>
      </w:r>
    </w:p>
    <w:p w14:paraId="30856414" w14:textId="3DEDA488" w:rsidR="00A71790" w:rsidRPr="00542EB9" w:rsidRDefault="00A71790" w:rsidP="5DD21FD3">
      <w:pPr>
        <w:pStyle w:val="Text1"/>
        <w:ind w:left="0"/>
        <w:rPr>
          <w:b/>
          <w:bCs/>
          <w:noProof/>
        </w:rPr>
      </w:pPr>
      <w:r w:rsidRPr="00542EB9">
        <w:rPr>
          <w:b/>
          <w:bCs/>
          <w:noProof/>
        </w:rPr>
        <w:t>Overlapping funding instruments</w:t>
      </w:r>
    </w:p>
    <w:p w14:paraId="085D301B" w14:textId="678A0A9A" w:rsidR="00A71790" w:rsidRPr="00542EB9" w:rsidRDefault="00A71790" w:rsidP="5DD21FD3">
      <w:pPr>
        <w:pStyle w:val="Text1"/>
        <w:ind w:left="0"/>
        <w:rPr>
          <w:noProof/>
        </w:rPr>
      </w:pPr>
      <w:r w:rsidRPr="00542EB9">
        <w:rPr>
          <w:noProof/>
        </w:rPr>
        <w:t xml:space="preserve">The EU has numerous funding instruments (e.g., grants, loans, guarantees), sometimes with overlapping objectives and eligible actions (e.g. as it is in the cease of the Customs programme, the Customs Control Equipment Instrument and the Union Anti-Fraud Programme). </w:t>
      </w:r>
      <w:r w:rsidR="00781152" w:rsidRPr="00542EB9">
        <w:rPr>
          <w:noProof/>
        </w:rPr>
        <w:t>C</w:t>
      </w:r>
      <w:r w:rsidRPr="00542EB9">
        <w:rPr>
          <w:noProof/>
        </w:rPr>
        <w:t>oordination efforts are not systematic and cannot be considered robust enough to ensure maximum complementarities between various interventions. Equally, potential applicants might be uncertain which instrument best suits their project.</w:t>
      </w:r>
    </w:p>
    <w:p w14:paraId="7A0B314E" w14:textId="35C5B639" w:rsidR="00A71790" w:rsidRPr="00542EB9" w:rsidRDefault="00A71790" w:rsidP="5DD21FD3">
      <w:pPr>
        <w:pStyle w:val="Text1"/>
        <w:ind w:left="0"/>
        <w:rPr>
          <w:b/>
          <w:bCs/>
          <w:noProof/>
        </w:rPr>
      </w:pPr>
      <w:r w:rsidRPr="00542EB9">
        <w:rPr>
          <w:b/>
          <w:bCs/>
          <w:noProof/>
        </w:rPr>
        <w:t>Limited synergies among programmes and policy areas in a programme</w:t>
      </w:r>
    </w:p>
    <w:p w14:paraId="1A6F71B4" w14:textId="359BEA9C" w:rsidR="00A71790" w:rsidRPr="00542EB9" w:rsidRDefault="00A71790" w:rsidP="5DD21FD3">
      <w:pPr>
        <w:pStyle w:val="Text1"/>
        <w:ind w:left="0"/>
        <w:rPr>
          <w:noProof/>
        </w:rPr>
      </w:pPr>
      <w:r w:rsidRPr="00542EB9">
        <w:rPr>
          <w:noProof/>
        </w:rPr>
        <w:t xml:space="preserve">Even when programmes could complement one </w:t>
      </w:r>
      <w:r w:rsidR="004B2C60" w:rsidRPr="00542EB9">
        <w:rPr>
          <w:noProof/>
        </w:rPr>
        <w:t>another,</w:t>
      </w:r>
      <w:r w:rsidRPr="00542EB9">
        <w:rPr>
          <w:noProof/>
        </w:rPr>
        <w:t xml:space="preserve"> regulatory barriers and varying </w:t>
      </w:r>
      <w:r w:rsidR="008A7B84" w:rsidRPr="00542EB9">
        <w:rPr>
          <w:noProof/>
        </w:rPr>
        <w:t>rulebooks</w:t>
      </w:r>
      <w:r w:rsidRPr="00542EB9">
        <w:rPr>
          <w:noProof/>
        </w:rPr>
        <w:t xml:space="preserve"> can make it difficult to pool or blend resources. This siloed approach hampers larger-scale, integrated projects that span multiple </w:t>
      </w:r>
      <w:r w:rsidR="00FC5EA2" w:rsidRPr="00542EB9">
        <w:rPr>
          <w:noProof/>
        </w:rPr>
        <w:t xml:space="preserve">beneficiaries </w:t>
      </w:r>
      <w:r w:rsidR="0025080A" w:rsidRPr="00542EB9">
        <w:rPr>
          <w:noProof/>
        </w:rPr>
        <w:t xml:space="preserve">in an </w:t>
      </w:r>
      <w:r w:rsidR="00FE483D" w:rsidRPr="00542EB9">
        <w:rPr>
          <w:noProof/>
        </w:rPr>
        <w:t>integrated manner</w:t>
      </w:r>
      <w:r w:rsidRPr="00542EB9">
        <w:rPr>
          <w:noProof/>
        </w:rPr>
        <w:t>.</w:t>
      </w:r>
    </w:p>
    <w:p w14:paraId="4069BD50" w14:textId="7CEC8158" w:rsidR="00A71790" w:rsidRPr="00542EB9" w:rsidRDefault="00A71790" w:rsidP="5DD21FD3">
      <w:pPr>
        <w:pStyle w:val="Text1"/>
        <w:ind w:left="0"/>
        <w:rPr>
          <w:b/>
          <w:bCs/>
          <w:noProof/>
        </w:rPr>
      </w:pPr>
      <w:r w:rsidRPr="00542EB9">
        <w:rPr>
          <w:b/>
          <w:bCs/>
          <w:noProof/>
        </w:rPr>
        <w:t>Funding framework rigidity reducing ability to adapt to changing priorities</w:t>
      </w:r>
    </w:p>
    <w:p w14:paraId="429369E8" w14:textId="3390855F" w:rsidR="00A71790" w:rsidRDefault="5662807D" w:rsidP="00EA6961">
      <w:pPr>
        <w:pStyle w:val="Text1"/>
        <w:ind w:left="0"/>
        <w:rPr>
          <w:noProof/>
        </w:rPr>
      </w:pPr>
      <w:r w:rsidRPr="00542EB9">
        <w:rPr>
          <w:noProof/>
        </w:rPr>
        <w:t>A rigid and heavily regulated funding environment means complex and lengthy, legislative, financial and bureaucratic processes to adjust funding priorities or rules. This blockage and lag can be detrimental when urgent new challenges arise, requiring a swift reallocation of resources.</w:t>
      </w:r>
    </w:p>
    <w:p w14:paraId="37B2731B" w14:textId="77777777" w:rsidR="001807EB" w:rsidRPr="00542EB9" w:rsidRDefault="001807EB" w:rsidP="00EA6961">
      <w:pPr>
        <w:pStyle w:val="Text1"/>
        <w:ind w:left="0"/>
        <w:rPr>
          <w:noProof/>
        </w:rPr>
      </w:pPr>
    </w:p>
    <w:p w14:paraId="6102FF8F" w14:textId="49420D35" w:rsidR="215B6B7A" w:rsidRPr="00542EB9" w:rsidRDefault="215B6B7A" w:rsidP="658819FF">
      <w:pPr>
        <w:pStyle w:val="Heading2"/>
        <w:rPr>
          <w:noProof/>
        </w:rPr>
      </w:pPr>
      <w:bookmarkStart w:id="14" w:name="_Toc198549038"/>
      <w:r w:rsidRPr="00542EB9">
        <w:rPr>
          <w:noProof/>
        </w:rPr>
        <w:t>What are the problem drivers?</w:t>
      </w:r>
      <w:bookmarkEnd w:id="14"/>
    </w:p>
    <w:p w14:paraId="7F52BBD8" w14:textId="080D8116" w:rsidR="00FE5028" w:rsidRPr="00542EB9" w:rsidRDefault="00FE5028" w:rsidP="00FE5028">
      <w:pPr>
        <w:pStyle w:val="Heading3"/>
        <w:rPr>
          <w:noProof/>
        </w:rPr>
      </w:pPr>
      <w:r w:rsidRPr="00542EB9">
        <w:rPr>
          <w:noProof/>
        </w:rPr>
        <w:t>Problem driver</w:t>
      </w:r>
      <w:r w:rsidR="001814A4" w:rsidRPr="00542EB9">
        <w:rPr>
          <w:noProof/>
        </w:rPr>
        <w:t xml:space="preserve">: </w:t>
      </w:r>
      <w:r w:rsidR="00C865D1" w:rsidRPr="00542EB9">
        <w:rPr>
          <w:noProof/>
        </w:rPr>
        <w:t>D</w:t>
      </w:r>
      <w:r w:rsidR="001814A4" w:rsidRPr="00542EB9">
        <w:rPr>
          <w:noProof/>
        </w:rPr>
        <w:t>esign</w:t>
      </w:r>
    </w:p>
    <w:p w14:paraId="75D38F14" w14:textId="327C68BB" w:rsidR="00F43A4C" w:rsidRPr="00542EB9" w:rsidRDefault="00F43A4C" w:rsidP="00981B8A">
      <w:pPr>
        <w:ind w:left="66"/>
        <w:rPr>
          <w:b/>
          <w:noProof/>
        </w:rPr>
      </w:pPr>
      <w:r w:rsidRPr="00542EB9">
        <w:rPr>
          <w:b/>
          <w:bCs/>
          <w:noProof/>
        </w:rPr>
        <w:t>Fragmentation of EU funds, scale of challenges (need to improve flexibility)</w:t>
      </w:r>
      <w:r w:rsidR="009F27BB" w:rsidRPr="00542EB9">
        <w:rPr>
          <w:b/>
          <w:bCs/>
          <w:noProof/>
        </w:rPr>
        <w:t xml:space="preserve">. </w:t>
      </w:r>
      <w:r w:rsidR="00CC6F6B" w:rsidRPr="00542EB9">
        <w:rPr>
          <w:noProof/>
        </w:rPr>
        <w:t xml:space="preserve">The current funding landscape of the EU </w:t>
      </w:r>
      <w:r w:rsidR="00FE3254" w:rsidRPr="00542EB9">
        <w:rPr>
          <w:noProof/>
        </w:rPr>
        <w:t xml:space="preserve">contains over 40 separate programmes </w:t>
      </w:r>
      <w:r w:rsidR="009319C1" w:rsidRPr="00542EB9">
        <w:rPr>
          <w:noProof/>
        </w:rPr>
        <w:t>with defined budget</w:t>
      </w:r>
      <w:r w:rsidR="00C63A0F" w:rsidRPr="00542EB9">
        <w:rPr>
          <w:noProof/>
        </w:rPr>
        <w:t xml:space="preserve"> </w:t>
      </w:r>
      <w:r w:rsidR="00FE3254" w:rsidRPr="00542EB9">
        <w:rPr>
          <w:noProof/>
        </w:rPr>
        <w:t xml:space="preserve">of various sizes </w:t>
      </w:r>
      <w:r w:rsidR="006C6989" w:rsidRPr="00542EB9">
        <w:rPr>
          <w:noProof/>
        </w:rPr>
        <w:t xml:space="preserve">and </w:t>
      </w:r>
      <w:r w:rsidR="0064272F" w:rsidRPr="00542EB9">
        <w:rPr>
          <w:noProof/>
        </w:rPr>
        <w:t>various ambitions</w:t>
      </w:r>
      <w:r w:rsidR="004F3429" w:rsidRPr="00542EB9">
        <w:rPr>
          <w:noProof/>
        </w:rPr>
        <w:t>,</w:t>
      </w:r>
      <w:r w:rsidR="00FE3254" w:rsidRPr="00542EB9">
        <w:rPr>
          <w:noProof/>
        </w:rPr>
        <w:t xml:space="preserve"> </w:t>
      </w:r>
      <w:r w:rsidR="006C6989" w:rsidRPr="00542EB9">
        <w:rPr>
          <w:noProof/>
        </w:rPr>
        <w:t xml:space="preserve">and </w:t>
      </w:r>
      <w:r w:rsidR="009319C1" w:rsidRPr="00542EB9">
        <w:rPr>
          <w:noProof/>
        </w:rPr>
        <w:t xml:space="preserve">often with </w:t>
      </w:r>
      <w:r w:rsidR="004F3429" w:rsidRPr="00542EB9">
        <w:rPr>
          <w:noProof/>
        </w:rPr>
        <w:t xml:space="preserve">limited, </w:t>
      </w:r>
      <w:r w:rsidR="004A497A" w:rsidRPr="00542EB9">
        <w:rPr>
          <w:noProof/>
        </w:rPr>
        <w:t>policy-specific scope</w:t>
      </w:r>
      <w:r w:rsidR="00C63A0F" w:rsidRPr="00542EB9">
        <w:rPr>
          <w:noProof/>
        </w:rPr>
        <w:t xml:space="preserve">. This setup combined with the </w:t>
      </w:r>
      <w:r w:rsidR="00B57B78" w:rsidRPr="00542EB9">
        <w:rPr>
          <w:noProof/>
        </w:rPr>
        <w:t xml:space="preserve">complex </w:t>
      </w:r>
      <w:r w:rsidR="00C63A0F" w:rsidRPr="00542EB9">
        <w:rPr>
          <w:noProof/>
        </w:rPr>
        <w:t xml:space="preserve">financial rules of the EU create an environment where </w:t>
      </w:r>
      <w:r w:rsidRPr="00542EB9">
        <w:rPr>
          <w:noProof/>
        </w:rPr>
        <w:t xml:space="preserve">budget agility </w:t>
      </w:r>
      <w:r w:rsidR="00551E85" w:rsidRPr="00542EB9">
        <w:rPr>
          <w:noProof/>
        </w:rPr>
        <w:t xml:space="preserve">is heavily hindered </w:t>
      </w:r>
      <w:r w:rsidR="00AE0972" w:rsidRPr="00542EB9">
        <w:rPr>
          <w:noProof/>
        </w:rPr>
        <w:t>and</w:t>
      </w:r>
      <w:r w:rsidR="00714E0D" w:rsidRPr="00542EB9">
        <w:rPr>
          <w:noProof/>
        </w:rPr>
        <w:t xml:space="preserve"> thus</w:t>
      </w:r>
      <w:r w:rsidRPr="00542EB9">
        <w:rPr>
          <w:noProof/>
        </w:rPr>
        <w:t xml:space="preserve"> </w:t>
      </w:r>
      <w:r w:rsidR="00AE0972" w:rsidRPr="00542EB9">
        <w:rPr>
          <w:noProof/>
        </w:rPr>
        <w:t>responding to</w:t>
      </w:r>
      <w:r w:rsidRPr="00542EB9">
        <w:rPr>
          <w:noProof/>
        </w:rPr>
        <w:t xml:space="preserve"> new </w:t>
      </w:r>
      <w:r w:rsidR="00AE0972" w:rsidRPr="00542EB9">
        <w:rPr>
          <w:noProof/>
        </w:rPr>
        <w:t xml:space="preserve">priorities and </w:t>
      </w:r>
      <w:r w:rsidRPr="00542EB9">
        <w:rPr>
          <w:noProof/>
        </w:rPr>
        <w:t>challenges</w:t>
      </w:r>
      <w:r w:rsidR="00AE0972" w:rsidRPr="00542EB9">
        <w:rPr>
          <w:noProof/>
        </w:rPr>
        <w:t xml:space="preserve"> </w:t>
      </w:r>
      <w:r w:rsidR="00D25336" w:rsidRPr="00542EB9">
        <w:rPr>
          <w:noProof/>
        </w:rPr>
        <w:t>in</w:t>
      </w:r>
      <w:r w:rsidR="00E6465D" w:rsidRPr="00542EB9">
        <w:rPr>
          <w:noProof/>
        </w:rPr>
        <w:t xml:space="preserve"> </w:t>
      </w:r>
      <w:r w:rsidR="000163B2" w:rsidRPr="00542EB9">
        <w:rPr>
          <w:noProof/>
        </w:rPr>
        <w:t xml:space="preserve">a </w:t>
      </w:r>
      <w:r w:rsidR="00D25336" w:rsidRPr="00542EB9">
        <w:rPr>
          <w:noProof/>
        </w:rPr>
        <w:t xml:space="preserve">timely manner </w:t>
      </w:r>
      <w:r w:rsidR="00ED5A49" w:rsidRPr="00542EB9">
        <w:rPr>
          <w:noProof/>
        </w:rPr>
        <w:t xml:space="preserve">is </w:t>
      </w:r>
      <w:r w:rsidR="00B71DE8" w:rsidRPr="00542EB9">
        <w:rPr>
          <w:noProof/>
        </w:rPr>
        <w:t>at stake</w:t>
      </w:r>
      <w:r w:rsidR="00E6465D" w:rsidRPr="00542EB9">
        <w:rPr>
          <w:noProof/>
        </w:rPr>
        <w:t>.</w:t>
      </w:r>
    </w:p>
    <w:p w14:paraId="47C11812" w14:textId="56B981E1" w:rsidR="004A49AD" w:rsidRPr="00542EB9" w:rsidRDefault="004A49AD" w:rsidP="001F7547">
      <w:pPr>
        <w:spacing w:after="160" w:line="278" w:lineRule="auto"/>
        <w:rPr>
          <w:noProof/>
        </w:rPr>
      </w:pPr>
      <w:r w:rsidRPr="00542EB9">
        <w:rPr>
          <w:noProof/>
        </w:rPr>
        <w:t xml:space="preserve">A majority of respondents </w:t>
      </w:r>
      <w:r w:rsidR="00420417" w:rsidRPr="00542EB9">
        <w:rPr>
          <w:noProof/>
        </w:rPr>
        <w:t>(</w:t>
      </w:r>
      <w:r w:rsidR="001722B9" w:rsidRPr="00542EB9">
        <w:rPr>
          <w:noProof/>
        </w:rPr>
        <w:t>69%, 460 out of 662</w:t>
      </w:r>
      <w:r w:rsidR="008F4081" w:rsidRPr="00542EB9">
        <w:rPr>
          <w:noProof/>
        </w:rPr>
        <w:t>)</w:t>
      </w:r>
      <w:r w:rsidR="0056684D" w:rsidRPr="00542EB9">
        <w:rPr>
          <w:noProof/>
        </w:rPr>
        <w:t xml:space="preserve"> </w:t>
      </w:r>
      <w:r w:rsidRPr="00542EB9">
        <w:rPr>
          <w:noProof/>
        </w:rPr>
        <w:t xml:space="preserve">to the public consultation estimated that a “lack of flexibility to adapt to new and unforeseen developments” constitutes an obstacle to the EU budget </w:t>
      </w:r>
      <w:r w:rsidR="00F870A0" w:rsidRPr="00542EB9">
        <w:rPr>
          <w:noProof/>
        </w:rPr>
        <w:t>achieving its objectives</w:t>
      </w:r>
      <w:r w:rsidR="008F4081" w:rsidRPr="00542EB9">
        <w:rPr>
          <w:rStyle w:val="FootnoteReference"/>
          <w:noProof/>
          <w:sz w:val="20"/>
          <w:szCs w:val="20"/>
        </w:rPr>
        <w:footnoteReference w:id="28"/>
      </w:r>
      <w:r w:rsidR="00F870A0" w:rsidRPr="00542EB9">
        <w:rPr>
          <w:noProof/>
        </w:rPr>
        <w:t>.</w:t>
      </w:r>
    </w:p>
    <w:p w14:paraId="3043A7B6" w14:textId="77777777" w:rsidR="00F43A4C" w:rsidRPr="00542EB9" w:rsidRDefault="00F43A4C" w:rsidP="00F43A4C">
      <w:pPr>
        <w:rPr>
          <w:b/>
          <w:noProof/>
        </w:rPr>
      </w:pPr>
      <w:r w:rsidRPr="00542EB9">
        <w:rPr>
          <w:b/>
          <w:noProof/>
        </w:rPr>
        <w:t>Limited coordination of EU funding (need to reinforce synergies)</w:t>
      </w:r>
    </w:p>
    <w:p w14:paraId="212D183A" w14:textId="33ACE4F1" w:rsidR="00390517" w:rsidRPr="00542EB9" w:rsidRDefault="00390517" w:rsidP="003268D8">
      <w:pPr>
        <w:spacing w:after="160" w:line="278" w:lineRule="auto"/>
        <w:rPr>
          <w:noProof/>
        </w:rPr>
      </w:pPr>
      <w:r w:rsidRPr="00542EB9">
        <w:rPr>
          <w:noProof/>
        </w:rPr>
        <w:t xml:space="preserve">A majority of respondents </w:t>
      </w:r>
      <w:r w:rsidR="00AB545E" w:rsidRPr="00542EB9">
        <w:rPr>
          <w:noProof/>
        </w:rPr>
        <w:t>(</w:t>
      </w:r>
      <w:r w:rsidR="008663F7" w:rsidRPr="00542EB9">
        <w:rPr>
          <w:noProof/>
        </w:rPr>
        <w:t>76%, 509 out of 667</w:t>
      </w:r>
      <w:r w:rsidR="00AB545E" w:rsidRPr="00542EB9">
        <w:rPr>
          <w:noProof/>
        </w:rPr>
        <w:t>)</w:t>
      </w:r>
      <w:r w:rsidRPr="00542EB9">
        <w:rPr>
          <w:noProof/>
        </w:rPr>
        <w:t xml:space="preserve"> to the public consultation shared that the lack of coordination or synergies between programmes, </w:t>
      </w:r>
      <w:r w:rsidR="0083106C" w:rsidRPr="00542EB9">
        <w:rPr>
          <w:noProof/>
        </w:rPr>
        <w:t>while</w:t>
      </w:r>
      <w:r w:rsidR="001956EB" w:rsidRPr="00542EB9">
        <w:rPr>
          <w:noProof/>
        </w:rPr>
        <w:t xml:space="preserve"> </w:t>
      </w:r>
      <w:r w:rsidR="00F13F76" w:rsidRPr="00542EB9">
        <w:rPr>
          <w:noProof/>
        </w:rPr>
        <w:t xml:space="preserve">smaller </w:t>
      </w:r>
      <w:r w:rsidR="001956EB" w:rsidRPr="00542EB9">
        <w:rPr>
          <w:noProof/>
        </w:rPr>
        <w:t>majority (</w:t>
      </w:r>
      <w:r w:rsidR="006C1E5C" w:rsidRPr="00542EB9">
        <w:rPr>
          <w:noProof/>
        </w:rPr>
        <w:t>62%, 416 out of 669</w:t>
      </w:r>
      <w:r w:rsidR="001956EB" w:rsidRPr="00542EB9">
        <w:rPr>
          <w:noProof/>
        </w:rPr>
        <w:t xml:space="preserve">) found </w:t>
      </w:r>
      <w:r w:rsidRPr="00542EB9">
        <w:rPr>
          <w:noProof/>
        </w:rPr>
        <w:t>the overlapping policy goals between numerous programmes represent obstacles to the EU budget achieving its objectives.</w:t>
      </w:r>
    </w:p>
    <w:p w14:paraId="5A04F600" w14:textId="6831A025" w:rsidR="00F43A4C" w:rsidRPr="00542EB9" w:rsidRDefault="00AD718F" w:rsidP="00981B8A">
      <w:pPr>
        <w:spacing w:after="160" w:line="278" w:lineRule="auto"/>
        <w:rPr>
          <w:b/>
          <w:noProof/>
        </w:rPr>
      </w:pPr>
      <w:r w:rsidRPr="00542EB9">
        <w:rPr>
          <w:noProof/>
        </w:rPr>
        <w:t>T</w:t>
      </w:r>
      <w:r w:rsidR="001F6D01" w:rsidRPr="00542EB9">
        <w:rPr>
          <w:noProof/>
        </w:rPr>
        <w:t xml:space="preserve">he </w:t>
      </w:r>
      <w:r w:rsidR="00213EA8" w:rsidRPr="00542EB9">
        <w:rPr>
          <w:noProof/>
        </w:rPr>
        <w:t xml:space="preserve">thematic nature (policy domain-specific) </w:t>
      </w:r>
      <w:r w:rsidR="00E07756" w:rsidRPr="00542EB9">
        <w:rPr>
          <w:noProof/>
        </w:rPr>
        <w:t xml:space="preserve">of the fragmented funding landscape </w:t>
      </w:r>
      <w:r w:rsidR="007258C3" w:rsidRPr="00542EB9">
        <w:rPr>
          <w:noProof/>
        </w:rPr>
        <w:t xml:space="preserve">means that in particular horizontal aspects (e.g. non-policy specific </w:t>
      </w:r>
      <w:r w:rsidR="00C9599C" w:rsidRPr="00542EB9">
        <w:rPr>
          <w:noProof/>
        </w:rPr>
        <w:t xml:space="preserve">elements, </w:t>
      </w:r>
      <w:r w:rsidR="00847ECA" w:rsidRPr="00542EB9">
        <w:rPr>
          <w:noProof/>
        </w:rPr>
        <w:t>such as</w:t>
      </w:r>
      <w:r w:rsidR="00C9599C" w:rsidRPr="00542EB9">
        <w:rPr>
          <w:noProof/>
        </w:rPr>
        <w:t xml:space="preserve"> human capacity building methodology, </w:t>
      </w:r>
      <w:r w:rsidR="00B03202" w:rsidRPr="00542EB9">
        <w:rPr>
          <w:noProof/>
        </w:rPr>
        <w:t>communication/</w:t>
      </w:r>
      <w:r w:rsidR="00C9599C" w:rsidRPr="00542EB9">
        <w:rPr>
          <w:noProof/>
        </w:rPr>
        <w:t>use of social media)</w:t>
      </w:r>
      <w:r w:rsidR="007258C3" w:rsidRPr="00542EB9">
        <w:rPr>
          <w:noProof/>
        </w:rPr>
        <w:t xml:space="preserve"> </w:t>
      </w:r>
      <w:r w:rsidR="00006AA7" w:rsidRPr="00542EB9">
        <w:rPr>
          <w:noProof/>
        </w:rPr>
        <w:t xml:space="preserve">are </w:t>
      </w:r>
      <w:r w:rsidR="00847ECA" w:rsidRPr="00542EB9">
        <w:rPr>
          <w:noProof/>
        </w:rPr>
        <w:t xml:space="preserve">potentially </w:t>
      </w:r>
      <w:r w:rsidR="00006AA7" w:rsidRPr="00542EB9">
        <w:rPr>
          <w:noProof/>
        </w:rPr>
        <w:t>addressed in several programmes</w:t>
      </w:r>
      <w:r w:rsidR="00847ECA" w:rsidRPr="00542EB9">
        <w:rPr>
          <w:noProof/>
        </w:rPr>
        <w:t xml:space="preserve"> separately, while </w:t>
      </w:r>
      <w:r w:rsidR="008168B9" w:rsidRPr="00542EB9">
        <w:rPr>
          <w:noProof/>
        </w:rPr>
        <w:t xml:space="preserve">bringing these aspects together would not only eliminate overlaps but also would bring the </w:t>
      </w:r>
      <w:r w:rsidR="00D10B41" w:rsidRPr="00542EB9">
        <w:rPr>
          <w:noProof/>
        </w:rPr>
        <w:t>policies closer together</w:t>
      </w:r>
      <w:r w:rsidR="00CB1D0E" w:rsidRPr="00542EB9">
        <w:rPr>
          <w:noProof/>
        </w:rPr>
        <w:t>, also gaining from economies of scale. The</w:t>
      </w:r>
      <w:r w:rsidR="00847ECA" w:rsidRPr="00542EB9">
        <w:rPr>
          <w:noProof/>
        </w:rPr>
        <w:t xml:space="preserve"> </w:t>
      </w:r>
      <w:r w:rsidR="001F6D01" w:rsidRPr="00542EB9">
        <w:rPr>
          <w:noProof/>
        </w:rPr>
        <w:t xml:space="preserve">same considerations highlight that there is a potential for further </w:t>
      </w:r>
      <w:r w:rsidR="00140DA2" w:rsidRPr="00542EB9">
        <w:rPr>
          <w:noProof/>
        </w:rPr>
        <w:t>coordination at policy level</w:t>
      </w:r>
      <w:r w:rsidR="002E261D" w:rsidRPr="00542EB9">
        <w:rPr>
          <w:noProof/>
        </w:rPr>
        <w:t xml:space="preserve">, which with a more streamlined </w:t>
      </w:r>
      <w:r w:rsidR="00ED0BC1" w:rsidRPr="00542EB9">
        <w:rPr>
          <w:noProof/>
        </w:rPr>
        <w:t>funding landscape would promote the engagement in joint activities</w:t>
      </w:r>
      <w:r w:rsidR="00FE49F2" w:rsidRPr="00542EB9">
        <w:rPr>
          <w:noProof/>
        </w:rPr>
        <w:t xml:space="preserve"> and would bring the policy silos closer to each other</w:t>
      </w:r>
      <w:r w:rsidR="004A087A" w:rsidRPr="00542EB9">
        <w:rPr>
          <w:noProof/>
        </w:rPr>
        <w:t xml:space="preserve"> especially in overlapping policy domains (e.g. customs</w:t>
      </w:r>
      <w:r w:rsidR="00EF1891" w:rsidRPr="00542EB9">
        <w:rPr>
          <w:noProof/>
        </w:rPr>
        <w:t xml:space="preserve"> - market surveillance; anti-fraud - customs control; statistics – taxation)</w:t>
      </w:r>
      <w:r w:rsidR="00ED0BC1" w:rsidRPr="00542EB9">
        <w:rPr>
          <w:noProof/>
        </w:rPr>
        <w:t xml:space="preserve">. </w:t>
      </w:r>
    </w:p>
    <w:p w14:paraId="386BA676" w14:textId="77777777" w:rsidR="00F43A4C" w:rsidRPr="00542EB9" w:rsidRDefault="00F43A4C" w:rsidP="00F43A4C">
      <w:pPr>
        <w:rPr>
          <w:b/>
          <w:noProof/>
          <w:u w:val="single"/>
        </w:rPr>
      </w:pPr>
      <w:r w:rsidRPr="00542EB9">
        <w:rPr>
          <w:b/>
          <w:noProof/>
        </w:rPr>
        <w:t>Access to EU funding is hampered by complexity</w:t>
      </w:r>
      <w:r w:rsidRPr="00542EB9" w:rsidDel="00C1465E">
        <w:rPr>
          <w:b/>
          <w:noProof/>
        </w:rPr>
        <w:t xml:space="preserve"> </w:t>
      </w:r>
      <w:r w:rsidRPr="00542EB9">
        <w:rPr>
          <w:b/>
          <w:noProof/>
        </w:rPr>
        <w:t>(need for simplification)</w:t>
      </w:r>
    </w:p>
    <w:p w14:paraId="14DDBF1B" w14:textId="751508DB" w:rsidR="00F43A4C" w:rsidRPr="00542EB9" w:rsidRDefault="003C4830" w:rsidP="00981B8A">
      <w:pPr>
        <w:spacing w:after="160" w:line="278" w:lineRule="auto"/>
        <w:rPr>
          <w:noProof/>
        </w:rPr>
      </w:pPr>
      <w:r w:rsidRPr="00542EB9">
        <w:rPr>
          <w:noProof/>
        </w:rPr>
        <w:t>The current</w:t>
      </w:r>
      <w:r w:rsidR="00402A5A" w:rsidRPr="00542EB9">
        <w:rPr>
          <w:noProof/>
        </w:rPr>
        <w:t>,</w:t>
      </w:r>
      <w:r w:rsidRPr="00542EB9">
        <w:rPr>
          <w:noProof/>
        </w:rPr>
        <w:t xml:space="preserve"> more than 40 programmes create a c</w:t>
      </w:r>
      <w:r w:rsidR="00F43A4C" w:rsidRPr="00542EB9">
        <w:rPr>
          <w:noProof/>
        </w:rPr>
        <w:t xml:space="preserve">omplex </w:t>
      </w:r>
      <w:r w:rsidRPr="00542EB9">
        <w:rPr>
          <w:noProof/>
        </w:rPr>
        <w:t>landscape for the potential beneficiaries to navigate. Not only the number of the interventions</w:t>
      </w:r>
      <w:r w:rsidR="00A87F51" w:rsidRPr="00542EB9">
        <w:rPr>
          <w:noProof/>
        </w:rPr>
        <w:t xml:space="preserve"> and</w:t>
      </w:r>
      <w:r w:rsidRPr="00542EB9">
        <w:rPr>
          <w:noProof/>
        </w:rPr>
        <w:t xml:space="preserve"> their </w:t>
      </w:r>
      <w:r w:rsidR="00981B8A" w:rsidRPr="00542EB9">
        <w:rPr>
          <w:noProof/>
        </w:rPr>
        <w:t>often-unclear</w:t>
      </w:r>
      <w:r w:rsidRPr="00542EB9">
        <w:rPr>
          <w:noProof/>
        </w:rPr>
        <w:t xml:space="preserve"> segregation in scope and opportunities</w:t>
      </w:r>
      <w:r w:rsidR="00402A5A" w:rsidRPr="00542EB9">
        <w:rPr>
          <w:noProof/>
        </w:rPr>
        <w:t>,</w:t>
      </w:r>
      <w:r w:rsidRPr="00542EB9">
        <w:rPr>
          <w:noProof/>
        </w:rPr>
        <w:t xml:space="preserve"> but the related varying </w:t>
      </w:r>
      <w:r w:rsidR="00F43A4C" w:rsidRPr="00542EB9">
        <w:rPr>
          <w:noProof/>
        </w:rPr>
        <w:t>regulatory frameworks</w:t>
      </w:r>
      <w:r w:rsidRPr="00542EB9">
        <w:rPr>
          <w:noProof/>
        </w:rPr>
        <w:t xml:space="preserve"> and implementation mechanisms </w:t>
      </w:r>
      <w:r w:rsidR="00402A5A" w:rsidRPr="00542EB9">
        <w:rPr>
          <w:noProof/>
        </w:rPr>
        <w:t xml:space="preserve">may lead the potential beneficiaries to invest in application to funds where they or </w:t>
      </w:r>
      <w:r w:rsidR="00D57E21" w:rsidRPr="00542EB9">
        <w:rPr>
          <w:noProof/>
        </w:rPr>
        <w:t>their</w:t>
      </w:r>
      <w:r w:rsidR="00402A5A" w:rsidRPr="00542EB9">
        <w:rPr>
          <w:noProof/>
        </w:rPr>
        <w:t xml:space="preserve"> </w:t>
      </w:r>
      <w:r w:rsidR="00D57E21" w:rsidRPr="00542EB9">
        <w:rPr>
          <w:noProof/>
        </w:rPr>
        <w:t>proposed actions</w:t>
      </w:r>
      <w:r w:rsidR="00402A5A" w:rsidRPr="00542EB9">
        <w:rPr>
          <w:noProof/>
        </w:rPr>
        <w:t xml:space="preserve"> are not eligible</w:t>
      </w:r>
      <w:r w:rsidR="00D57E21" w:rsidRPr="00542EB9">
        <w:rPr>
          <w:noProof/>
        </w:rPr>
        <w:t>. Mapping and engaging with the complexity of the current funds create administrative burden</w:t>
      </w:r>
      <w:r w:rsidR="004C74A9" w:rsidRPr="00542EB9">
        <w:rPr>
          <w:noProof/>
        </w:rPr>
        <w:t xml:space="preserve"> and</w:t>
      </w:r>
      <w:r w:rsidR="00D57E21" w:rsidRPr="00542EB9">
        <w:rPr>
          <w:noProof/>
        </w:rPr>
        <w:t xml:space="preserve"> additional costs for the beneficiaries. It equally could mean missed opportunities (e.g. missing deadlines</w:t>
      </w:r>
      <w:r w:rsidR="002878F3" w:rsidRPr="00542EB9">
        <w:rPr>
          <w:noProof/>
        </w:rPr>
        <w:t xml:space="preserve">) or </w:t>
      </w:r>
      <w:r w:rsidR="00414FED" w:rsidRPr="00542EB9">
        <w:rPr>
          <w:noProof/>
        </w:rPr>
        <w:t>could</w:t>
      </w:r>
      <w:r w:rsidR="002878F3" w:rsidRPr="00542EB9">
        <w:rPr>
          <w:noProof/>
        </w:rPr>
        <w:t xml:space="preserve"> overall discourage using the opportunities provided by the funds. </w:t>
      </w:r>
      <w:r w:rsidR="00D80E9A" w:rsidRPr="00542EB9">
        <w:rPr>
          <w:noProof/>
        </w:rPr>
        <w:t xml:space="preserve">Furthermore, when one fund is more easily accessed (e.g. more targeted beneficiary audience) it may create unequal opportunities for those who are not targeted by the given programme and can only access to more horizontal ones (e.g. targeted beneficiaries of the Customs programme are the national customs authorities, while economic operators dealing with customs matters </w:t>
      </w:r>
      <w:r w:rsidR="00065FC3" w:rsidRPr="00542EB9">
        <w:rPr>
          <w:noProof/>
        </w:rPr>
        <w:t>cannot tap directly into the fund).</w:t>
      </w:r>
      <w:r w:rsidR="002878F3" w:rsidRPr="00542EB9">
        <w:rPr>
          <w:noProof/>
        </w:rPr>
        <w:t xml:space="preserve"> </w:t>
      </w:r>
      <w:r w:rsidR="00D57E21" w:rsidRPr="00542EB9">
        <w:rPr>
          <w:noProof/>
        </w:rPr>
        <w:t xml:space="preserve"> </w:t>
      </w:r>
    </w:p>
    <w:p w14:paraId="23E32FC2" w14:textId="11F08088" w:rsidR="006324FD" w:rsidRPr="00542EB9" w:rsidRDefault="006324FD" w:rsidP="001F7547">
      <w:pPr>
        <w:spacing w:after="160" w:line="278" w:lineRule="auto"/>
        <w:rPr>
          <w:noProof/>
        </w:rPr>
      </w:pPr>
      <w:r w:rsidRPr="00542EB9">
        <w:rPr>
          <w:noProof/>
        </w:rPr>
        <w:t xml:space="preserve">A majority of </w:t>
      </w:r>
      <w:r w:rsidR="008F7E0A" w:rsidRPr="00542EB9">
        <w:rPr>
          <w:noProof/>
        </w:rPr>
        <w:t>respondents</w:t>
      </w:r>
      <w:r w:rsidRPr="00542EB9">
        <w:rPr>
          <w:noProof/>
        </w:rPr>
        <w:t xml:space="preserve"> to the public consultation considered that different and complex fund-specific rules to access funding and ensure compliance</w:t>
      </w:r>
      <w:r w:rsidR="008F7E0A" w:rsidRPr="00542EB9">
        <w:rPr>
          <w:noProof/>
        </w:rPr>
        <w:t xml:space="preserve"> (</w:t>
      </w:r>
      <w:r w:rsidR="00DE4B1C" w:rsidRPr="00542EB9">
        <w:rPr>
          <w:noProof/>
        </w:rPr>
        <w:t>80% (530 out of 650</w:t>
      </w:r>
      <w:r w:rsidR="008F7E0A" w:rsidRPr="00542EB9">
        <w:rPr>
          <w:noProof/>
        </w:rPr>
        <w:t>)</w:t>
      </w:r>
      <w:r w:rsidR="00414348" w:rsidRPr="00542EB9">
        <w:rPr>
          <w:noProof/>
        </w:rPr>
        <w:t>, and administrative burden for beneficiaries, regional and national authorities</w:t>
      </w:r>
      <w:r w:rsidR="008F7E0A" w:rsidRPr="00542EB9">
        <w:rPr>
          <w:noProof/>
        </w:rPr>
        <w:t xml:space="preserve"> (</w:t>
      </w:r>
      <w:r w:rsidR="00273DE0" w:rsidRPr="00542EB9">
        <w:rPr>
          <w:noProof/>
        </w:rPr>
        <w:t>85%, 555 out of 657</w:t>
      </w:r>
      <w:r w:rsidR="008F7E0A" w:rsidRPr="00542EB9">
        <w:rPr>
          <w:noProof/>
        </w:rPr>
        <w:t>)</w:t>
      </w:r>
      <w:r w:rsidR="00414348" w:rsidRPr="00542EB9">
        <w:rPr>
          <w:noProof/>
        </w:rPr>
        <w:t xml:space="preserve"> </w:t>
      </w:r>
      <w:r w:rsidRPr="00542EB9">
        <w:rPr>
          <w:noProof/>
        </w:rPr>
        <w:t>constitute an obstacle to the EU budget achieving its objectives.</w:t>
      </w:r>
      <w:r w:rsidR="00414348" w:rsidRPr="00542EB9">
        <w:rPr>
          <w:noProof/>
        </w:rPr>
        <w:t xml:space="preserve"> </w:t>
      </w:r>
    </w:p>
    <w:p w14:paraId="2841AF7E" w14:textId="65DAB14B" w:rsidR="0089280F" w:rsidRPr="00542EB9" w:rsidDel="002C1F8A" w:rsidRDefault="46B7197C" w:rsidP="00EA6961">
      <w:pPr>
        <w:pStyle w:val="Heading3"/>
        <w:rPr>
          <w:noProof/>
          <w:szCs w:val="24"/>
        </w:rPr>
      </w:pPr>
      <w:r w:rsidRPr="00542EB9">
        <w:rPr>
          <w:noProof/>
        </w:rPr>
        <w:t>Problem driver</w:t>
      </w:r>
      <w:r w:rsidR="75EA3099" w:rsidRPr="00542EB9">
        <w:rPr>
          <w:noProof/>
        </w:rPr>
        <w:t xml:space="preserve">: </w:t>
      </w:r>
      <w:r w:rsidR="280305D9" w:rsidRPr="00542EB9">
        <w:rPr>
          <w:noProof/>
        </w:rPr>
        <w:t>Knowledge</w:t>
      </w:r>
      <w:r w:rsidR="40E5A25C" w:rsidRPr="00542EB9">
        <w:rPr>
          <w:noProof/>
        </w:rPr>
        <w:t xml:space="preserve"> </w:t>
      </w:r>
      <w:r w:rsidR="14A9AE99" w:rsidRPr="00542EB9">
        <w:rPr>
          <w:noProof/>
        </w:rPr>
        <w:t xml:space="preserve">and data </w:t>
      </w:r>
      <w:r w:rsidR="40E5A25C" w:rsidRPr="00542EB9">
        <w:rPr>
          <w:noProof/>
        </w:rPr>
        <w:t>gaps</w:t>
      </w:r>
      <w:r w:rsidR="460967FC" w:rsidRPr="00542EB9">
        <w:rPr>
          <w:noProof/>
        </w:rPr>
        <w:t>,</w:t>
      </w:r>
      <w:r w:rsidR="0AF039D5" w:rsidRPr="00542EB9">
        <w:rPr>
          <w:noProof/>
        </w:rPr>
        <w:t xml:space="preserve"> and </w:t>
      </w:r>
      <w:r w:rsidR="191B048D" w:rsidRPr="00542EB9">
        <w:rPr>
          <w:noProof/>
        </w:rPr>
        <w:t xml:space="preserve">other </w:t>
      </w:r>
      <w:r w:rsidR="40E5A25C" w:rsidRPr="00542EB9">
        <w:rPr>
          <w:noProof/>
        </w:rPr>
        <w:t xml:space="preserve">barriers </w:t>
      </w:r>
      <w:r w:rsidR="27FC08F7" w:rsidRPr="00542EB9">
        <w:rPr>
          <w:noProof/>
        </w:rPr>
        <w:t xml:space="preserve">are </w:t>
      </w:r>
      <w:r w:rsidR="5F8F08D6" w:rsidRPr="00542EB9">
        <w:rPr>
          <w:noProof/>
        </w:rPr>
        <w:t xml:space="preserve">obstacles </w:t>
      </w:r>
      <w:r w:rsidR="0AF039D5" w:rsidRPr="00542EB9">
        <w:rPr>
          <w:noProof/>
        </w:rPr>
        <w:t>for citizens, consumers, and businesses</w:t>
      </w:r>
      <w:r w:rsidR="10B93AD0" w:rsidRPr="00542EB9">
        <w:rPr>
          <w:noProof/>
        </w:rPr>
        <w:t>, economic operators</w:t>
      </w:r>
      <w:r w:rsidR="0AF039D5" w:rsidRPr="00542EB9">
        <w:rPr>
          <w:noProof/>
        </w:rPr>
        <w:t xml:space="preserve"> to </w:t>
      </w:r>
      <w:r w:rsidR="4A7A45A8" w:rsidRPr="00542EB9">
        <w:rPr>
          <w:noProof/>
        </w:rPr>
        <w:t xml:space="preserve">access and </w:t>
      </w:r>
      <w:r w:rsidR="0AF039D5" w:rsidRPr="00542EB9">
        <w:rPr>
          <w:noProof/>
        </w:rPr>
        <w:t xml:space="preserve">operate </w:t>
      </w:r>
      <w:r w:rsidR="0042A214" w:rsidRPr="00542EB9">
        <w:rPr>
          <w:noProof/>
        </w:rPr>
        <w:t>i</w:t>
      </w:r>
      <w:r w:rsidR="0AF039D5" w:rsidRPr="00542EB9">
        <w:rPr>
          <w:noProof/>
        </w:rPr>
        <w:t xml:space="preserve">n the </w:t>
      </w:r>
      <w:r w:rsidR="005459CC" w:rsidRPr="00542EB9">
        <w:rPr>
          <w:noProof/>
        </w:rPr>
        <w:t>single market</w:t>
      </w:r>
      <w:r w:rsidR="76924354" w:rsidRPr="00542EB9">
        <w:rPr>
          <w:noProof/>
        </w:rPr>
        <w:t>.</w:t>
      </w:r>
    </w:p>
    <w:p w14:paraId="421567E8" w14:textId="3449FA34" w:rsidR="00F07F84" w:rsidRPr="00542EB9" w:rsidRDefault="00252264" w:rsidP="00306B02">
      <w:pPr>
        <w:pStyle w:val="Heading4"/>
        <w:rPr>
          <w:b/>
          <w:bCs/>
          <w:noProof/>
        </w:rPr>
      </w:pPr>
      <w:r w:rsidRPr="00542EB9">
        <w:rPr>
          <w:b/>
          <w:bCs/>
          <w:noProof/>
        </w:rPr>
        <w:t xml:space="preserve"> </w:t>
      </w:r>
      <w:r w:rsidR="0029397B" w:rsidRPr="00542EB9">
        <w:rPr>
          <w:b/>
          <w:bCs/>
          <w:noProof/>
        </w:rPr>
        <w:t>Problem driver description</w:t>
      </w:r>
    </w:p>
    <w:p w14:paraId="7AF62AF1" w14:textId="4AE158B8" w:rsidR="00095964" w:rsidRPr="00553437" w:rsidDel="002C1F8A" w:rsidRDefault="1AE8348C" w:rsidP="5DD21FD3">
      <w:pPr>
        <w:rPr>
          <w:noProof/>
          <w:color w:val="000000" w:themeColor="text1"/>
        </w:rPr>
      </w:pPr>
      <w:r w:rsidRPr="00542EB9" w:rsidDel="002C1F8A">
        <w:rPr>
          <w:b/>
          <w:bCs/>
          <w:noProof/>
        </w:rPr>
        <w:t>Citizens</w:t>
      </w:r>
      <w:r w:rsidR="2F69AFD4" w:rsidRPr="00542EB9" w:rsidDel="002C1F8A">
        <w:rPr>
          <w:b/>
          <w:bCs/>
          <w:noProof/>
        </w:rPr>
        <w:t>,</w:t>
      </w:r>
      <w:r w:rsidRPr="00542EB9" w:rsidDel="002C1F8A">
        <w:rPr>
          <w:b/>
          <w:bCs/>
          <w:noProof/>
        </w:rPr>
        <w:t xml:space="preserve"> consumers, </w:t>
      </w:r>
      <w:r w:rsidR="00714F25" w:rsidRPr="00542EB9" w:rsidDel="002C1F8A">
        <w:rPr>
          <w:b/>
          <w:bCs/>
          <w:noProof/>
        </w:rPr>
        <w:t>economic operators and</w:t>
      </w:r>
      <w:r w:rsidRPr="00542EB9" w:rsidDel="002C1F8A">
        <w:rPr>
          <w:b/>
          <w:bCs/>
          <w:noProof/>
        </w:rPr>
        <w:t xml:space="preserve"> businesses</w:t>
      </w:r>
      <w:r w:rsidR="6A6EA038" w:rsidRPr="00542EB9" w:rsidDel="002C1F8A">
        <w:rPr>
          <w:b/>
          <w:bCs/>
          <w:noProof/>
        </w:rPr>
        <w:t xml:space="preserve"> </w:t>
      </w:r>
      <w:r w:rsidRPr="00542EB9" w:rsidDel="002C1F8A">
        <w:rPr>
          <w:b/>
          <w:bCs/>
          <w:noProof/>
        </w:rPr>
        <w:t xml:space="preserve">face significant challenges in accessing and operating within the </w:t>
      </w:r>
      <w:r w:rsidR="005459CC" w:rsidRPr="00542EB9">
        <w:rPr>
          <w:b/>
          <w:bCs/>
          <w:noProof/>
        </w:rPr>
        <w:t>single market</w:t>
      </w:r>
      <w:r w:rsidR="2F69AFD4" w:rsidRPr="00542EB9" w:rsidDel="002C1F8A">
        <w:rPr>
          <w:b/>
          <w:bCs/>
          <w:noProof/>
        </w:rPr>
        <w:t xml:space="preserve">, </w:t>
      </w:r>
      <w:r w:rsidR="17C73122" w:rsidRPr="00542EB9" w:rsidDel="002C1F8A">
        <w:rPr>
          <w:b/>
          <w:bCs/>
          <w:noProof/>
        </w:rPr>
        <w:t>due to</w:t>
      </w:r>
      <w:r w:rsidR="17C73122" w:rsidRPr="00542EB9" w:rsidDel="002C1F8A">
        <w:rPr>
          <w:noProof/>
        </w:rPr>
        <w:t xml:space="preserve"> </w:t>
      </w:r>
      <w:r w:rsidR="17C73122" w:rsidRPr="00542EB9" w:rsidDel="002C1F8A">
        <w:rPr>
          <w:b/>
          <w:bCs/>
          <w:noProof/>
        </w:rPr>
        <w:t xml:space="preserve">knowledge </w:t>
      </w:r>
      <w:r w:rsidR="42F4C043" w:rsidRPr="00542EB9" w:rsidDel="002C1F8A">
        <w:rPr>
          <w:b/>
          <w:bCs/>
          <w:noProof/>
        </w:rPr>
        <w:t xml:space="preserve">and data </w:t>
      </w:r>
      <w:r w:rsidR="17C73122" w:rsidRPr="00542EB9" w:rsidDel="002C1F8A">
        <w:rPr>
          <w:b/>
          <w:bCs/>
          <w:noProof/>
        </w:rPr>
        <w:t xml:space="preserve">gaps and </w:t>
      </w:r>
      <w:r w:rsidR="00714F25" w:rsidRPr="00542EB9" w:rsidDel="002C1F8A">
        <w:rPr>
          <w:b/>
          <w:bCs/>
          <w:noProof/>
        </w:rPr>
        <w:t xml:space="preserve">other </w:t>
      </w:r>
      <w:r w:rsidR="33806E1D" w:rsidRPr="00542EB9" w:rsidDel="002C1F8A">
        <w:rPr>
          <w:b/>
          <w:bCs/>
          <w:noProof/>
        </w:rPr>
        <w:t>barriers</w:t>
      </w:r>
      <w:r w:rsidR="00EF42FC" w:rsidRPr="00542EB9">
        <w:rPr>
          <w:rStyle w:val="FootnoteReference"/>
          <w:b/>
          <w:noProof/>
          <w:sz w:val="20"/>
          <w:szCs w:val="20"/>
        </w:rPr>
        <w:footnoteReference w:id="29"/>
      </w:r>
      <w:r w:rsidR="33806E1D" w:rsidRPr="00542EB9" w:rsidDel="002C1F8A">
        <w:rPr>
          <w:noProof/>
        </w:rPr>
        <w:t xml:space="preserve">. </w:t>
      </w:r>
      <w:r w:rsidR="00FB26B5" w:rsidRPr="00542EB9" w:rsidDel="002C1F8A">
        <w:rPr>
          <w:noProof/>
        </w:rPr>
        <w:t xml:space="preserve">This includes access to and receiving information and advice about the rights and obligations, guidance and training on the functioning of the single market, customs and taxation aspects, and these stakeholders’ functioning in the digital </w:t>
      </w:r>
      <w:r w:rsidR="005459CC" w:rsidRPr="00542EB9">
        <w:rPr>
          <w:noProof/>
        </w:rPr>
        <w:t>single market</w:t>
      </w:r>
      <w:r w:rsidR="00D1664A" w:rsidRPr="00542EB9" w:rsidDel="002C1F8A">
        <w:rPr>
          <w:noProof/>
        </w:rPr>
        <w:t>.</w:t>
      </w:r>
      <w:r w:rsidR="00FB26B5" w:rsidRPr="00542EB9" w:rsidDel="002C1F8A">
        <w:rPr>
          <w:noProof/>
        </w:rPr>
        <w:t xml:space="preserve"> </w:t>
      </w:r>
      <w:r w:rsidR="6AF48897" w:rsidRPr="00542EB9" w:rsidDel="002C1F8A">
        <w:rPr>
          <w:noProof/>
        </w:rPr>
        <w:t>B</w:t>
      </w:r>
      <w:r w:rsidR="3E81F46F" w:rsidRPr="00542EB9" w:rsidDel="002C1F8A">
        <w:rPr>
          <w:noProof/>
        </w:rPr>
        <w:t>usinesses</w:t>
      </w:r>
      <w:r w:rsidR="698B20E7" w:rsidRPr="00542EB9" w:rsidDel="002C1F8A">
        <w:rPr>
          <w:noProof/>
        </w:rPr>
        <w:t xml:space="preserve"> </w:t>
      </w:r>
      <w:r w:rsidR="43F6C41A" w:rsidRPr="00542EB9" w:rsidDel="002C1F8A">
        <w:rPr>
          <w:noProof/>
        </w:rPr>
        <w:t xml:space="preserve">face barriers linked to administrative burden and </w:t>
      </w:r>
      <w:r w:rsidR="0003568E" w:rsidRPr="00542EB9" w:rsidDel="002C1F8A">
        <w:rPr>
          <w:noProof/>
        </w:rPr>
        <w:t xml:space="preserve">the need to </w:t>
      </w:r>
      <w:r w:rsidR="43F6C41A" w:rsidRPr="00542EB9" w:rsidDel="002C1F8A">
        <w:rPr>
          <w:noProof/>
        </w:rPr>
        <w:t xml:space="preserve">comply with </w:t>
      </w:r>
      <w:r w:rsidR="06C7FB96" w:rsidRPr="00542EB9" w:rsidDel="002C1F8A">
        <w:rPr>
          <w:noProof/>
        </w:rPr>
        <w:t xml:space="preserve">complex </w:t>
      </w:r>
      <w:r w:rsidR="42420533" w:rsidRPr="00542EB9" w:rsidDel="002C1F8A">
        <w:rPr>
          <w:noProof/>
        </w:rPr>
        <w:t xml:space="preserve">and </w:t>
      </w:r>
      <w:r w:rsidR="7C96FADB" w:rsidRPr="00542EB9" w:rsidDel="002C1F8A">
        <w:rPr>
          <w:noProof/>
        </w:rPr>
        <w:t xml:space="preserve">different </w:t>
      </w:r>
      <w:r w:rsidR="43F6C41A" w:rsidRPr="00542EB9" w:rsidDel="002C1F8A">
        <w:rPr>
          <w:noProof/>
        </w:rPr>
        <w:t>regulatory frame</w:t>
      </w:r>
      <w:r w:rsidR="698B20E7" w:rsidRPr="00542EB9" w:rsidDel="002C1F8A">
        <w:rPr>
          <w:noProof/>
        </w:rPr>
        <w:t>work</w:t>
      </w:r>
      <w:r w:rsidR="06C7FB96" w:rsidRPr="00542EB9" w:rsidDel="002C1F8A">
        <w:rPr>
          <w:noProof/>
        </w:rPr>
        <w:t>s</w:t>
      </w:r>
      <w:r w:rsidR="4D11FEB2" w:rsidRPr="00542EB9" w:rsidDel="002C1F8A">
        <w:rPr>
          <w:noProof/>
        </w:rPr>
        <w:t xml:space="preserve"> despite simplification efforts</w:t>
      </w:r>
      <w:r w:rsidR="698B20E7" w:rsidRPr="00542EB9" w:rsidDel="002C1F8A">
        <w:rPr>
          <w:noProof/>
        </w:rPr>
        <w:t>.</w:t>
      </w:r>
      <w:r w:rsidR="65DDDA48" w:rsidRPr="00542EB9" w:rsidDel="002C1F8A">
        <w:rPr>
          <w:noProof/>
        </w:rPr>
        <w:t xml:space="preserve"> </w:t>
      </w:r>
      <w:r w:rsidR="257D1784" w:rsidRPr="00542EB9" w:rsidDel="002C1F8A">
        <w:rPr>
          <w:noProof/>
          <w:color w:val="000000" w:themeColor="text1"/>
        </w:rPr>
        <w:t>In many areas and for diverse stakeholders, there is still an ongoing lack of information, communication and/or awareness. C</w:t>
      </w:r>
      <w:r w:rsidR="7D99DBD6" w:rsidRPr="00542EB9" w:rsidDel="002C1F8A">
        <w:rPr>
          <w:noProof/>
          <w:color w:val="000000" w:themeColor="text1"/>
        </w:rPr>
        <w:t>itizens and consumer</w:t>
      </w:r>
      <w:r w:rsidR="257D1784" w:rsidRPr="00542EB9" w:rsidDel="002C1F8A">
        <w:rPr>
          <w:noProof/>
          <w:color w:val="000000" w:themeColor="text1"/>
        </w:rPr>
        <w:t>s</w:t>
      </w:r>
      <w:r w:rsidR="5EF779C8" w:rsidRPr="00542EB9" w:rsidDel="002C1F8A">
        <w:rPr>
          <w:noProof/>
          <w:color w:val="000000" w:themeColor="text1"/>
        </w:rPr>
        <w:t>,</w:t>
      </w:r>
      <w:r w:rsidR="00B340F0" w:rsidRPr="00542EB9" w:rsidDel="002C1F8A">
        <w:rPr>
          <w:noProof/>
          <w:color w:val="000000" w:themeColor="text1"/>
        </w:rPr>
        <w:t xml:space="preserve"> </w:t>
      </w:r>
      <w:r w:rsidR="5EF779C8" w:rsidRPr="00542EB9" w:rsidDel="002C1F8A">
        <w:rPr>
          <w:noProof/>
          <w:color w:val="000000" w:themeColor="text1"/>
        </w:rPr>
        <w:t>especially vulnerable consumers,</w:t>
      </w:r>
      <w:r w:rsidR="257D1784" w:rsidRPr="00542EB9" w:rsidDel="002C1F8A">
        <w:rPr>
          <w:noProof/>
          <w:color w:val="000000" w:themeColor="text1"/>
        </w:rPr>
        <w:t xml:space="preserve"> may lack information about the</w:t>
      </w:r>
      <w:r w:rsidR="33720C82" w:rsidRPr="00542EB9" w:rsidDel="002C1F8A">
        <w:rPr>
          <w:noProof/>
          <w:color w:val="000000" w:themeColor="text1"/>
        </w:rPr>
        <w:t>ir</w:t>
      </w:r>
      <w:r w:rsidR="257D1784" w:rsidRPr="00542EB9" w:rsidDel="002C1F8A">
        <w:rPr>
          <w:noProof/>
          <w:color w:val="000000" w:themeColor="text1"/>
        </w:rPr>
        <w:t xml:space="preserve"> rights, </w:t>
      </w:r>
      <w:r w:rsidR="00B6239E" w:rsidRPr="00542EB9" w:rsidDel="002C1F8A">
        <w:rPr>
          <w:noProof/>
          <w:color w:val="000000" w:themeColor="text1"/>
        </w:rPr>
        <w:t xml:space="preserve">economic operators and </w:t>
      </w:r>
      <w:r w:rsidR="257D1784" w:rsidRPr="00542EB9" w:rsidDel="002C1F8A">
        <w:rPr>
          <w:noProof/>
          <w:color w:val="000000" w:themeColor="text1"/>
        </w:rPr>
        <w:t>business</w:t>
      </w:r>
      <w:r w:rsidR="6B321AF9" w:rsidRPr="00542EB9" w:rsidDel="002C1F8A">
        <w:rPr>
          <w:noProof/>
          <w:color w:val="000000" w:themeColor="text1"/>
        </w:rPr>
        <w:t>es</w:t>
      </w:r>
      <w:r w:rsidR="257D1784" w:rsidRPr="00542EB9" w:rsidDel="002C1F8A">
        <w:rPr>
          <w:noProof/>
          <w:color w:val="000000" w:themeColor="text1"/>
        </w:rPr>
        <w:t xml:space="preserve"> are not always aware of rules related to </w:t>
      </w:r>
      <w:r w:rsidR="002B2910" w:rsidRPr="00542EB9" w:rsidDel="002C1F8A">
        <w:rPr>
          <w:noProof/>
          <w:color w:val="000000" w:themeColor="text1"/>
        </w:rPr>
        <w:t>intra</w:t>
      </w:r>
      <w:r w:rsidR="00BE7B8B" w:rsidRPr="00542EB9" w:rsidDel="002C1F8A">
        <w:rPr>
          <w:noProof/>
          <w:color w:val="000000" w:themeColor="text1"/>
        </w:rPr>
        <w:t>-</w:t>
      </w:r>
      <w:r w:rsidR="002B2910" w:rsidRPr="00542EB9" w:rsidDel="002C1F8A">
        <w:rPr>
          <w:noProof/>
          <w:color w:val="000000" w:themeColor="text1"/>
        </w:rPr>
        <w:t>EU</w:t>
      </w:r>
      <w:r w:rsidR="00BE7B8B" w:rsidRPr="00542EB9" w:rsidDel="002C1F8A">
        <w:rPr>
          <w:noProof/>
          <w:color w:val="000000" w:themeColor="text1"/>
        </w:rPr>
        <w:t>, and external trade</w:t>
      </w:r>
      <w:r w:rsidR="00DA17D0" w:rsidRPr="00542EB9" w:rsidDel="002C1F8A">
        <w:rPr>
          <w:noProof/>
          <w:color w:val="000000" w:themeColor="text1"/>
        </w:rPr>
        <w:t xml:space="preserve">, in particular in terms of </w:t>
      </w:r>
      <w:r w:rsidR="00BE7B8B" w:rsidRPr="00542EB9" w:rsidDel="002C1F8A">
        <w:rPr>
          <w:noProof/>
          <w:color w:val="000000" w:themeColor="text1"/>
        </w:rPr>
        <w:t xml:space="preserve">customs and taxation rules, </w:t>
      </w:r>
      <w:r w:rsidR="257D1784" w:rsidRPr="00542EB9" w:rsidDel="002C1F8A">
        <w:rPr>
          <w:noProof/>
          <w:color w:val="000000" w:themeColor="text1"/>
        </w:rPr>
        <w:t xml:space="preserve">product compliance and </w:t>
      </w:r>
      <w:r w:rsidR="6FB07D56" w:rsidRPr="00542EB9" w:rsidDel="002C1F8A">
        <w:rPr>
          <w:noProof/>
          <w:color w:val="000000" w:themeColor="text1"/>
        </w:rPr>
        <w:t>market</w:t>
      </w:r>
      <w:r w:rsidR="257D1784" w:rsidRPr="00542EB9" w:rsidDel="002C1F8A">
        <w:rPr>
          <w:noProof/>
          <w:color w:val="000000" w:themeColor="text1"/>
        </w:rPr>
        <w:t xml:space="preserve"> surveillance rules, or similarly in the field of competition rules</w:t>
      </w:r>
      <w:r w:rsidR="00B7799D" w:rsidRPr="00542EB9">
        <w:rPr>
          <w:rStyle w:val="FootnoteReference"/>
          <w:noProof/>
          <w:color w:val="000000" w:themeColor="text1"/>
        </w:rPr>
        <w:footnoteReference w:id="30"/>
      </w:r>
      <w:r w:rsidR="257D1784" w:rsidRPr="00542EB9" w:rsidDel="002C1F8A">
        <w:rPr>
          <w:noProof/>
          <w:color w:val="000000" w:themeColor="text1"/>
        </w:rPr>
        <w:t xml:space="preserve">. </w:t>
      </w:r>
      <w:r w:rsidR="00C35639" w:rsidRPr="00542EB9">
        <w:rPr>
          <w:noProof/>
          <w:color w:val="000000" w:themeColor="text1"/>
        </w:rPr>
        <w:t xml:space="preserve">Services supported under the SMP like Your Europe Advice, IMI, and SOLVIT saw a growing number of cases, reflecting these challenges. The Eurobarometer survey further </w:t>
      </w:r>
      <w:r w:rsidR="00C35639" w:rsidRPr="00553437">
        <w:rPr>
          <w:noProof/>
          <w:color w:val="000000" w:themeColor="text1"/>
        </w:rPr>
        <w:t>demonstrated an information gap, with only 6% of citizens feeling well-informed about their EU rights and another 36% only fairly well-informed, underscoring the need for tools and platforms to raise awareness</w:t>
      </w:r>
      <w:r w:rsidR="00C35639" w:rsidRPr="00553437">
        <w:rPr>
          <w:noProof/>
          <w:color w:val="000000" w:themeColor="text1"/>
          <w:sz w:val="20"/>
          <w:szCs w:val="20"/>
          <w:vertAlign w:val="superscript"/>
        </w:rPr>
        <w:footnoteReference w:id="31"/>
      </w:r>
      <w:r w:rsidR="00C35639" w:rsidRPr="00553437">
        <w:rPr>
          <w:noProof/>
          <w:color w:val="000000" w:themeColor="text1"/>
        </w:rPr>
        <w:t>.</w:t>
      </w:r>
    </w:p>
    <w:p w14:paraId="50DA6C44" w14:textId="5285F586" w:rsidR="00763236" w:rsidRPr="00542EB9" w:rsidDel="002C1F8A" w:rsidRDefault="0C014F1A" w:rsidP="5DD21FD3">
      <w:pPr>
        <w:rPr>
          <w:noProof/>
        </w:rPr>
      </w:pPr>
      <w:r w:rsidRPr="00553437">
        <w:rPr>
          <w:b/>
          <w:bCs/>
          <w:noProof/>
        </w:rPr>
        <w:t xml:space="preserve">These barriers affect </w:t>
      </w:r>
      <w:r w:rsidR="2B19165D" w:rsidRPr="00553437">
        <w:rPr>
          <w:b/>
          <w:bCs/>
          <w:noProof/>
        </w:rPr>
        <w:t xml:space="preserve">single </w:t>
      </w:r>
      <w:r w:rsidR="32737411" w:rsidRPr="00553437">
        <w:rPr>
          <w:b/>
          <w:bCs/>
          <w:noProof/>
        </w:rPr>
        <w:t>market</w:t>
      </w:r>
      <w:r w:rsidRPr="00553437">
        <w:rPr>
          <w:b/>
          <w:bCs/>
          <w:noProof/>
        </w:rPr>
        <w:t xml:space="preserve"> participation and limit the possibility to elaborate a regulatory framework fit to provide a thriving environment for citizens, consumers, and businesses</w:t>
      </w:r>
      <w:r w:rsidR="3E1FB2FD" w:rsidRPr="00553437">
        <w:rPr>
          <w:b/>
          <w:bCs/>
          <w:noProof/>
        </w:rPr>
        <w:t xml:space="preserve"> and economic operators</w:t>
      </w:r>
      <w:r w:rsidRPr="00553437">
        <w:rPr>
          <w:noProof/>
        </w:rPr>
        <w:t xml:space="preserve">. There is a need for citizens, consumers, </w:t>
      </w:r>
      <w:r w:rsidR="770BC841" w:rsidRPr="00553437">
        <w:rPr>
          <w:noProof/>
        </w:rPr>
        <w:t>economic operators and</w:t>
      </w:r>
      <w:r w:rsidRPr="00553437">
        <w:rPr>
          <w:noProof/>
        </w:rPr>
        <w:t xml:space="preserve"> businesses </w:t>
      </w:r>
      <w:r w:rsidR="3A9DB3FF" w:rsidRPr="00553437">
        <w:rPr>
          <w:noProof/>
        </w:rPr>
        <w:t>but</w:t>
      </w:r>
      <w:r w:rsidRPr="00553437">
        <w:rPr>
          <w:noProof/>
        </w:rPr>
        <w:t xml:space="preserve"> also public administrations to receive information to understand their rights, opportunities, and challenges related to the </w:t>
      </w:r>
      <w:r w:rsidR="005459CC" w:rsidRPr="00553437">
        <w:rPr>
          <w:noProof/>
        </w:rPr>
        <w:t>single market</w:t>
      </w:r>
      <w:r w:rsidRPr="00553437">
        <w:rPr>
          <w:noProof/>
        </w:rPr>
        <w:t xml:space="preserve">. </w:t>
      </w:r>
      <w:r w:rsidR="7F853B37" w:rsidRPr="00553437">
        <w:rPr>
          <w:rFonts w:eastAsia="Calibri"/>
          <w:noProof/>
        </w:rPr>
        <w:t>Informed and empowered consumers</w:t>
      </w:r>
      <w:r w:rsidR="4FECCE0B" w:rsidRPr="00553437">
        <w:rPr>
          <w:rFonts w:eastAsia="Calibri"/>
          <w:noProof/>
        </w:rPr>
        <w:t xml:space="preserve"> and businesses </w:t>
      </w:r>
      <w:r w:rsidR="7F853B37" w:rsidRPr="00553437">
        <w:rPr>
          <w:rFonts w:eastAsia="Calibri"/>
          <w:noProof/>
        </w:rPr>
        <w:t>can drive demand for fair competition, high product standards, and sustainable practices.</w:t>
      </w:r>
      <w:r w:rsidR="7F853B37" w:rsidRPr="00542EB9">
        <w:rPr>
          <w:rFonts w:eastAsia="Calibri"/>
          <w:noProof/>
        </w:rPr>
        <w:t xml:space="preserve"> </w:t>
      </w:r>
      <w:r w:rsidR="004C42C4">
        <w:rPr>
          <w:rFonts w:eastAsia="Calibri"/>
          <w:noProof/>
        </w:rPr>
        <w:t xml:space="preserve">Currently, </w:t>
      </w:r>
      <w:r w:rsidR="00C0400E">
        <w:rPr>
          <w:rFonts w:eastAsia="Calibri"/>
          <w:noProof/>
        </w:rPr>
        <w:t xml:space="preserve">products that should – but do not - comply with environmental standards too often find their way on to the market, negatively impacting consumers and </w:t>
      </w:r>
      <w:r w:rsidR="006C47C1">
        <w:rPr>
          <w:rFonts w:eastAsia="Calibri"/>
          <w:noProof/>
        </w:rPr>
        <w:t xml:space="preserve">businesses that do comply. </w:t>
      </w:r>
      <w:r w:rsidR="287D0D24" w:rsidRPr="00542EB9">
        <w:rPr>
          <w:noProof/>
        </w:rPr>
        <w:t xml:space="preserve">Unjustified barriers arise when national law conflicts with </w:t>
      </w:r>
      <w:r w:rsidR="140044FA" w:rsidRPr="00542EB9">
        <w:rPr>
          <w:noProof/>
        </w:rPr>
        <w:t>single</w:t>
      </w:r>
      <w:r w:rsidR="287D0D24" w:rsidRPr="00542EB9">
        <w:rPr>
          <w:noProof/>
        </w:rPr>
        <w:t xml:space="preserve"> </w:t>
      </w:r>
      <w:r w:rsidR="140044FA" w:rsidRPr="00542EB9">
        <w:rPr>
          <w:noProof/>
        </w:rPr>
        <w:t>m</w:t>
      </w:r>
      <w:r w:rsidR="32737411" w:rsidRPr="00542EB9">
        <w:rPr>
          <w:noProof/>
        </w:rPr>
        <w:t>arket</w:t>
      </w:r>
      <w:r w:rsidR="287D0D24" w:rsidRPr="00542EB9">
        <w:rPr>
          <w:noProof/>
        </w:rPr>
        <w:t xml:space="preserve"> rules or when those rules are incompletely or insufficiently </w:t>
      </w:r>
      <w:r w:rsidR="1AAB54D8" w:rsidRPr="00542EB9">
        <w:rPr>
          <w:noProof/>
        </w:rPr>
        <w:t xml:space="preserve">interpreted and </w:t>
      </w:r>
      <w:r w:rsidR="287D0D24" w:rsidRPr="00542EB9">
        <w:rPr>
          <w:noProof/>
        </w:rPr>
        <w:t xml:space="preserve">implemented at national level, including due to </w:t>
      </w:r>
      <w:r w:rsidR="1FAD6F59" w:rsidRPr="00542EB9">
        <w:rPr>
          <w:noProof/>
        </w:rPr>
        <w:t xml:space="preserve">differences in </w:t>
      </w:r>
      <w:r w:rsidR="287D0D24" w:rsidRPr="00542EB9">
        <w:rPr>
          <w:noProof/>
        </w:rPr>
        <w:t>administrative practices</w:t>
      </w:r>
      <w:r w:rsidR="01D0ECBA" w:rsidRPr="00542EB9">
        <w:rPr>
          <w:noProof/>
        </w:rPr>
        <w:t>, capacities</w:t>
      </w:r>
      <w:r w:rsidR="287D0D24" w:rsidRPr="00542EB9">
        <w:rPr>
          <w:noProof/>
        </w:rPr>
        <w:t xml:space="preserve"> of national authorities</w:t>
      </w:r>
      <w:r w:rsidR="572A409D" w:rsidRPr="00542EB9">
        <w:rPr>
          <w:noProof/>
        </w:rPr>
        <w:t xml:space="preserve">, </w:t>
      </w:r>
      <w:r w:rsidR="41D3160F" w:rsidRPr="00542EB9">
        <w:rPr>
          <w:noProof/>
        </w:rPr>
        <w:t xml:space="preserve">fragmented </w:t>
      </w:r>
      <w:r w:rsidR="572A409D" w:rsidRPr="00542EB9">
        <w:rPr>
          <w:noProof/>
        </w:rPr>
        <w:t xml:space="preserve">cooperation </w:t>
      </w:r>
      <w:r w:rsidR="41D3160F" w:rsidRPr="00542EB9">
        <w:rPr>
          <w:noProof/>
        </w:rPr>
        <w:t xml:space="preserve">between various </w:t>
      </w:r>
      <w:r w:rsidR="78F121EA" w:rsidRPr="00542EB9">
        <w:rPr>
          <w:noProof/>
        </w:rPr>
        <w:t>national administrations/authorities both at national and EU-level</w:t>
      </w:r>
      <w:r w:rsidR="1FAD6F59" w:rsidRPr="00542EB9">
        <w:rPr>
          <w:noProof/>
        </w:rPr>
        <w:t>,</w:t>
      </w:r>
      <w:r w:rsidR="57119F17" w:rsidRPr="00542EB9">
        <w:rPr>
          <w:noProof/>
        </w:rPr>
        <w:t xml:space="preserve"> as well as </w:t>
      </w:r>
      <w:r w:rsidR="36E3A757" w:rsidRPr="00542EB9">
        <w:rPr>
          <w:noProof/>
        </w:rPr>
        <w:t>shortcomings in</w:t>
      </w:r>
      <w:r w:rsidR="57119F17" w:rsidRPr="00542EB9">
        <w:rPr>
          <w:noProof/>
        </w:rPr>
        <w:t xml:space="preserve"> interoperability</w:t>
      </w:r>
      <w:r w:rsidR="4C272D22" w:rsidRPr="00542EB9">
        <w:rPr>
          <w:noProof/>
        </w:rPr>
        <w:t xml:space="preserve"> and common</w:t>
      </w:r>
      <w:r w:rsidR="36E3A757" w:rsidRPr="00542EB9">
        <w:rPr>
          <w:noProof/>
        </w:rPr>
        <w:t>, EU-wide</w:t>
      </w:r>
      <w:r w:rsidR="4C272D22" w:rsidRPr="00542EB9">
        <w:rPr>
          <w:noProof/>
        </w:rPr>
        <w:t xml:space="preserve"> digital </w:t>
      </w:r>
      <w:r w:rsidR="1FAD6F59" w:rsidRPr="00542EB9">
        <w:rPr>
          <w:noProof/>
        </w:rPr>
        <w:t>solutions</w:t>
      </w:r>
      <w:r w:rsidR="287D0D24" w:rsidRPr="00542EB9">
        <w:rPr>
          <w:noProof/>
        </w:rPr>
        <w:t>. They hinder the capacity of businesses to flourish, remain competitive and to harness the green and digital transition</w:t>
      </w:r>
      <w:r w:rsidR="379E0727" w:rsidRPr="00542EB9">
        <w:rPr>
          <w:noProof/>
        </w:rPr>
        <w:t xml:space="preserve"> and </w:t>
      </w:r>
      <w:r w:rsidR="49C3A13F" w:rsidRPr="00542EB9">
        <w:rPr>
          <w:rFonts w:eastAsia="Calibri"/>
          <w:noProof/>
        </w:rPr>
        <w:t xml:space="preserve">also limit consumer choice and confidence. </w:t>
      </w:r>
      <w:r w:rsidR="58DD5303" w:rsidRPr="00542EB9">
        <w:rPr>
          <w:noProof/>
        </w:rPr>
        <w:t>Some types of barriers</w:t>
      </w:r>
      <w:r w:rsidR="58DD5303" w:rsidRPr="00542EB9">
        <w:rPr>
          <w:b/>
          <w:bCs/>
          <w:noProof/>
        </w:rPr>
        <w:t xml:space="preserve"> </w:t>
      </w:r>
      <w:r w:rsidR="58DD5303" w:rsidRPr="00542EB9">
        <w:rPr>
          <w:noProof/>
        </w:rPr>
        <w:t>have proven to be persistent: 60% of the barriers that businesses report facing today are of the same type as were reported 20 years ago</w:t>
      </w:r>
      <w:r w:rsidR="00092EBF" w:rsidRPr="00542EB9">
        <w:rPr>
          <w:rStyle w:val="FootnoteReference"/>
          <w:noProof/>
          <w:sz w:val="20"/>
          <w:szCs w:val="20"/>
        </w:rPr>
        <w:footnoteReference w:id="32"/>
      </w:r>
      <w:r w:rsidR="58DD5303" w:rsidRPr="00542EB9">
        <w:rPr>
          <w:noProof/>
        </w:rPr>
        <w:t xml:space="preserve">. Many of these relate to national regulation as well as administrative practices, which, in the first instance, have to be addressed directly by Member States. Barriers confirmed by stakeholders include the complexity of national procedures and lack of information on them, disproportionate national requirements. Many such barriers are not amenable to legislative harmonisation and hence reducing obstacles at national level remains the major objective. </w:t>
      </w:r>
    </w:p>
    <w:p w14:paraId="66784B56" w14:textId="0CC74BC8" w:rsidR="00DF6D5F" w:rsidRPr="00542EB9" w:rsidDel="002C1F8A" w:rsidRDefault="287D0D24" w:rsidP="5DD21FD3">
      <w:pPr>
        <w:rPr>
          <w:noProof/>
        </w:rPr>
      </w:pPr>
      <w:r w:rsidRPr="00542EB9">
        <w:rPr>
          <w:b/>
          <w:bCs/>
          <w:noProof/>
        </w:rPr>
        <w:t>A renewed focus is needed on tackling barriers in areas most relevant for the whole economy</w:t>
      </w:r>
      <w:r w:rsidRPr="00542EB9">
        <w:rPr>
          <w:noProof/>
        </w:rPr>
        <w:t xml:space="preserve">. The </w:t>
      </w:r>
      <w:r w:rsidR="140044FA" w:rsidRPr="00542EB9">
        <w:rPr>
          <w:noProof/>
        </w:rPr>
        <w:t>single m</w:t>
      </w:r>
      <w:r w:rsidR="32737411" w:rsidRPr="00542EB9">
        <w:rPr>
          <w:noProof/>
        </w:rPr>
        <w:t>arket</w:t>
      </w:r>
      <w:r w:rsidRPr="00542EB9">
        <w:rPr>
          <w:noProof/>
        </w:rPr>
        <w:t xml:space="preserve"> will also have to continue to adapt to the new realities of the geopolitical environment, technological developments, the green and digital transitions and the need to boost the EU’s long-term competitiveness and productivity.</w:t>
      </w:r>
      <w:r w:rsidR="20008195" w:rsidRPr="00542EB9">
        <w:rPr>
          <w:noProof/>
        </w:rPr>
        <w:t xml:space="preserve"> </w:t>
      </w:r>
      <w:r w:rsidR="0C014F1A" w:rsidRPr="00542EB9">
        <w:rPr>
          <w:noProof/>
        </w:rPr>
        <w:t xml:space="preserve">Setting up, expanding, and operating across EU borders and with third countries remains a challenge due to </w:t>
      </w:r>
      <w:r w:rsidR="5B60C9A0" w:rsidRPr="00542EB9">
        <w:rPr>
          <w:noProof/>
        </w:rPr>
        <w:t xml:space="preserve">difficulties in accessing </w:t>
      </w:r>
      <w:r w:rsidR="00FC6D6A" w:rsidRPr="00542EB9">
        <w:rPr>
          <w:noProof/>
        </w:rPr>
        <w:t>EU funding</w:t>
      </w:r>
      <w:r w:rsidR="487E01C7" w:rsidRPr="00542EB9">
        <w:rPr>
          <w:noProof/>
        </w:rPr>
        <w:t xml:space="preserve"> </w:t>
      </w:r>
      <w:r w:rsidR="5B60C9A0" w:rsidRPr="00542EB9">
        <w:rPr>
          <w:noProof/>
        </w:rPr>
        <w:t xml:space="preserve">as well as </w:t>
      </w:r>
      <w:r w:rsidR="0C014F1A" w:rsidRPr="00542EB9">
        <w:rPr>
          <w:noProof/>
        </w:rPr>
        <w:t xml:space="preserve">the </w:t>
      </w:r>
      <w:r w:rsidR="13DD6C56" w:rsidRPr="00542EB9">
        <w:rPr>
          <w:noProof/>
        </w:rPr>
        <w:t xml:space="preserve">necessity of </w:t>
      </w:r>
      <w:r w:rsidR="0C014F1A" w:rsidRPr="00542EB9">
        <w:rPr>
          <w:noProof/>
        </w:rPr>
        <w:t>compliance with different national rules in Members States which constitutes a complex and resource-intensive endeavour. The persistence of barriers creates a need for support to address these, and services providing tailored support to citizens, consumers and businesses are essential and relevant</w:t>
      </w:r>
      <w:r w:rsidR="00155892" w:rsidRPr="00542EB9">
        <w:rPr>
          <w:rStyle w:val="FootnoteReference"/>
          <w:noProof/>
          <w:sz w:val="20"/>
          <w:szCs w:val="20"/>
        </w:rPr>
        <w:footnoteReference w:id="33"/>
      </w:r>
      <w:r w:rsidR="0C014F1A" w:rsidRPr="00542EB9">
        <w:rPr>
          <w:noProof/>
        </w:rPr>
        <w:t>.</w:t>
      </w:r>
    </w:p>
    <w:p w14:paraId="2FEF0BE4" w14:textId="77777777" w:rsidR="00142F85" w:rsidRPr="00542EB9" w:rsidDel="002C1F8A" w:rsidRDefault="5BC0C401">
      <w:pPr>
        <w:rPr>
          <w:noProof/>
        </w:rPr>
      </w:pPr>
      <w:r w:rsidRPr="00542EB9">
        <w:rPr>
          <w:b/>
          <w:bCs/>
          <w:noProof/>
        </w:rPr>
        <w:t>In an increasingly digitalised world, digital tools are essential to ensure the continuity of business operations and companies’ interactions with registers and authorities</w:t>
      </w:r>
      <w:r w:rsidRPr="00542EB9">
        <w:rPr>
          <w:noProof/>
        </w:rPr>
        <w:t>. In order to increase trust and transparency in the business environment and facilitate companies’ operations and activities in the internal market, it is crucial that companies, authorities and other stakeholders have access to accurate, up-to-date and reliable company information and can use it without burdensome formalities in a cross-border context. It is also crucial that companies can benefit from digital tools and solutions in EU company law to simplify procedures and reduce administrative burdens on companies. These</w:t>
      </w:r>
      <w:r w:rsidR="673BC2B6" w:rsidRPr="00542EB9">
        <w:rPr>
          <w:noProof/>
        </w:rPr>
        <w:t xml:space="preserve"> </w:t>
      </w:r>
      <w:r w:rsidRPr="00542EB9">
        <w:rPr>
          <w:noProof/>
        </w:rPr>
        <w:t xml:space="preserve">help companies develop across the single market and enhance competitiveness. At the same time, barriers </w:t>
      </w:r>
      <w:r w:rsidR="3EE80E3B" w:rsidRPr="00542EB9">
        <w:rPr>
          <w:noProof/>
        </w:rPr>
        <w:t>remain</w:t>
      </w:r>
      <w:r w:rsidRPr="00542EB9">
        <w:rPr>
          <w:noProof/>
        </w:rPr>
        <w:t>, including as regards availability and accessibility of information about companies and time-consuming and costly procedures and requirements that compan</w:t>
      </w:r>
      <w:r w:rsidR="5A1BA571" w:rsidRPr="00542EB9">
        <w:rPr>
          <w:noProof/>
        </w:rPr>
        <w:t>i</w:t>
      </w:r>
      <w:r w:rsidRPr="00542EB9">
        <w:rPr>
          <w:noProof/>
        </w:rPr>
        <w:t>es face in cross-border situations.</w:t>
      </w:r>
    </w:p>
    <w:p w14:paraId="319DC648" w14:textId="6D794FC7" w:rsidR="41BB1966" w:rsidRPr="00542EB9" w:rsidRDefault="41BB1966">
      <w:pPr>
        <w:rPr>
          <w:rFonts w:eastAsia="Times New Roman"/>
          <w:noProof/>
          <w:sz w:val="28"/>
          <w:szCs w:val="28"/>
        </w:rPr>
      </w:pPr>
      <w:r w:rsidRPr="00542EB9">
        <w:rPr>
          <w:rFonts w:eastAsia="Calibri"/>
          <w:noProof/>
        </w:rPr>
        <w:t xml:space="preserve">Furthermore, </w:t>
      </w:r>
      <w:r w:rsidRPr="00542EB9">
        <w:rPr>
          <w:rFonts w:eastAsia="Calibri"/>
          <w:b/>
          <w:bCs/>
          <w:noProof/>
        </w:rPr>
        <w:t xml:space="preserve">while innovative technologies, such as AI and data driven business models enhance digital cross-border trade, they also raise a number of new issues and potential </w:t>
      </w:r>
      <w:r w:rsidR="005459CC" w:rsidRPr="00542EB9">
        <w:rPr>
          <w:rFonts w:eastAsia="Calibri"/>
          <w:b/>
          <w:bCs/>
          <w:noProof/>
        </w:rPr>
        <w:t>single market</w:t>
      </w:r>
      <w:r w:rsidRPr="00542EB9">
        <w:rPr>
          <w:rFonts w:eastAsia="Calibri"/>
          <w:b/>
          <w:bCs/>
          <w:noProof/>
        </w:rPr>
        <w:t xml:space="preserve"> obstacles</w:t>
      </w:r>
      <w:r w:rsidRPr="00542EB9">
        <w:rPr>
          <w:rFonts w:eastAsia="Calibri"/>
          <w:noProof/>
        </w:rPr>
        <w:t xml:space="preserve"> for various business models and assets, including free movement of goods, services and data. Their impacts are expected to grow in the future, as digitalisation progresses. For instance, new civil law issues include </w:t>
      </w:r>
      <w:r w:rsidRPr="00542EB9">
        <w:rPr>
          <w:rFonts w:eastAsia="Calibri"/>
          <w:noProof/>
          <w:lang w:val="en-US"/>
        </w:rPr>
        <w:t>uncertainties around the use of automated technologies such as AI in digital trade (questions of attribution, validity and consequences of unintended AI actions and liability). In addition, the increased use of data in contracts and the value of data as an economic factor raises questions as to how data driven business models affect contracting and the rights and obligations of the parties to such contracts.</w:t>
      </w:r>
    </w:p>
    <w:p w14:paraId="4948414B" w14:textId="01C236D8" w:rsidR="00AE001B" w:rsidRPr="00542EB9" w:rsidDel="002C1F8A" w:rsidRDefault="5BC0C401" w:rsidP="5E943E77">
      <w:pPr>
        <w:rPr>
          <w:i/>
          <w:iCs/>
          <w:noProof/>
        </w:rPr>
      </w:pPr>
      <w:r w:rsidRPr="00542EB9">
        <w:rPr>
          <w:b/>
          <w:bCs/>
          <w:noProof/>
        </w:rPr>
        <w:t>EU company law</w:t>
      </w:r>
      <w:r w:rsidR="673BC2B6" w:rsidRPr="00542EB9">
        <w:rPr>
          <w:noProof/>
        </w:rPr>
        <w:t xml:space="preserve"> </w:t>
      </w:r>
      <w:r w:rsidRPr="00542EB9">
        <w:rPr>
          <w:noProof/>
        </w:rPr>
        <w:t xml:space="preserve">– providing a horizontal legal framework applying to 20 million limited liability companies and their cross-border branches and to </w:t>
      </w:r>
      <w:r w:rsidR="29DBC85F" w:rsidRPr="00542EB9">
        <w:rPr>
          <w:noProof/>
        </w:rPr>
        <w:t>two</w:t>
      </w:r>
      <w:r w:rsidRPr="00542EB9">
        <w:rPr>
          <w:noProof/>
        </w:rPr>
        <w:t xml:space="preserve"> million partnerships </w:t>
      </w:r>
      <w:r w:rsidR="29DBC85F" w:rsidRPr="00542EB9">
        <w:rPr>
          <w:noProof/>
        </w:rPr>
        <w:t>–</w:t>
      </w:r>
      <w:r w:rsidRPr="00542EB9">
        <w:rPr>
          <w:noProof/>
        </w:rPr>
        <w:t xml:space="preserve"> </w:t>
      </w:r>
      <w:r w:rsidRPr="00542EB9">
        <w:rPr>
          <w:b/>
          <w:bCs/>
          <w:noProof/>
        </w:rPr>
        <w:t>aims to address these barriers and burdens and therefore, the continued funding of developments in EU company law will be crucial under the next MFF</w:t>
      </w:r>
      <w:r w:rsidRPr="00542EB9">
        <w:rPr>
          <w:noProof/>
        </w:rPr>
        <w:t>.</w:t>
      </w:r>
      <w:r w:rsidR="00F4234F" w:rsidRPr="00542EB9">
        <w:rPr>
          <w:rFonts w:eastAsia="Calibri"/>
          <w:noProof/>
        </w:rPr>
        <w:t xml:space="preserve"> </w:t>
      </w:r>
      <w:r w:rsidR="7B9DFACC" w:rsidRPr="00542EB9">
        <w:rPr>
          <w:rFonts w:eastAsia="Calibri"/>
          <w:noProof/>
        </w:rPr>
        <w:t xml:space="preserve">Adapting </w:t>
      </w:r>
      <w:r w:rsidR="7B9DFACC" w:rsidRPr="00542EB9">
        <w:rPr>
          <w:rFonts w:eastAsia="Calibri"/>
          <w:b/>
          <w:noProof/>
        </w:rPr>
        <w:t xml:space="preserve">civil law </w:t>
      </w:r>
      <w:r w:rsidR="7B9DFACC" w:rsidRPr="00542EB9">
        <w:rPr>
          <w:rFonts w:eastAsia="Calibri"/>
          <w:noProof/>
        </w:rPr>
        <w:t>and more specifically</w:t>
      </w:r>
      <w:r w:rsidR="7B9DFACC" w:rsidRPr="00542EB9">
        <w:rPr>
          <w:rFonts w:eastAsia="Calibri"/>
          <w:b/>
          <w:noProof/>
        </w:rPr>
        <w:t xml:space="preserve"> contract law</w:t>
      </w:r>
      <w:r w:rsidR="7B9DFACC" w:rsidRPr="00542EB9">
        <w:rPr>
          <w:rFonts w:eastAsia="Calibri"/>
          <w:noProof/>
        </w:rPr>
        <w:t xml:space="preserve"> to the needs of the digital economy will be essential to ensure</w:t>
      </w:r>
      <w:r w:rsidR="7B9DFACC" w:rsidRPr="00542EB9">
        <w:rPr>
          <w:rFonts w:eastAsia="Calibri"/>
          <w:b/>
          <w:noProof/>
        </w:rPr>
        <w:t xml:space="preserve"> </w:t>
      </w:r>
      <w:r w:rsidR="7B9DFACC" w:rsidRPr="00542EB9">
        <w:rPr>
          <w:rFonts w:eastAsia="Calibri"/>
          <w:noProof/>
        </w:rPr>
        <w:t xml:space="preserve">seamless digital cross-border transactions and the development of innovative digital business models. Continued funding of relevant civil and contract law actions will be necessary to ensure the policy tools to tackle </w:t>
      </w:r>
      <w:r w:rsidR="005459CC" w:rsidRPr="00542EB9">
        <w:rPr>
          <w:rFonts w:eastAsia="Calibri"/>
          <w:noProof/>
        </w:rPr>
        <w:t>single market</w:t>
      </w:r>
      <w:r w:rsidR="7B9DFACC" w:rsidRPr="00542EB9">
        <w:rPr>
          <w:rFonts w:eastAsia="Calibri"/>
          <w:noProof/>
        </w:rPr>
        <w:t xml:space="preserve"> obstacles in th</w:t>
      </w:r>
      <w:r w:rsidR="7755367F" w:rsidRPr="00542EB9">
        <w:rPr>
          <w:rFonts w:eastAsia="Calibri"/>
          <w:noProof/>
        </w:rPr>
        <w:t>is area</w:t>
      </w:r>
      <w:r w:rsidR="7B9DFACC" w:rsidRPr="00542EB9">
        <w:rPr>
          <w:rFonts w:eastAsia="Calibri"/>
          <w:noProof/>
        </w:rPr>
        <w:t>.</w:t>
      </w:r>
      <w:r w:rsidR="00F4234F" w:rsidRPr="00542EB9">
        <w:rPr>
          <w:noProof/>
        </w:rPr>
        <w:t xml:space="preserve"> </w:t>
      </w:r>
      <w:r w:rsidR="526A27CF" w:rsidRPr="00542EB9" w:rsidDel="002C1F8A">
        <w:rPr>
          <w:noProof/>
        </w:rPr>
        <w:t xml:space="preserve">Continued financing of the </w:t>
      </w:r>
      <w:r w:rsidR="526A27CF" w:rsidRPr="00542EB9" w:rsidDel="002C1F8A">
        <w:rPr>
          <w:b/>
          <w:bCs/>
          <w:noProof/>
        </w:rPr>
        <w:t xml:space="preserve">Business Registers Interconnection System </w:t>
      </w:r>
      <w:r w:rsidR="004E105E" w:rsidRPr="00542EB9" w:rsidDel="002C1F8A">
        <w:rPr>
          <w:b/>
          <w:bCs/>
          <w:noProof/>
        </w:rPr>
        <w:t>(</w:t>
      </w:r>
      <w:r w:rsidR="526A27CF" w:rsidRPr="00542EB9" w:rsidDel="002C1F8A">
        <w:rPr>
          <w:b/>
          <w:bCs/>
          <w:noProof/>
        </w:rPr>
        <w:t>BRIS</w:t>
      </w:r>
      <w:r w:rsidR="004E105E" w:rsidRPr="00542EB9" w:rsidDel="002C1F8A">
        <w:rPr>
          <w:b/>
          <w:bCs/>
          <w:noProof/>
        </w:rPr>
        <w:t>)</w:t>
      </w:r>
      <w:r w:rsidR="526A27CF" w:rsidRPr="00542EB9" w:rsidDel="002C1F8A">
        <w:rPr>
          <w:noProof/>
        </w:rPr>
        <w:t xml:space="preserve"> will </w:t>
      </w:r>
      <w:r w:rsidR="00430663" w:rsidRPr="00542EB9" w:rsidDel="002C1F8A">
        <w:rPr>
          <w:noProof/>
        </w:rPr>
        <w:t xml:space="preserve">be </w:t>
      </w:r>
      <w:r w:rsidR="526A27CF" w:rsidRPr="00542EB9" w:rsidDel="002C1F8A">
        <w:rPr>
          <w:noProof/>
        </w:rPr>
        <w:t>particular</w:t>
      </w:r>
      <w:r w:rsidR="00430663" w:rsidRPr="00542EB9" w:rsidDel="002C1F8A">
        <w:rPr>
          <w:noProof/>
        </w:rPr>
        <w:t>ly</w:t>
      </w:r>
      <w:r w:rsidR="526A27CF" w:rsidRPr="00542EB9" w:rsidDel="002C1F8A">
        <w:rPr>
          <w:noProof/>
        </w:rPr>
        <w:t xml:space="preserve"> </w:t>
      </w:r>
      <w:r w:rsidR="72CA1E56" w:rsidRPr="00542EB9" w:rsidDel="002C1F8A">
        <w:rPr>
          <w:noProof/>
        </w:rPr>
        <w:t xml:space="preserve">essential </w:t>
      </w:r>
      <w:r w:rsidR="526A27CF" w:rsidRPr="00542EB9" w:rsidDel="002C1F8A">
        <w:rPr>
          <w:noProof/>
        </w:rPr>
        <w:t xml:space="preserve">as all the digital procedures and solutions in the EU company law framework rely on the use and the development of BRIS and as it is a key digital infrastructure that enables access to and exchange of company information across the EU. Although it is difficult to quantify the value of information, according to recent estimates, the value of basic company information (e.g. registered addresses, company numbers, dates of incorporation, nature of business) was estimated at approximately </w:t>
      </w:r>
      <w:r w:rsidR="00430663" w:rsidRPr="00542EB9" w:rsidDel="002C1F8A">
        <w:rPr>
          <w:noProof/>
        </w:rPr>
        <w:t xml:space="preserve">EUR </w:t>
      </w:r>
      <w:r w:rsidR="526A27CF" w:rsidRPr="00542EB9" w:rsidDel="002C1F8A">
        <w:rPr>
          <w:noProof/>
        </w:rPr>
        <w:t>950 per user per year.</w:t>
      </w:r>
      <w:r w:rsidR="00506867" w:rsidRPr="00542EB9" w:rsidDel="002C1F8A">
        <w:rPr>
          <w:noProof/>
        </w:rPr>
        <w:t xml:space="preserve"> </w:t>
      </w:r>
      <w:r w:rsidR="526A27CF" w:rsidRPr="00542EB9" w:rsidDel="002C1F8A">
        <w:rPr>
          <w:noProof/>
        </w:rPr>
        <w:t>In addition, thanks to the application of the once-only principle through BRIS, companies do not need to provide their information multiple times, which reduce</w:t>
      </w:r>
      <w:r w:rsidR="536FE6CC" w:rsidRPr="00542EB9" w:rsidDel="002C1F8A">
        <w:rPr>
          <w:noProof/>
        </w:rPr>
        <w:t>s</w:t>
      </w:r>
      <w:r w:rsidR="526A27CF" w:rsidRPr="00542EB9" w:rsidDel="002C1F8A">
        <w:rPr>
          <w:noProof/>
        </w:rPr>
        <w:t xml:space="preserve"> reporting burdens for companies</w:t>
      </w:r>
      <w:r w:rsidR="526A27CF" w:rsidRPr="00542EB9" w:rsidDel="002C1F8A">
        <w:rPr>
          <w:i/>
          <w:iCs/>
          <w:noProof/>
        </w:rPr>
        <w:t>.</w:t>
      </w:r>
    </w:p>
    <w:p w14:paraId="73FDAACB" w14:textId="09996B95" w:rsidR="009676DD" w:rsidRPr="00542EB9" w:rsidDel="002C1F8A" w:rsidRDefault="033CC627" w:rsidP="5DD21FD3">
      <w:pPr>
        <w:rPr>
          <w:noProof/>
        </w:rPr>
      </w:pPr>
      <w:r w:rsidRPr="00542EB9" w:rsidDel="002C1F8A">
        <w:rPr>
          <w:b/>
          <w:bCs/>
          <w:noProof/>
        </w:rPr>
        <w:t xml:space="preserve">The current </w:t>
      </w:r>
      <w:r w:rsidR="003B314F" w:rsidRPr="00542EB9" w:rsidDel="002C1F8A">
        <w:rPr>
          <w:b/>
          <w:bCs/>
          <w:noProof/>
        </w:rPr>
        <w:t>U</w:t>
      </w:r>
      <w:r w:rsidR="00FC5BA6" w:rsidRPr="00542EB9" w:rsidDel="002C1F8A">
        <w:rPr>
          <w:b/>
          <w:bCs/>
          <w:noProof/>
        </w:rPr>
        <w:t xml:space="preserve">nion </w:t>
      </w:r>
      <w:r w:rsidR="003B314F" w:rsidRPr="00542EB9" w:rsidDel="002C1F8A">
        <w:rPr>
          <w:b/>
          <w:bCs/>
          <w:noProof/>
        </w:rPr>
        <w:t>C</w:t>
      </w:r>
      <w:r w:rsidR="00FC5BA6" w:rsidRPr="00542EB9" w:rsidDel="002C1F8A">
        <w:rPr>
          <w:b/>
          <w:bCs/>
          <w:noProof/>
        </w:rPr>
        <w:t xml:space="preserve">ustoms </w:t>
      </w:r>
      <w:r w:rsidR="003B314F" w:rsidRPr="00542EB9" w:rsidDel="002C1F8A">
        <w:rPr>
          <w:b/>
          <w:bCs/>
          <w:noProof/>
        </w:rPr>
        <w:t>C</w:t>
      </w:r>
      <w:r w:rsidR="00FC5BA6" w:rsidRPr="00542EB9" w:rsidDel="002C1F8A">
        <w:rPr>
          <w:b/>
          <w:bCs/>
          <w:noProof/>
        </w:rPr>
        <w:t>ode</w:t>
      </w:r>
      <w:r w:rsidRPr="00542EB9" w:rsidDel="002C1F8A">
        <w:rPr>
          <w:b/>
          <w:bCs/>
          <w:noProof/>
        </w:rPr>
        <w:t xml:space="preserve"> </w:t>
      </w:r>
      <w:r w:rsidR="348F44BD" w:rsidRPr="00542EB9" w:rsidDel="002C1F8A">
        <w:rPr>
          <w:b/>
          <w:bCs/>
          <w:noProof/>
        </w:rPr>
        <w:t>achiev</w:t>
      </w:r>
      <w:r w:rsidR="10ABB749" w:rsidRPr="00542EB9" w:rsidDel="002C1F8A">
        <w:rPr>
          <w:b/>
          <w:bCs/>
          <w:noProof/>
        </w:rPr>
        <w:t>ed</w:t>
      </w:r>
      <w:r w:rsidR="348F44BD" w:rsidRPr="00542EB9" w:rsidDel="002C1F8A">
        <w:rPr>
          <w:b/>
          <w:bCs/>
          <w:noProof/>
        </w:rPr>
        <w:t xml:space="preserve"> </w:t>
      </w:r>
      <w:r w:rsidR="765A3A7F" w:rsidRPr="00542EB9" w:rsidDel="002C1F8A">
        <w:rPr>
          <w:b/>
          <w:bCs/>
          <w:noProof/>
        </w:rPr>
        <w:t>the</w:t>
      </w:r>
      <w:r w:rsidR="348F44BD" w:rsidRPr="00542EB9" w:rsidDel="002C1F8A">
        <w:rPr>
          <w:b/>
          <w:bCs/>
          <w:noProof/>
        </w:rPr>
        <w:t xml:space="preserve"> digitalis</w:t>
      </w:r>
      <w:r w:rsidR="765A3A7F" w:rsidRPr="00542EB9" w:rsidDel="002C1F8A">
        <w:rPr>
          <w:b/>
          <w:bCs/>
          <w:noProof/>
        </w:rPr>
        <w:t xml:space="preserve">ation of </w:t>
      </w:r>
      <w:r w:rsidR="000A7B25" w:rsidRPr="00542EB9" w:rsidDel="002C1F8A">
        <w:rPr>
          <w:b/>
          <w:bCs/>
          <w:noProof/>
        </w:rPr>
        <w:t>customs;</w:t>
      </w:r>
      <w:r w:rsidR="765A3A7F" w:rsidRPr="00542EB9" w:rsidDel="002C1F8A">
        <w:rPr>
          <w:b/>
          <w:bCs/>
          <w:noProof/>
        </w:rPr>
        <w:t xml:space="preserve"> however</w:t>
      </w:r>
      <w:r w:rsidR="00286E83" w:rsidRPr="00542EB9" w:rsidDel="002C1F8A">
        <w:rPr>
          <w:b/>
          <w:bCs/>
          <w:noProof/>
        </w:rPr>
        <w:t>,</w:t>
      </w:r>
      <w:r w:rsidR="5A372A2E" w:rsidRPr="00542EB9" w:rsidDel="002C1F8A">
        <w:rPr>
          <w:b/>
          <w:bCs/>
          <w:noProof/>
        </w:rPr>
        <w:t xml:space="preserve"> </w:t>
      </w:r>
      <w:r w:rsidR="10ABB749" w:rsidRPr="00542EB9" w:rsidDel="002C1F8A">
        <w:rPr>
          <w:b/>
          <w:bCs/>
          <w:noProof/>
        </w:rPr>
        <w:t>e</w:t>
      </w:r>
      <w:r w:rsidR="2081BFEF" w:rsidRPr="00542EB9" w:rsidDel="002C1F8A">
        <w:rPr>
          <w:b/>
          <w:bCs/>
          <w:noProof/>
        </w:rPr>
        <w:t>conomic</w:t>
      </w:r>
      <w:r w:rsidR="009676DD" w:rsidRPr="00542EB9" w:rsidDel="002C1F8A">
        <w:rPr>
          <w:b/>
          <w:bCs/>
          <w:noProof/>
        </w:rPr>
        <w:t xml:space="preserve"> operators </w:t>
      </w:r>
      <w:r w:rsidR="24D3F9B5" w:rsidRPr="00542EB9" w:rsidDel="002C1F8A">
        <w:rPr>
          <w:b/>
          <w:bCs/>
          <w:noProof/>
        </w:rPr>
        <w:t>still</w:t>
      </w:r>
      <w:r w:rsidR="009676DD" w:rsidRPr="00542EB9" w:rsidDel="002C1F8A">
        <w:rPr>
          <w:b/>
          <w:bCs/>
          <w:noProof/>
        </w:rPr>
        <w:t xml:space="preserve"> face 27 </w:t>
      </w:r>
      <w:r w:rsidR="00F14ABD" w:rsidRPr="00542EB9" w:rsidDel="002C1F8A">
        <w:rPr>
          <w:b/>
          <w:bCs/>
          <w:noProof/>
        </w:rPr>
        <w:t>national</w:t>
      </w:r>
      <w:r w:rsidR="00FC5BA6" w:rsidRPr="00542EB9" w:rsidDel="002C1F8A">
        <w:rPr>
          <w:b/>
          <w:bCs/>
          <w:noProof/>
        </w:rPr>
        <w:t xml:space="preserve"> </w:t>
      </w:r>
      <w:r w:rsidR="2081BFEF" w:rsidRPr="00542EB9" w:rsidDel="002C1F8A">
        <w:rPr>
          <w:b/>
          <w:bCs/>
          <w:noProof/>
        </w:rPr>
        <w:t xml:space="preserve">IT </w:t>
      </w:r>
      <w:r w:rsidR="009676DD" w:rsidRPr="00542EB9" w:rsidDel="002C1F8A">
        <w:rPr>
          <w:b/>
          <w:bCs/>
          <w:noProof/>
        </w:rPr>
        <w:t>environments</w:t>
      </w:r>
      <w:r w:rsidR="5C371BD6" w:rsidRPr="00542EB9" w:rsidDel="002C1F8A">
        <w:rPr>
          <w:noProof/>
        </w:rPr>
        <w:t xml:space="preserve">, </w:t>
      </w:r>
      <w:r w:rsidR="65F353CD" w:rsidRPr="00542EB9" w:rsidDel="002C1F8A">
        <w:rPr>
          <w:noProof/>
        </w:rPr>
        <w:t xml:space="preserve">each consisting of multiple and diverse systems and related technical </w:t>
      </w:r>
      <w:r w:rsidR="27AF26E0" w:rsidRPr="00542EB9" w:rsidDel="002C1F8A">
        <w:rPr>
          <w:noProof/>
        </w:rPr>
        <w:t>requirements and procedural aspects</w:t>
      </w:r>
      <w:r w:rsidR="009676DD" w:rsidRPr="00542EB9" w:rsidDel="002C1F8A">
        <w:rPr>
          <w:noProof/>
        </w:rPr>
        <w:t xml:space="preserve"> </w:t>
      </w:r>
      <w:r w:rsidR="00F14ABD" w:rsidRPr="00542EB9" w:rsidDel="002C1F8A">
        <w:rPr>
          <w:noProof/>
        </w:rPr>
        <w:t>when</w:t>
      </w:r>
      <w:r w:rsidR="009676DD" w:rsidRPr="00542EB9" w:rsidDel="002C1F8A">
        <w:rPr>
          <w:noProof/>
        </w:rPr>
        <w:t xml:space="preserve"> declaring </w:t>
      </w:r>
      <w:r w:rsidR="00F14ABD" w:rsidRPr="00542EB9" w:rsidDel="002C1F8A">
        <w:rPr>
          <w:noProof/>
        </w:rPr>
        <w:t>and clearing</w:t>
      </w:r>
      <w:r w:rsidR="009676DD" w:rsidRPr="00542EB9" w:rsidDel="002C1F8A">
        <w:rPr>
          <w:noProof/>
        </w:rPr>
        <w:t xml:space="preserve"> goods that enter</w:t>
      </w:r>
      <w:r w:rsidR="00FC5BA6" w:rsidRPr="00542EB9" w:rsidDel="002C1F8A">
        <w:rPr>
          <w:noProof/>
        </w:rPr>
        <w:t>/exit</w:t>
      </w:r>
      <w:r w:rsidR="009676DD" w:rsidRPr="00542EB9" w:rsidDel="002C1F8A">
        <w:rPr>
          <w:noProof/>
        </w:rPr>
        <w:t xml:space="preserve"> the Union, despite there being a single customs union</w:t>
      </w:r>
      <w:r w:rsidR="2081BFEF" w:rsidRPr="00542EB9" w:rsidDel="002C1F8A">
        <w:rPr>
          <w:noProof/>
        </w:rPr>
        <w:t>.</w:t>
      </w:r>
      <w:r w:rsidR="009676DD" w:rsidRPr="00542EB9" w:rsidDel="002C1F8A">
        <w:rPr>
          <w:noProof/>
        </w:rPr>
        <w:t xml:space="preserve"> The formalities and various processes have an administrative overhead and come at a cost to trade</w:t>
      </w:r>
      <w:r w:rsidR="000A53C2" w:rsidRPr="00542EB9">
        <w:rPr>
          <w:noProof/>
        </w:rPr>
        <w:t xml:space="preserve"> and economic operators</w:t>
      </w:r>
      <w:r w:rsidR="00E8130D" w:rsidRPr="00542EB9">
        <w:rPr>
          <w:noProof/>
        </w:rPr>
        <w:t xml:space="preserve">, </w:t>
      </w:r>
      <w:r w:rsidR="00C6157A" w:rsidRPr="00542EB9">
        <w:rPr>
          <w:noProof/>
        </w:rPr>
        <w:t>playing a factor in their decision and opportunity to engage fully in the single market</w:t>
      </w:r>
      <w:r w:rsidR="00462CD8" w:rsidRPr="00542EB9">
        <w:rPr>
          <w:noProof/>
        </w:rPr>
        <w:t>, and having impact on the EU competitiveness</w:t>
      </w:r>
      <w:r w:rsidR="009676DD" w:rsidRPr="00542EB9" w:rsidDel="002C1F8A">
        <w:rPr>
          <w:noProof/>
        </w:rPr>
        <w:t>.</w:t>
      </w:r>
      <w:r w:rsidR="00734EDB" w:rsidRPr="00542EB9">
        <w:rPr>
          <w:noProof/>
        </w:rPr>
        <w:t xml:space="preserve"> This </w:t>
      </w:r>
      <w:r w:rsidR="002D487F" w:rsidRPr="00542EB9">
        <w:rPr>
          <w:noProof/>
        </w:rPr>
        <w:t xml:space="preserve">is evident from the study </w:t>
      </w:r>
      <w:r w:rsidR="00B90A50" w:rsidRPr="00542EB9">
        <w:rPr>
          <w:noProof/>
        </w:rPr>
        <w:t xml:space="preserve">supporting the Commission’s proposal to the Reform of the Customs </w:t>
      </w:r>
      <w:r w:rsidR="0022110C" w:rsidRPr="00542EB9">
        <w:rPr>
          <w:noProof/>
        </w:rPr>
        <w:t>U</w:t>
      </w:r>
      <w:r w:rsidR="00B90A50" w:rsidRPr="00542EB9">
        <w:rPr>
          <w:noProof/>
        </w:rPr>
        <w:t>nion</w:t>
      </w:r>
      <w:r w:rsidR="0022110C" w:rsidRPr="00542EB9">
        <w:rPr>
          <w:noProof/>
        </w:rPr>
        <w:t xml:space="preserve">, as well as by the preliminary findings of the </w:t>
      </w:r>
      <w:r w:rsidR="008D3B88" w:rsidRPr="00542EB9">
        <w:rPr>
          <w:noProof/>
        </w:rPr>
        <w:t xml:space="preserve">case studies on </w:t>
      </w:r>
      <w:r w:rsidR="00745B6F" w:rsidRPr="00542EB9">
        <w:rPr>
          <w:noProof/>
        </w:rPr>
        <w:t>four</w:t>
      </w:r>
      <w:r w:rsidR="008D3B88" w:rsidRPr="00542EB9">
        <w:rPr>
          <w:noProof/>
        </w:rPr>
        <w:t xml:space="preserve"> selected IT systems for customs </w:t>
      </w:r>
      <w:r w:rsidR="00745B6F" w:rsidRPr="00542EB9">
        <w:rPr>
          <w:noProof/>
        </w:rPr>
        <w:t>analysed by the</w:t>
      </w:r>
      <w:r w:rsidR="008D3B88" w:rsidRPr="00542EB9">
        <w:rPr>
          <w:noProof/>
        </w:rPr>
        <w:t xml:space="preserve"> study supporting </w:t>
      </w:r>
      <w:r w:rsidR="0022110C" w:rsidRPr="00542EB9">
        <w:rPr>
          <w:noProof/>
        </w:rPr>
        <w:t xml:space="preserve">Customs programme’s </w:t>
      </w:r>
      <w:r w:rsidR="00745B6F" w:rsidRPr="00542EB9">
        <w:rPr>
          <w:noProof/>
        </w:rPr>
        <w:t>interim evaluation</w:t>
      </w:r>
      <w:r w:rsidR="00745B6F" w:rsidRPr="00542EB9">
        <w:rPr>
          <w:rStyle w:val="FootnoteReference"/>
          <w:noProof/>
          <w:sz w:val="20"/>
          <w:szCs w:val="20"/>
        </w:rPr>
        <w:footnoteReference w:id="34"/>
      </w:r>
      <w:r w:rsidR="00745B6F" w:rsidRPr="00542EB9">
        <w:rPr>
          <w:noProof/>
        </w:rPr>
        <w:t xml:space="preserve">. </w:t>
      </w:r>
      <w:r w:rsidR="0022110C" w:rsidRPr="00542EB9">
        <w:rPr>
          <w:noProof/>
        </w:rPr>
        <w:t xml:space="preserve">  </w:t>
      </w:r>
    </w:p>
    <w:p w14:paraId="58BA688B" w14:textId="404A259D" w:rsidR="00875132" w:rsidRPr="00542EB9" w:rsidDel="002C1F8A" w:rsidRDefault="331A0EAD" w:rsidP="00875132">
      <w:pPr>
        <w:rPr>
          <w:noProof/>
        </w:rPr>
      </w:pPr>
      <w:r w:rsidRPr="00542EB9" w:rsidDel="002C1F8A">
        <w:rPr>
          <w:noProof/>
        </w:rPr>
        <w:t xml:space="preserve">Over the years, </w:t>
      </w:r>
      <w:r w:rsidRPr="00542EB9" w:rsidDel="002C1F8A">
        <w:rPr>
          <w:b/>
          <w:bCs/>
          <w:noProof/>
        </w:rPr>
        <w:t>t</w:t>
      </w:r>
      <w:r w:rsidR="5ADB3710" w:rsidRPr="00542EB9" w:rsidDel="002C1F8A">
        <w:rPr>
          <w:b/>
          <w:bCs/>
          <w:noProof/>
        </w:rPr>
        <w:t>axation</w:t>
      </w:r>
      <w:r w:rsidR="5ADB3710" w:rsidRPr="00542EB9" w:rsidDel="002C1F8A">
        <w:rPr>
          <w:noProof/>
        </w:rPr>
        <w:t xml:space="preserve"> </w:t>
      </w:r>
      <w:r w:rsidRPr="00542EB9" w:rsidDel="002C1F8A">
        <w:rPr>
          <w:b/>
          <w:bCs/>
          <w:noProof/>
        </w:rPr>
        <w:t>remained</w:t>
      </w:r>
      <w:r w:rsidR="5ADB3710" w:rsidRPr="00542EB9" w:rsidDel="002C1F8A">
        <w:rPr>
          <w:b/>
          <w:bCs/>
          <w:noProof/>
        </w:rPr>
        <w:t xml:space="preserve"> a major source of revenue for Member States’ budgets</w:t>
      </w:r>
      <w:r w:rsidR="277474D9" w:rsidRPr="00542EB9" w:rsidDel="002C1F8A">
        <w:rPr>
          <w:b/>
          <w:bCs/>
          <w:noProof/>
        </w:rPr>
        <w:t>.</w:t>
      </w:r>
      <w:r w:rsidR="5ADB3710" w:rsidRPr="00542EB9" w:rsidDel="002C1F8A">
        <w:rPr>
          <w:b/>
          <w:bCs/>
          <w:noProof/>
        </w:rPr>
        <w:t xml:space="preserve"> </w:t>
      </w:r>
      <w:r w:rsidR="277474D9" w:rsidRPr="00542EB9" w:rsidDel="002C1F8A">
        <w:rPr>
          <w:b/>
          <w:bCs/>
          <w:noProof/>
        </w:rPr>
        <w:t>H</w:t>
      </w:r>
      <w:r w:rsidR="5ADB3710" w:rsidRPr="00542EB9" w:rsidDel="002C1F8A">
        <w:rPr>
          <w:b/>
          <w:bCs/>
          <w:noProof/>
        </w:rPr>
        <w:t xml:space="preserve">owever, </w:t>
      </w:r>
      <w:r w:rsidR="78D7D47A" w:rsidRPr="00542EB9" w:rsidDel="002C1F8A">
        <w:rPr>
          <w:b/>
          <w:bCs/>
          <w:noProof/>
        </w:rPr>
        <w:t>the</w:t>
      </w:r>
      <w:r w:rsidR="5ADB3710" w:rsidRPr="00542EB9" w:rsidDel="002C1F8A">
        <w:rPr>
          <w:b/>
          <w:bCs/>
          <w:noProof/>
        </w:rPr>
        <w:t xml:space="preserve"> </w:t>
      </w:r>
      <w:r w:rsidR="09840707" w:rsidRPr="00542EB9" w:rsidDel="002C1F8A">
        <w:rPr>
          <w:b/>
          <w:bCs/>
          <w:noProof/>
        </w:rPr>
        <w:t>rapid</w:t>
      </w:r>
      <w:r w:rsidR="011E4BAB" w:rsidRPr="00542EB9" w:rsidDel="002C1F8A">
        <w:rPr>
          <w:b/>
          <w:bCs/>
          <w:noProof/>
        </w:rPr>
        <w:t>ly</w:t>
      </w:r>
      <w:r w:rsidR="09840707" w:rsidRPr="00542EB9" w:rsidDel="002C1F8A">
        <w:rPr>
          <w:b/>
          <w:bCs/>
          <w:noProof/>
        </w:rPr>
        <w:t xml:space="preserve"> expanding </w:t>
      </w:r>
      <w:r w:rsidR="5ADB3710" w:rsidRPr="00542EB9" w:rsidDel="002C1F8A">
        <w:rPr>
          <w:b/>
          <w:bCs/>
          <w:noProof/>
        </w:rPr>
        <w:t>digitalisation of the economy poses challenges to tax authorities and economic operators</w:t>
      </w:r>
      <w:r w:rsidR="011E4BAB" w:rsidRPr="00542EB9" w:rsidDel="002C1F8A">
        <w:rPr>
          <w:noProof/>
        </w:rPr>
        <w:t>. T</w:t>
      </w:r>
      <w:r w:rsidR="5ADB3710" w:rsidRPr="00542EB9" w:rsidDel="002C1F8A">
        <w:rPr>
          <w:noProof/>
        </w:rPr>
        <w:t>he emergence of new business models and the increasing amount of data with which tax authorities and economic operators need to deal</w:t>
      </w:r>
      <w:r w:rsidR="011E4BAB" w:rsidRPr="00542EB9" w:rsidDel="002C1F8A">
        <w:rPr>
          <w:noProof/>
        </w:rPr>
        <w:t xml:space="preserve"> </w:t>
      </w:r>
      <w:r w:rsidR="48DE2596" w:rsidRPr="00542EB9" w:rsidDel="002C1F8A">
        <w:rPr>
          <w:noProof/>
        </w:rPr>
        <w:t>require constant adjustments</w:t>
      </w:r>
      <w:r w:rsidR="5ADB3710" w:rsidRPr="00542EB9" w:rsidDel="002C1F8A">
        <w:rPr>
          <w:noProof/>
        </w:rPr>
        <w:t>. The European Parliament adopted a resolution</w:t>
      </w:r>
      <w:r w:rsidR="009F56B4" w:rsidRPr="00542EB9" w:rsidDel="002C1F8A">
        <w:rPr>
          <w:noProof/>
          <w:vertAlign w:val="superscript"/>
        </w:rPr>
        <w:footnoteReference w:id="35"/>
      </w:r>
      <w:r w:rsidR="5ADB3710" w:rsidRPr="00542EB9" w:rsidDel="002C1F8A">
        <w:rPr>
          <w:noProof/>
        </w:rPr>
        <w:t xml:space="preserve"> noting the potential of data and digital tools to reduce red tape and simplify various taxpayer obligations. </w:t>
      </w:r>
      <w:r w:rsidR="5C28626B" w:rsidRPr="00542EB9" w:rsidDel="002C1F8A">
        <w:rPr>
          <w:noProof/>
        </w:rPr>
        <w:t>Currently, taxpayers and economic operators are facing complex tax systems and high compliance costs which further contribute to tax gaps, tax fraud and tax evasion.</w:t>
      </w:r>
      <w:r w:rsidR="00875132" w:rsidRPr="00542EB9">
        <w:rPr>
          <w:noProof/>
        </w:rPr>
        <w:t xml:space="preserve"> Furthermore, t</w:t>
      </w:r>
      <w:r w:rsidR="00875132" w:rsidRPr="00542EB9" w:rsidDel="002C1F8A">
        <w:rPr>
          <w:noProof/>
        </w:rPr>
        <w:t>he single market and the freedoms forming its basis brought many new opportunities, not only for legitimate traders but also new possibilities for tax fraud and evasion arose. Member States partly addressed these newly used avenues, but the measures taken to fight tax fraud and evasion have had side effects, resulting in extra burdens and barriers, also for legitimate traders.</w:t>
      </w:r>
    </w:p>
    <w:p w14:paraId="14164008" w14:textId="06C4FE42" w:rsidR="009F56B4" w:rsidRPr="00542EB9" w:rsidRDefault="37B751AE" w:rsidP="00236EF8">
      <w:pPr>
        <w:rPr>
          <w:noProof/>
          <w:lang w:val="en-IE"/>
        </w:rPr>
      </w:pPr>
      <w:r w:rsidRPr="00542EB9" w:rsidDel="002C1F8A">
        <w:rPr>
          <w:b/>
          <w:bCs/>
          <w:noProof/>
        </w:rPr>
        <w:t xml:space="preserve">The surge in e-commerce is a clear challenge for the </w:t>
      </w:r>
      <w:r w:rsidR="005459CC" w:rsidRPr="00542EB9">
        <w:rPr>
          <w:b/>
          <w:bCs/>
          <w:noProof/>
        </w:rPr>
        <w:t>single market</w:t>
      </w:r>
      <w:r w:rsidR="00D3406B" w:rsidRPr="00542EB9">
        <w:rPr>
          <w:b/>
          <w:bCs/>
          <w:noProof/>
        </w:rPr>
        <w:t xml:space="preserve"> due to digitalisation</w:t>
      </w:r>
      <w:r w:rsidRPr="00542EB9" w:rsidDel="002C1F8A">
        <w:rPr>
          <w:noProof/>
        </w:rPr>
        <w:t xml:space="preserve">. </w:t>
      </w:r>
      <w:r w:rsidR="6D454C5D" w:rsidRPr="00542EB9" w:rsidDel="002C1F8A">
        <w:rPr>
          <w:noProof/>
        </w:rPr>
        <w:t xml:space="preserve">The </w:t>
      </w:r>
      <w:r w:rsidR="5ADB3710" w:rsidRPr="00542EB9" w:rsidDel="002C1F8A">
        <w:rPr>
          <w:noProof/>
        </w:rPr>
        <w:t>Commission adopted a Communication on e-commerce</w:t>
      </w:r>
      <w:r w:rsidR="009F56B4" w:rsidRPr="00542EB9" w:rsidDel="002C1F8A">
        <w:rPr>
          <w:noProof/>
          <w:sz w:val="20"/>
          <w:szCs w:val="20"/>
          <w:vertAlign w:val="superscript"/>
        </w:rPr>
        <w:footnoteReference w:id="36"/>
      </w:r>
      <w:r w:rsidR="5ADB3710" w:rsidRPr="00542EB9" w:rsidDel="002C1F8A">
        <w:rPr>
          <w:noProof/>
        </w:rPr>
        <w:t xml:space="preserve"> highlighting the need to address the challenges with e-commerce to ensure consumers and businesses benefit from competitive e-commerce</w:t>
      </w:r>
      <w:r w:rsidRPr="00542EB9" w:rsidDel="002C1F8A">
        <w:rPr>
          <w:noProof/>
        </w:rPr>
        <w:t>,</w:t>
      </w:r>
      <w:r w:rsidR="5ADB3710" w:rsidRPr="00542EB9" w:rsidDel="002C1F8A">
        <w:rPr>
          <w:noProof/>
        </w:rPr>
        <w:t xml:space="preserve"> based on effective customs and tax</w:t>
      </w:r>
      <w:r w:rsidR="5ADB3710" w:rsidRPr="00542EB9" w:rsidDel="002C1F8A">
        <w:rPr>
          <w:b/>
          <w:bCs/>
          <w:noProof/>
        </w:rPr>
        <w:t> </w:t>
      </w:r>
      <w:r w:rsidR="5ADB3710" w:rsidRPr="00542EB9" w:rsidDel="002C1F8A">
        <w:rPr>
          <w:noProof/>
        </w:rPr>
        <w:t>policies.</w:t>
      </w:r>
      <w:r w:rsidR="5ADB3710" w:rsidRPr="00542EB9" w:rsidDel="002C1F8A">
        <w:rPr>
          <w:b/>
          <w:bCs/>
          <w:noProof/>
        </w:rPr>
        <w:t xml:space="preserve"> </w:t>
      </w:r>
      <w:r w:rsidR="007C094E" w:rsidRPr="00542EB9">
        <w:rPr>
          <w:noProof/>
        </w:rPr>
        <w:t xml:space="preserve">It </w:t>
      </w:r>
      <w:r w:rsidR="00FB4878" w:rsidRPr="00542EB9">
        <w:rPr>
          <w:noProof/>
        </w:rPr>
        <w:t xml:space="preserve">is directly related to </w:t>
      </w:r>
      <w:r w:rsidR="006559D4" w:rsidRPr="00542EB9">
        <w:rPr>
          <w:noProof/>
        </w:rPr>
        <w:t xml:space="preserve">increasing complementarities </w:t>
      </w:r>
      <w:r w:rsidR="00FB4878" w:rsidRPr="00542EB9">
        <w:rPr>
          <w:noProof/>
        </w:rPr>
        <w:t xml:space="preserve">between </w:t>
      </w:r>
      <w:r w:rsidR="00413EB8" w:rsidRPr="00542EB9">
        <w:rPr>
          <w:noProof/>
        </w:rPr>
        <w:t xml:space="preserve">various national </w:t>
      </w:r>
      <w:r w:rsidR="006559D4" w:rsidRPr="00542EB9">
        <w:rPr>
          <w:noProof/>
        </w:rPr>
        <w:t>administrations</w:t>
      </w:r>
      <w:r w:rsidR="00773549" w:rsidRPr="00542EB9">
        <w:rPr>
          <w:noProof/>
        </w:rPr>
        <w:t xml:space="preserve"> and</w:t>
      </w:r>
      <w:r w:rsidR="005116C8" w:rsidRPr="00542EB9">
        <w:rPr>
          <w:noProof/>
        </w:rPr>
        <w:t xml:space="preserve"> </w:t>
      </w:r>
      <w:r w:rsidR="00B43D41" w:rsidRPr="00542EB9">
        <w:rPr>
          <w:noProof/>
          <w:lang w:val="en-IE"/>
        </w:rPr>
        <w:t xml:space="preserve">to better coordinate national </w:t>
      </w:r>
      <w:r w:rsidR="00341B2B" w:rsidRPr="00542EB9">
        <w:rPr>
          <w:noProof/>
          <w:lang w:val="en-IE"/>
        </w:rPr>
        <w:t>m</w:t>
      </w:r>
      <w:r w:rsidR="00B43D41" w:rsidRPr="00542EB9">
        <w:rPr>
          <w:noProof/>
          <w:lang w:val="en-IE"/>
        </w:rPr>
        <w:t xml:space="preserve">arket </w:t>
      </w:r>
      <w:r w:rsidR="00341B2B" w:rsidRPr="00542EB9">
        <w:rPr>
          <w:noProof/>
          <w:lang w:val="en-IE"/>
        </w:rPr>
        <w:t>s</w:t>
      </w:r>
      <w:r w:rsidR="00B43D41" w:rsidRPr="00542EB9">
        <w:rPr>
          <w:noProof/>
          <w:lang w:val="en-IE"/>
        </w:rPr>
        <w:t xml:space="preserve">urveillance </w:t>
      </w:r>
      <w:r w:rsidR="00341B2B" w:rsidRPr="00542EB9">
        <w:rPr>
          <w:noProof/>
          <w:lang w:val="en-IE"/>
        </w:rPr>
        <w:t>a</w:t>
      </w:r>
      <w:r w:rsidR="00B43D41" w:rsidRPr="00542EB9">
        <w:rPr>
          <w:noProof/>
          <w:lang w:val="en-IE"/>
        </w:rPr>
        <w:t xml:space="preserve">uthorities </w:t>
      </w:r>
      <w:r w:rsidR="002F3414" w:rsidRPr="00542EB9">
        <w:rPr>
          <w:noProof/>
          <w:lang w:val="en-IE"/>
        </w:rPr>
        <w:t xml:space="preserve">and </w:t>
      </w:r>
      <w:r w:rsidR="00B43D41" w:rsidRPr="00542EB9">
        <w:rPr>
          <w:noProof/>
          <w:lang w:val="en-IE"/>
        </w:rPr>
        <w:t>potentially combine EU level market surveillance powers with</w:t>
      </w:r>
      <w:r w:rsidR="005116C8" w:rsidRPr="00542EB9">
        <w:rPr>
          <w:noProof/>
          <w:lang w:val="en-IE"/>
        </w:rPr>
        <w:t xml:space="preserve"> </w:t>
      </w:r>
      <w:r w:rsidR="00B43D41" w:rsidRPr="00542EB9">
        <w:rPr>
          <w:noProof/>
          <w:lang w:val="en-IE"/>
        </w:rPr>
        <w:t xml:space="preserve">the EU </w:t>
      </w:r>
      <w:r w:rsidR="002F3414" w:rsidRPr="00542EB9">
        <w:rPr>
          <w:noProof/>
          <w:lang w:val="en-IE"/>
        </w:rPr>
        <w:t>c</w:t>
      </w:r>
      <w:r w:rsidR="00B43D41" w:rsidRPr="00542EB9">
        <w:rPr>
          <w:noProof/>
          <w:lang w:val="en-IE"/>
        </w:rPr>
        <w:t xml:space="preserve">ustoms </w:t>
      </w:r>
      <w:r w:rsidR="002F3414" w:rsidRPr="00542EB9">
        <w:rPr>
          <w:noProof/>
          <w:lang w:val="en-IE"/>
        </w:rPr>
        <w:t>a</w:t>
      </w:r>
      <w:r w:rsidR="00B43D41" w:rsidRPr="00542EB9">
        <w:rPr>
          <w:noProof/>
          <w:lang w:val="en-IE"/>
        </w:rPr>
        <w:t>uthorit</w:t>
      </w:r>
      <w:r w:rsidR="00884198" w:rsidRPr="00542EB9">
        <w:rPr>
          <w:noProof/>
          <w:lang w:val="en-IE"/>
        </w:rPr>
        <w:t>ies</w:t>
      </w:r>
      <w:r w:rsidR="00236EF8" w:rsidRPr="00542EB9">
        <w:rPr>
          <w:rStyle w:val="FootnoteReference"/>
          <w:noProof/>
          <w:lang w:val="en-IE"/>
        </w:rPr>
        <w:footnoteReference w:id="37"/>
      </w:r>
      <w:r w:rsidR="00B43D41" w:rsidRPr="00542EB9">
        <w:rPr>
          <w:noProof/>
          <w:lang w:val="en-IE"/>
        </w:rPr>
        <w:t>.</w:t>
      </w:r>
    </w:p>
    <w:p w14:paraId="383FBFDE" w14:textId="28D3AD4F" w:rsidR="00F07F84" w:rsidRPr="00542EB9" w:rsidRDefault="61508BA9" w:rsidP="00306B02">
      <w:pPr>
        <w:pStyle w:val="Heading4"/>
        <w:rPr>
          <w:noProof/>
        </w:rPr>
      </w:pPr>
      <w:r w:rsidRPr="00542EB9">
        <w:rPr>
          <w:noProof/>
        </w:rPr>
        <w:t xml:space="preserve"> </w:t>
      </w:r>
      <w:r w:rsidR="7FED1552" w:rsidRPr="00542EB9">
        <w:rPr>
          <w:noProof/>
        </w:rPr>
        <w:t>Lessons learnt from previous programmes</w:t>
      </w:r>
    </w:p>
    <w:p w14:paraId="10E03ACE" w14:textId="7ABDD750" w:rsidR="006B2B51" w:rsidRPr="00542EB9" w:rsidRDefault="23730025" w:rsidP="00F07F84">
      <w:pPr>
        <w:rPr>
          <w:noProof/>
        </w:rPr>
      </w:pPr>
      <w:r w:rsidRPr="00542EB9">
        <w:rPr>
          <w:noProof/>
        </w:rPr>
        <w:t xml:space="preserve">There is a </w:t>
      </w:r>
      <w:r w:rsidRPr="00542EB9">
        <w:rPr>
          <w:b/>
          <w:bCs/>
          <w:noProof/>
        </w:rPr>
        <w:t>need for information</w:t>
      </w:r>
      <w:r w:rsidRPr="00542EB9">
        <w:rPr>
          <w:noProof/>
        </w:rPr>
        <w:t xml:space="preserve"> evidenced during the interim evaluation of the SMP by the effectiveness and level of use of digital information tools (Your Europe, Your Europe Advice (YEA)) and services. The Your Europe portal has seen improvements in functionality and user engagement since 2021 has remained high. In 2023</w:t>
      </w:r>
      <w:r w:rsidR="0017763E" w:rsidRPr="00542EB9">
        <w:rPr>
          <w:noProof/>
        </w:rPr>
        <w:t>,</w:t>
      </w:r>
      <w:r w:rsidRPr="00542EB9">
        <w:rPr>
          <w:noProof/>
        </w:rPr>
        <w:t xml:space="preserve"> it was the most visited EU website with 32 million</w:t>
      </w:r>
      <w:r w:rsidR="00F07F84" w:rsidRPr="00542EB9">
        <w:rPr>
          <w:noProof/>
          <w:vertAlign w:val="superscript"/>
        </w:rPr>
        <w:footnoteReference w:id="38"/>
      </w:r>
      <w:r w:rsidRPr="00542EB9">
        <w:rPr>
          <w:noProof/>
        </w:rPr>
        <w:t xml:space="preserve"> visitors. </w:t>
      </w:r>
      <w:r w:rsidR="0080320D" w:rsidRPr="00542EB9">
        <w:rPr>
          <w:noProof/>
        </w:rPr>
        <w:t>T</w:t>
      </w:r>
      <w:r w:rsidRPr="00542EB9">
        <w:rPr>
          <w:noProof/>
        </w:rPr>
        <w:t>he Your Europe Advice (YEA) service handled</w:t>
      </w:r>
      <w:r w:rsidR="006B2B51" w:rsidRPr="00542EB9">
        <w:rPr>
          <w:noProof/>
        </w:rPr>
        <w:t xml:space="preserve"> up to</w:t>
      </w:r>
      <w:r w:rsidRPr="00542EB9">
        <w:rPr>
          <w:noProof/>
        </w:rPr>
        <w:t xml:space="preserve"> 25 560 </w:t>
      </w:r>
      <w:r w:rsidR="006B2B51" w:rsidRPr="00542EB9">
        <w:rPr>
          <w:noProof/>
        </w:rPr>
        <w:t xml:space="preserve">queries </w:t>
      </w:r>
      <w:r w:rsidRPr="00542EB9">
        <w:rPr>
          <w:noProof/>
        </w:rPr>
        <w:t>in 2023</w:t>
      </w:r>
      <w:r w:rsidR="006B2B51" w:rsidRPr="00542EB9">
        <w:rPr>
          <w:rStyle w:val="FootnoteReference"/>
          <w:noProof/>
        </w:rPr>
        <w:footnoteReference w:id="39"/>
      </w:r>
      <w:r w:rsidR="006B2B51" w:rsidRPr="00542EB9">
        <w:rPr>
          <w:noProof/>
        </w:rPr>
        <w:t>.</w:t>
      </w:r>
      <w:r w:rsidRPr="00542EB9">
        <w:rPr>
          <w:noProof/>
        </w:rPr>
        <w:t xml:space="preserve"> The Internal Market Information System (IMI) has further supported the exchange of information on rules of operating of the single market between public authorities. Information exchanges rose from 81,980 in 2021 to 112,550 in 2023</w:t>
      </w:r>
      <w:r w:rsidR="00F07F84" w:rsidRPr="00542EB9">
        <w:rPr>
          <w:noProof/>
          <w:sz w:val="20"/>
          <w:szCs w:val="20"/>
          <w:vertAlign w:val="superscript"/>
        </w:rPr>
        <w:footnoteReference w:id="40"/>
      </w:r>
      <w:r w:rsidRPr="00542EB9">
        <w:rPr>
          <w:noProof/>
        </w:rPr>
        <w:t xml:space="preserve">. Additional financing support was deemed as to ensure the capacity of the Commission to finance the improvement of digital information tools and services. </w:t>
      </w:r>
      <w:r w:rsidR="001C6FD1" w:rsidRPr="00542EB9">
        <w:rPr>
          <w:noProof/>
        </w:rPr>
        <w:t>M</w:t>
      </w:r>
      <w:r w:rsidRPr="00542EB9">
        <w:rPr>
          <w:noProof/>
        </w:rPr>
        <w:t xml:space="preserve">ore frequent feedback collection from users of certain IT services (EU Taxonomy Compass) financed </w:t>
      </w:r>
      <w:r w:rsidR="009C2103" w:rsidRPr="00542EB9">
        <w:rPr>
          <w:noProof/>
        </w:rPr>
        <w:t>c</w:t>
      </w:r>
      <w:r w:rsidRPr="00542EB9">
        <w:rPr>
          <w:noProof/>
        </w:rPr>
        <w:t xml:space="preserve">ould help monitor user satisfaction and improve service delivery. </w:t>
      </w:r>
    </w:p>
    <w:p w14:paraId="00B08C5B" w14:textId="62F78E9E" w:rsidR="00F07F84" w:rsidRPr="00542EB9" w:rsidRDefault="006928AC" w:rsidP="00F07F84">
      <w:pPr>
        <w:rPr>
          <w:noProof/>
        </w:rPr>
      </w:pPr>
      <w:r w:rsidRPr="00542EB9">
        <w:rPr>
          <w:noProof/>
        </w:rPr>
        <w:t>Moreover</w:t>
      </w:r>
      <w:r w:rsidR="001C6FD1" w:rsidRPr="00542EB9">
        <w:rPr>
          <w:noProof/>
        </w:rPr>
        <w:t xml:space="preserve">, </w:t>
      </w:r>
      <w:r w:rsidR="001C6FD1" w:rsidRPr="00542EB9">
        <w:rPr>
          <w:rFonts w:eastAsia="Calibri"/>
          <w:noProof/>
        </w:rPr>
        <w:t>m</w:t>
      </w:r>
      <w:r w:rsidR="23730025" w:rsidRPr="00542EB9">
        <w:rPr>
          <w:rFonts w:eastAsia="Calibri"/>
          <w:noProof/>
        </w:rPr>
        <w:t xml:space="preserve">oney laundering can undermine the integrity of financial systems as well as facilitate </w:t>
      </w:r>
      <w:r w:rsidR="006B3E4E" w:rsidRPr="00542EB9">
        <w:rPr>
          <w:rFonts w:eastAsia="Calibri"/>
          <w:noProof/>
        </w:rPr>
        <w:t xml:space="preserve">financing of </w:t>
      </w:r>
      <w:r w:rsidR="23730025" w:rsidRPr="00542EB9">
        <w:rPr>
          <w:rFonts w:eastAsia="Calibri"/>
          <w:noProof/>
        </w:rPr>
        <w:t>terrorist</w:t>
      </w:r>
      <w:r w:rsidR="000E5E93" w:rsidRPr="00542EB9">
        <w:rPr>
          <w:rFonts w:eastAsia="Calibri"/>
          <w:noProof/>
        </w:rPr>
        <w:t xml:space="preserve"> and/or extremist</w:t>
      </w:r>
      <w:r w:rsidR="23730025" w:rsidRPr="00542EB9">
        <w:rPr>
          <w:rFonts w:eastAsia="Calibri"/>
          <w:noProof/>
        </w:rPr>
        <w:t xml:space="preserve"> </w:t>
      </w:r>
      <w:r w:rsidR="006B3E4E" w:rsidRPr="00542EB9">
        <w:rPr>
          <w:rFonts w:eastAsia="Calibri"/>
          <w:noProof/>
        </w:rPr>
        <w:t>actions</w:t>
      </w:r>
      <w:r w:rsidR="23730025" w:rsidRPr="00542EB9">
        <w:rPr>
          <w:rFonts w:eastAsia="Calibri"/>
          <w:noProof/>
        </w:rPr>
        <w:t>. The Beneficial ownership Register Interconnection systems (BORIS) and the forthcoming bank Account Register Interconnection System (BARIS) are important IT tools to facilitate the flow of information for Member States’ anti-money laundering efforts and to counter terrorist financing.</w:t>
      </w:r>
    </w:p>
    <w:p w14:paraId="10053755" w14:textId="71BEE5F1" w:rsidR="00F07F84" w:rsidRPr="00542EB9" w:rsidRDefault="00F07F84" w:rsidP="00F07F84">
      <w:pPr>
        <w:rPr>
          <w:rFonts w:eastAsia="Calibri"/>
          <w:noProof/>
        </w:rPr>
      </w:pPr>
      <w:r w:rsidRPr="00542EB9">
        <w:rPr>
          <w:noProof/>
        </w:rPr>
        <w:t xml:space="preserve">The Single Digital Gateway (SDG) serves as a one-stop-shop for citizens and businesses who want to work, study or do business in another EU country. </w:t>
      </w:r>
      <w:r w:rsidR="00B918FB" w:rsidRPr="00542EB9">
        <w:rPr>
          <w:noProof/>
        </w:rPr>
        <w:t>The interim evaluation of the SMP showed that s</w:t>
      </w:r>
      <w:r w:rsidRPr="00542EB9">
        <w:rPr>
          <w:noProof/>
        </w:rPr>
        <w:t xml:space="preserve">ignificant progress is still needed, notably for making procedures accessible to cross-border users. </w:t>
      </w:r>
    </w:p>
    <w:p w14:paraId="33287B2B" w14:textId="77777777" w:rsidR="00F07F84" w:rsidRPr="00542EB9" w:rsidRDefault="00F07F84" w:rsidP="00F07F84">
      <w:pPr>
        <w:rPr>
          <w:rFonts w:eastAsia="Times New Roman"/>
          <w:noProof/>
        </w:rPr>
      </w:pPr>
      <w:r w:rsidRPr="00542EB9">
        <w:rPr>
          <w:noProof/>
        </w:rPr>
        <w:t>COMPCases, a new public case search engine related to competition cases, simplifies case searches and the retrieval of related documents. The number of users has steadily increased since its launch in 2023 reaching 605,535 users in 2024. It is an essential tool to ensure transparency and accessibility for all stakeholders. Many different tools also enable the efficient and secure exchange of sensitive and confidential information with stakeholders in competition cases.</w:t>
      </w:r>
      <w:r w:rsidRPr="00542EB9">
        <w:rPr>
          <w:rFonts w:eastAsia="Times New Roman"/>
          <w:noProof/>
        </w:rPr>
        <w:t xml:space="preserve"> </w:t>
      </w:r>
    </w:p>
    <w:p w14:paraId="3309E3F2" w14:textId="23F5D4EF" w:rsidR="00F07F84" w:rsidRPr="00542EB9" w:rsidRDefault="00F07F84" w:rsidP="00306B02">
      <w:pPr>
        <w:spacing w:line="228" w:lineRule="auto"/>
        <w:rPr>
          <w:noProof/>
        </w:rPr>
      </w:pPr>
      <w:r w:rsidRPr="00542EB9">
        <w:rPr>
          <w:noProof/>
        </w:rPr>
        <w:t>The E</w:t>
      </w:r>
      <w:r w:rsidR="00E0469A" w:rsidRPr="00542EB9">
        <w:rPr>
          <w:noProof/>
        </w:rPr>
        <w:t xml:space="preserve">uropean </w:t>
      </w:r>
      <w:r w:rsidRPr="00542EB9">
        <w:rPr>
          <w:noProof/>
        </w:rPr>
        <w:t>C</w:t>
      </w:r>
      <w:r w:rsidR="00E0469A" w:rsidRPr="00542EB9">
        <w:rPr>
          <w:noProof/>
        </w:rPr>
        <w:t>onsumer</w:t>
      </w:r>
      <w:r w:rsidR="001E30BF" w:rsidRPr="00542EB9">
        <w:rPr>
          <w:noProof/>
        </w:rPr>
        <w:t xml:space="preserve">s </w:t>
      </w:r>
      <w:r w:rsidRPr="00542EB9">
        <w:rPr>
          <w:noProof/>
        </w:rPr>
        <w:t>C</w:t>
      </w:r>
      <w:r w:rsidR="001E30BF" w:rsidRPr="00542EB9">
        <w:rPr>
          <w:noProof/>
        </w:rPr>
        <w:t>entres</w:t>
      </w:r>
      <w:r w:rsidRPr="00542EB9">
        <w:rPr>
          <w:noProof/>
        </w:rPr>
        <w:t xml:space="preserve"> and A</w:t>
      </w:r>
      <w:r w:rsidR="001E30BF" w:rsidRPr="00542EB9">
        <w:rPr>
          <w:noProof/>
        </w:rPr>
        <w:t xml:space="preserve">lternative </w:t>
      </w:r>
      <w:r w:rsidRPr="00542EB9">
        <w:rPr>
          <w:noProof/>
        </w:rPr>
        <w:t>D</w:t>
      </w:r>
      <w:r w:rsidR="001E30BF" w:rsidRPr="00542EB9">
        <w:rPr>
          <w:noProof/>
        </w:rPr>
        <w:t xml:space="preserve">ispute </w:t>
      </w:r>
      <w:r w:rsidRPr="00542EB9">
        <w:rPr>
          <w:noProof/>
        </w:rPr>
        <w:t>R</w:t>
      </w:r>
      <w:r w:rsidR="001E30BF" w:rsidRPr="00542EB9">
        <w:rPr>
          <w:noProof/>
        </w:rPr>
        <w:t>esolution</w:t>
      </w:r>
      <w:r w:rsidRPr="00542EB9">
        <w:rPr>
          <w:noProof/>
        </w:rPr>
        <w:t xml:space="preserve"> bodies assist consumers in cross-border transactions by providing free information and advice on their rights and help them in resolving cross-border consumer complaints and obtaining access to appropriate dispute resolution</w:t>
      </w:r>
      <w:r w:rsidR="00471640" w:rsidRPr="00542EB9">
        <w:rPr>
          <w:rStyle w:val="FootnoteReference"/>
          <w:noProof/>
        </w:rPr>
        <w:footnoteReference w:id="41"/>
      </w:r>
      <w:r w:rsidRPr="00542EB9">
        <w:rPr>
          <w:noProof/>
        </w:rPr>
        <w:t xml:space="preserve">. The SMP interim evaluation showed it is crucial </w:t>
      </w:r>
      <w:r w:rsidR="00EC1F35" w:rsidRPr="00542EB9">
        <w:rPr>
          <w:noProof/>
        </w:rPr>
        <w:t xml:space="preserve">to </w:t>
      </w:r>
      <w:r w:rsidRPr="00542EB9">
        <w:rPr>
          <w:noProof/>
        </w:rPr>
        <w:t>continue focus</w:t>
      </w:r>
      <w:r w:rsidR="00EC1F35" w:rsidRPr="00542EB9">
        <w:rPr>
          <w:noProof/>
        </w:rPr>
        <w:t>ing</w:t>
      </w:r>
      <w:r w:rsidRPr="00542EB9">
        <w:rPr>
          <w:noProof/>
        </w:rPr>
        <w:t xml:space="preserve"> on raising consumer education and awareness, especially in countries where evidence suggests gaps, with specific emphasis on financial literacy and digital rights. It is also key to improve the visibility of ECCs, which vary across Member States, as their role will expand with the update of the Alternative Dispute Resolution Directive, making them crucial contact points for cross-border consumer disputes</w:t>
      </w:r>
      <w:r w:rsidR="322F16BC" w:rsidRPr="00542EB9">
        <w:rPr>
          <w:noProof/>
        </w:rPr>
        <w:t xml:space="preserve"> and to continue</w:t>
      </w:r>
      <w:r w:rsidR="009155FE" w:rsidRPr="00542EB9">
        <w:rPr>
          <w:noProof/>
        </w:rPr>
        <w:t xml:space="preserve"> </w:t>
      </w:r>
      <w:r w:rsidRPr="00542EB9">
        <w:rPr>
          <w:noProof/>
        </w:rPr>
        <w:t xml:space="preserve">to raise awareness </w:t>
      </w:r>
      <w:r w:rsidR="111012E5" w:rsidRPr="00542EB9">
        <w:rPr>
          <w:noProof/>
        </w:rPr>
        <w:t>on</w:t>
      </w:r>
      <w:r w:rsidRPr="00542EB9">
        <w:rPr>
          <w:noProof/>
        </w:rPr>
        <w:t xml:space="preserve"> aspects of the financial services that affect consumers in their day-to-day life</w:t>
      </w:r>
      <w:r w:rsidR="48BDE4C9" w:rsidRPr="00542EB9">
        <w:rPr>
          <w:noProof/>
        </w:rPr>
        <w:t xml:space="preserve"> (e.g.</w:t>
      </w:r>
      <w:r w:rsidRPr="00542EB9">
        <w:rPr>
          <w:noProof/>
        </w:rPr>
        <w:t xml:space="preserve"> the increase of digitalisation and digital finance or savings and financial planning through retail investments</w:t>
      </w:r>
      <w:r w:rsidR="0A87C2FA" w:rsidRPr="00542EB9">
        <w:rPr>
          <w:noProof/>
        </w:rPr>
        <w:t>)</w:t>
      </w:r>
      <w:r w:rsidRPr="00542EB9">
        <w:rPr>
          <w:noProof/>
        </w:rPr>
        <w:t xml:space="preserve">.  </w:t>
      </w:r>
    </w:p>
    <w:p w14:paraId="1D7A8967" w14:textId="77777777" w:rsidR="00F07F84" w:rsidRPr="00542EB9" w:rsidRDefault="00F07F84" w:rsidP="00F07F84">
      <w:pPr>
        <w:rPr>
          <w:noProof/>
        </w:rPr>
      </w:pPr>
      <w:r w:rsidRPr="00542EB9">
        <w:rPr>
          <w:noProof/>
        </w:rPr>
        <w:t xml:space="preserve">Businesses perceive the </w:t>
      </w:r>
      <w:r w:rsidRPr="00542EB9">
        <w:rPr>
          <w:b/>
          <w:bCs/>
          <w:noProof/>
        </w:rPr>
        <w:t>regulatory burden</w:t>
      </w:r>
      <w:r w:rsidRPr="00542EB9">
        <w:rPr>
          <w:noProof/>
        </w:rPr>
        <w:t xml:space="preserve"> in Europe as too heavy, with 32% of EU firms identifying regulations as a “major obstacle” to their investment activity. An additional 34% of EU companies see regulation as a minor obstacle, meaning that in total two thirds of companies consider being hindered from investing by excessive regulation.</w:t>
      </w:r>
    </w:p>
    <w:p w14:paraId="00F60562" w14:textId="15CEF886" w:rsidR="00F07F84" w:rsidRPr="00542EB9" w:rsidRDefault="00F07F84" w:rsidP="00F07F84">
      <w:pPr>
        <w:rPr>
          <w:noProof/>
        </w:rPr>
      </w:pPr>
      <w:r w:rsidRPr="00542EB9">
        <w:rPr>
          <w:noProof/>
        </w:rPr>
        <w:t xml:space="preserve">Information and education to </w:t>
      </w:r>
      <w:r w:rsidRPr="00542EB9">
        <w:rPr>
          <w:b/>
          <w:bCs/>
          <w:noProof/>
        </w:rPr>
        <w:t>consumers</w:t>
      </w:r>
      <w:r w:rsidRPr="00542EB9">
        <w:rPr>
          <w:noProof/>
        </w:rPr>
        <w:t xml:space="preserve">, sustainable production and consumption initiatives through information campaigns, Commission’s websites, digital tools, meetings and training. In this respect, improving digital tools and advanced infrastructure is essential, with further integration of IT platforms support implementation efforts and should improve data efficiency and availability in order to make informed decisions and analysis. </w:t>
      </w:r>
    </w:p>
    <w:p w14:paraId="79392AF8" w14:textId="3D2406E5" w:rsidR="00F07F84" w:rsidRPr="00542EB9" w:rsidRDefault="00F07F84" w:rsidP="00F07F84">
      <w:pPr>
        <w:spacing w:before="239" w:after="0" w:line="228" w:lineRule="auto"/>
        <w:ind w:right="-27"/>
        <w:rPr>
          <w:rFonts w:eastAsia="Times New Roman"/>
          <w:noProof/>
          <w:sz w:val="22"/>
          <w:szCs w:val="22"/>
        </w:rPr>
      </w:pPr>
      <w:r w:rsidRPr="00542EB9">
        <w:rPr>
          <w:noProof/>
        </w:rPr>
        <w:t xml:space="preserve">Eurostat provides and communicates </w:t>
      </w:r>
      <w:r w:rsidRPr="00542EB9">
        <w:rPr>
          <w:b/>
          <w:bCs/>
          <w:noProof/>
        </w:rPr>
        <w:t>European statistics</w:t>
      </w:r>
      <w:r w:rsidRPr="00542EB9">
        <w:rPr>
          <w:noProof/>
        </w:rPr>
        <w:t xml:space="preserve"> by offering European official statistics available in the Eurostat database, publications, podcasts, news articles and releases and numerous other dissemination products freely accessible on the Eurostat website and its social media channels as well as Eurostat user support. </w:t>
      </w:r>
      <w:r w:rsidRPr="00542EB9">
        <w:rPr>
          <w:rFonts w:eastAsia="Times New Roman"/>
          <w:noProof/>
        </w:rPr>
        <w:t xml:space="preserve">The growing interest in Eurostat’s statistical products and services among policymakers, media, researchers and citizens underlines the key role of European statistics in supporting evidence-based policy and decision making, informing the public debate and </w:t>
      </w:r>
      <w:r w:rsidR="00BD6D6D" w:rsidRPr="00542EB9">
        <w:rPr>
          <w:rFonts w:eastAsia="Times New Roman"/>
          <w:noProof/>
        </w:rPr>
        <w:t xml:space="preserve">fighting </w:t>
      </w:r>
      <w:r w:rsidR="00BD6D6D">
        <w:rPr>
          <w:rFonts w:eastAsia="Times New Roman"/>
          <w:noProof/>
        </w:rPr>
        <w:t xml:space="preserve">foreign information manipulation and </w:t>
      </w:r>
      <w:r w:rsidRPr="00542EB9">
        <w:rPr>
          <w:rFonts w:eastAsia="Times New Roman"/>
          <w:noProof/>
        </w:rPr>
        <w:t xml:space="preserve">disinformation. There is a need to continue investing in new technologies and innovative data sources, expanding data coverage and granularity, to enhance timely statistical production and dissemination. </w:t>
      </w:r>
    </w:p>
    <w:p w14:paraId="213274A7" w14:textId="2B211037" w:rsidR="00F07F84" w:rsidRPr="00542EB9" w:rsidRDefault="23730025" w:rsidP="00306B02">
      <w:pPr>
        <w:spacing w:before="240" w:after="0" w:line="228" w:lineRule="auto"/>
        <w:rPr>
          <w:rFonts w:eastAsia="Calibri"/>
          <w:noProof/>
        </w:rPr>
      </w:pPr>
      <w:r w:rsidRPr="00542EB9">
        <w:rPr>
          <w:rFonts w:eastAsia="Calibri"/>
          <w:noProof/>
        </w:rPr>
        <w:t xml:space="preserve">The Customs and Fiscalis programmes target the </w:t>
      </w:r>
      <w:r w:rsidRPr="00542EB9">
        <w:rPr>
          <w:rFonts w:eastAsia="Calibri"/>
          <w:b/>
          <w:bCs/>
          <w:noProof/>
        </w:rPr>
        <w:t>customs and tax</w:t>
      </w:r>
      <w:r w:rsidRPr="00542EB9">
        <w:rPr>
          <w:rFonts w:eastAsia="Calibri"/>
          <w:noProof/>
        </w:rPr>
        <w:t xml:space="preserve"> authorities in the Member States</w:t>
      </w:r>
      <w:r w:rsidR="43EF8E22" w:rsidRPr="00542EB9">
        <w:rPr>
          <w:rFonts w:eastAsia="Calibri"/>
          <w:noProof/>
        </w:rPr>
        <w:t xml:space="preserve"> (and programme participating countries more broadly)</w:t>
      </w:r>
      <w:r w:rsidRPr="00542EB9">
        <w:rPr>
          <w:rFonts w:eastAsia="Calibri"/>
          <w:noProof/>
        </w:rPr>
        <w:t xml:space="preserve"> as primary beneficiaries. In that sense, citizens, consumers, economic operators and businesses benefit mainly indirectly from these programmes. In particular, the final evaluation of the Customs 2020 programme revealed that economic operators see the need to benefit from EU funding opportunities in the domain of customs targeted to non-state stakeholders. The feedback received from non-state stakeholders who benefited from specific e-learning modules</w:t>
      </w:r>
      <w:r w:rsidR="00F07F84" w:rsidRPr="00542EB9">
        <w:rPr>
          <w:rFonts w:eastAsia="Calibri"/>
          <w:noProof/>
          <w:sz w:val="20"/>
          <w:szCs w:val="20"/>
          <w:vertAlign w:val="superscript"/>
        </w:rPr>
        <w:footnoteReference w:id="42"/>
      </w:r>
      <w:r w:rsidRPr="00542EB9">
        <w:rPr>
          <w:rFonts w:eastAsia="Calibri"/>
          <w:noProof/>
          <w:vertAlign w:val="superscript"/>
        </w:rPr>
        <w:t xml:space="preserve"> </w:t>
      </w:r>
      <w:r w:rsidRPr="00542EB9">
        <w:rPr>
          <w:rFonts w:eastAsia="Calibri"/>
          <w:noProof/>
        </w:rPr>
        <w:t xml:space="preserve">developed under the Customs and Fiscalis programmes equally show that actions targeted to non-state parties are just as essential as supporting the national administrations and authorities in terms of achieving higher-level objectives linked with the Customs Union and taxation in the EU. </w:t>
      </w:r>
    </w:p>
    <w:p w14:paraId="27B1FE5D" w14:textId="6FE6703D" w:rsidR="00F07F84" w:rsidRPr="00542EB9" w:rsidRDefault="04B1202A" w:rsidP="00306B02">
      <w:pPr>
        <w:spacing w:before="240" w:after="0" w:line="228" w:lineRule="auto"/>
        <w:rPr>
          <w:rFonts w:eastAsia="Calibri"/>
          <w:noProof/>
        </w:rPr>
      </w:pPr>
      <w:r w:rsidRPr="00542EB9">
        <w:rPr>
          <w:rFonts w:eastAsia="Calibri"/>
          <w:noProof/>
        </w:rPr>
        <w:t xml:space="preserve">The portal </w:t>
      </w:r>
      <w:r w:rsidR="23730025" w:rsidRPr="00542EB9">
        <w:rPr>
          <w:rFonts w:eastAsia="Calibri"/>
          <w:noProof/>
        </w:rPr>
        <w:t>TaxEdu</w:t>
      </w:r>
      <w:r w:rsidR="00F07F84" w:rsidRPr="00542EB9">
        <w:rPr>
          <w:rFonts w:eastAsia="Calibri"/>
          <w:noProof/>
          <w:vertAlign w:val="superscript"/>
        </w:rPr>
        <w:footnoteReference w:id="43"/>
      </w:r>
      <w:r w:rsidR="23730025" w:rsidRPr="00542EB9">
        <w:rPr>
          <w:rFonts w:eastAsia="Calibri"/>
          <w:noProof/>
        </w:rPr>
        <w:t xml:space="preserve"> designed for kids, teenagers, and young adults is a speciali</w:t>
      </w:r>
      <w:r w:rsidR="43F11E36" w:rsidRPr="00542EB9">
        <w:rPr>
          <w:rFonts w:eastAsia="Calibri"/>
          <w:noProof/>
        </w:rPr>
        <w:t>s</w:t>
      </w:r>
      <w:r w:rsidR="23730025" w:rsidRPr="00542EB9">
        <w:rPr>
          <w:rFonts w:eastAsia="Calibri"/>
          <w:noProof/>
        </w:rPr>
        <w:t xml:space="preserve">ed educational platform to help taxation and educational authorities to introduce these age groups to the basics of taxation, personal finance, and financial literacy in a fun and engaging way. Feedback on the portal and the educational materials gathered show the need to target not only the authorities but also the citizens and other non-state stakeholders. </w:t>
      </w:r>
    </w:p>
    <w:p w14:paraId="72780B80" w14:textId="77777777" w:rsidR="00F07F84" w:rsidRPr="00542EB9" w:rsidRDefault="00F07F84" w:rsidP="00306B02">
      <w:pPr>
        <w:spacing w:before="240" w:after="0" w:line="228" w:lineRule="auto"/>
        <w:rPr>
          <w:rFonts w:eastAsia="Calibri"/>
          <w:noProof/>
          <w:kern w:val="2"/>
          <w14:ligatures w14:val="standardContextual"/>
        </w:rPr>
      </w:pPr>
      <w:r w:rsidRPr="00542EB9">
        <w:rPr>
          <w:rFonts w:eastAsia="Calibri"/>
          <w:noProof/>
        </w:rPr>
        <w:t xml:space="preserve">In addition, knowledge gaps filled by guidance produced with the support of the Fiscalis programme on the Central Electronic System of Payment information (CESOP) proved to be beneficial, as confirmed by various stakeholders, to facilitate the common understanding of the legal provisions. </w:t>
      </w:r>
    </w:p>
    <w:p w14:paraId="025E25EA" w14:textId="2F27083D" w:rsidR="00F07F84" w:rsidRPr="00542EB9" w:rsidRDefault="00F07F84" w:rsidP="00306B02">
      <w:pPr>
        <w:spacing w:before="240" w:after="0" w:line="228" w:lineRule="auto"/>
        <w:rPr>
          <w:rFonts w:ascii="Calibri" w:eastAsia="Calibri" w:hAnsi="Calibri"/>
          <w:noProof/>
          <w:kern w:val="2"/>
          <w:sz w:val="22"/>
          <w:szCs w:val="22"/>
          <w14:ligatures w14:val="standardContextual"/>
        </w:rPr>
      </w:pPr>
      <w:r w:rsidRPr="00542EB9">
        <w:rPr>
          <w:rFonts w:eastAsia="Calibri"/>
          <w:noProof/>
        </w:rPr>
        <w:t>Despite advances made in the move towards a paperless environment</w:t>
      </w:r>
      <w:r w:rsidRPr="00542EB9">
        <w:rPr>
          <w:rFonts w:eastAsia="Calibri"/>
          <w:noProof/>
          <w:kern w:val="2"/>
          <w:sz w:val="20"/>
          <w:szCs w:val="20"/>
          <w:vertAlign w:val="superscript"/>
          <w14:ligatures w14:val="standardContextual"/>
        </w:rPr>
        <w:footnoteReference w:id="44"/>
      </w:r>
      <w:r w:rsidRPr="00542EB9">
        <w:rPr>
          <w:rFonts w:eastAsia="Calibri"/>
          <w:noProof/>
        </w:rPr>
        <w:t>, bottlenecks persist through a complex legislative and IT environment when dealing with the movement of goods over the EU’s external borders</w:t>
      </w:r>
      <w:r w:rsidRPr="00542EB9">
        <w:rPr>
          <w:rFonts w:eastAsia="Calibri"/>
          <w:noProof/>
          <w:kern w:val="2"/>
          <w:vertAlign w:val="superscript"/>
          <w14:ligatures w14:val="standardContextual"/>
        </w:rPr>
        <w:footnoteReference w:id="45"/>
      </w:r>
      <w:r w:rsidRPr="00542EB9">
        <w:rPr>
          <w:rFonts w:eastAsia="Calibri"/>
          <w:noProof/>
        </w:rPr>
        <w:t>. Many stakeholders demand more information, support and guidance, training and consultation opportunities</w:t>
      </w:r>
      <w:r w:rsidRPr="00542EB9">
        <w:rPr>
          <w:rFonts w:eastAsia="Calibri"/>
          <w:noProof/>
          <w:kern w:val="2"/>
          <w:sz w:val="20"/>
          <w:szCs w:val="20"/>
          <w:vertAlign w:val="superscript"/>
          <w14:ligatures w14:val="standardContextual"/>
        </w:rPr>
        <w:footnoteReference w:id="46"/>
      </w:r>
      <w:r w:rsidRPr="00542EB9">
        <w:rPr>
          <w:rFonts w:eastAsia="Calibri"/>
          <w:noProof/>
        </w:rPr>
        <w:t>. Citizens are particularly vulnerable due to the lack of simple, easy to understand instructions, when ordering and receiving packages from or sending to outside the EU or travelling through the external borders with goods. A prime example of this need is the success of the cash control communication campaign of the Commission financed under the Customs programme and regarding the provisions on cash controls</w:t>
      </w:r>
      <w:r w:rsidRPr="00542EB9">
        <w:rPr>
          <w:rFonts w:eastAsia="Calibri"/>
          <w:noProof/>
          <w:sz w:val="20"/>
          <w:szCs w:val="20"/>
          <w:vertAlign w:val="superscript"/>
        </w:rPr>
        <w:footnoteReference w:id="47"/>
      </w:r>
      <w:r w:rsidR="005B71A1" w:rsidRPr="00542EB9">
        <w:rPr>
          <w:rFonts w:eastAsia="Calibri"/>
          <w:noProof/>
        </w:rPr>
        <w:t>.</w:t>
      </w:r>
      <w:r w:rsidRPr="00542EB9">
        <w:rPr>
          <w:rFonts w:eastAsia="Calibri"/>
          <w:noProof/>
          <w:sz w:val="20"/>
          <w:szCs w:val="20"/>
        </w:rPr>
        <w:t xml:space="preserve"> </w:t>
      </w:r>
    </w:p>
    <w:p w14:paraId="18CE4762" w14:textId="77777777" w:rsidR="00F07F84" w:rsidRPr="00542EB9" w:rsidDel="002C1F8A" w:rsidRDefault="00F07F84" w:rsidP="00236EF8">
      <w:pPr>
        <w:rPr>
          <w:noProof/>
        </w:rPr>
      </w:pPr>
    </w:p>
    <w:p w14:paraId="29522835" w14:textId="0B7A8153" w:rsidR="0089280F" w:rsidRPr="00542EB9" w:rsidDel="002C1F8A" w:rsidRDefault="4D431300" w:rsidP="006A4630">
      <w:pPr>
        <w:pStyle w:val="Heading3"/>
        <w:rPr>
          <w:i w:val="0"/>
          <w:noProof/>
        </w:rPr>
      </w:pPr>
      <w:r w:rsidRPr="00542EB9">
        <w:rPr>
          <w:noProof/>
        </w:rPr>
        <w:t xml:space="preserve">Problem driver: </w:t>
      </w:r>
      <w:r w:rsidR="0B364A9C" w:rsidRPr="00542EB9">
        <w:rPr>
          <w:noProof/>
        </w:rPr>
        <w:t>C</w:t>
      </w:r>
      <w:r w:rsidR="289B9216" w:rsidRPr="00542EB9">
        <w:rPr>
          <w:noProof/>
        </w:rPr>
        <w:t>apacity building,</w:t>
      </w:r>
      <w:r w:rsidR="0C34114D" w:rsidRPr="00542EB9">
        <w:rPr>
          <w:noProof/>
        </w:rPr>
        <w:t xml:space="preserve"> </w:t>
      </w:r>
      <w:r w:rsidR="4ECFA3C3" w:rsidRPr="00542EB9">
        <w:rPr>
          <w:noProof/>
        </w:rPr>
        <w:t>a</w:t>
      </w:r>
      <w:r w:rsidR="695D9835" w:rsidRPr="00542EB9">
        <w:rPr>
          <w:noProof/>
        </w:rPr>
        <w:t xml:space="preserve">dministrative </w:t>
      </w:r>
      <w:r w:rsidR="09AE8C23" w:rsidRPr="00542EB9">
        <w:rPr>
          <w:noProof/>
        </w:rPr>
        <w:t>and operational</w:t>
      </w:r>
      <w:r w:rsidR="695D9835" w:rsidRPr="00542EB9">
        <w:rPr>
          <w:noProof/>
        </w:rPr>
        <w:t xml:space="preserve"> cooperation and integration among Member States and between Member States and the European Commission</w:t>
      </w:r>
      <w:r w:rsidR="0B364A9C" w:rsidRPr="00542EB9">
        <w:rPr>
          <w:noProof/>
        </w:rPr>
        <w:t xml:space="preserve"> remains suboptimal</w:t>
      </w:r>
      <w:r w:rsidR="695D9835" w:rsidRPr="00542EB9">
        <w:rPr>
          <w:noProof/>
        </w:rPr>
        <w:t xml:space="preserve">. </w:t>
      </w:r>
    </w:p>
    <w:p w14:paraId="022DC6B9" w14:textId="4D1A1082" w:rsidR="0099749B" w:rsidRPr="00542EB9" w:rsidRDefault="0029397B" w:rsidP="00306B02">
      <w:pPr>
        <w:pStyle w:val="Heading4"/>
        <w:rPr>
          <w:rFonts w:eastAsia="Calibri"/>
          <w:noProof/>
        </w:rPr>
      </w:pPr>
      <w:r w:rsidRPr="00542EB9">
        <w:rPr>
          <w:rFonts w:eastAsia="Calibri"/>
          <w:noProof/>
        </w:rPr>
        <w:t xml:space="preserve"> Problem driver description</w:t>
      </w:r>
    </w:p>
    <w:p w14:paraId="4FDD49BA" w14:textId="74FB5C64" w:rsidR="009534D1" w:rsidRPr="00542EB9" w:rsidDel="002C1F8A" w:rsidRDefault="257AC55E" w:rsidP="5DD21FD3">
      <w:pPr>
        <w:rPr>
          <w:rFonts w:eastAsia="Calibri"/>
          <w:noProof/>
        </w:rPr>
      </w:pPr>
      <w:r w:rsidRPr="00542EB9" w:rsidDel="002C1F8A">
        <w:rPr>
          <w:rFonts w:eastAsia="Calibri"/>
          <w:noProof/>
        </w:rPr>
        <w:t>As recently emphasi</w:t>
      </w:r>
      <w:r w:rsidR="0541082D" w:rsidRPr="00542EB9" w:rsidDel="002C1F8A">
        <w:rPr>
          <w:rFonts w:eastAsia="Calibri"/>
          <w:noProof/>
        </w:rPr>
        <w:t>s</w:t>
      </w:r>
      <w:r w:rsidRPr="00542EB9" w:rsidDel="002C1F8A">
        <w:rPr>
          <w:rFonts w:eastAsia="Calibri"/>
          <w:noProof/>
        </w:rPr>
        <w:t>ed in the Letta report</w:t>
      </w:r>
      <w:r w:rsidR="009534D1" w:rsidRPr="00542EB9" w:rsidDel="002C1F8A">
        <w:rPr>
          <w:rFonts w:eastAsia="Calibri"/>
          <w:noProof/>
          <w:sz w:val="20"/>
          <w:szCs w:val="20"/>
          <w:vertAlign w:val="superscript"/>
        </w:rPr>
        <w:footnoteReference w:id="48"/>
      </w:r>
      <w:r w:rsidRPr="00542EB9" w:rsidDel="002C1F8A">
        <w:rPr>
          <w:rFonts w:eastAsia="Calibri"/>
          <w:noProof/>
        </w:rPr>
        <w:t xml:space="preserve">, addressing the disparities in </w:t>
      </w:r>
      <w:r w:rsidR="1D26DDF9" w:rsidRPr="00542EB9" w:rsidDel="002C1F8A">
        <w:rPr>
          <w:rFonts w:eastAsia="Calibri"/>
          <w:noProof/>
        </w:rPr>
        <w:t>technical</w:t>
      </w:r>
      <w:r w:rsidR="364FE5AE" w:rsidRPr="00542EB9" w:rsidDel="002C1F8A">
        <w:rPr>
          <w:rFonts w:eastAsia="Calibri"/>
          <w:noProof/>
        </w:rPr>
        <w:t>,</w:t>
      </w:r>
      <w:r w:rsidR="1D26DDF9" w:rsidRPr="00542EB9" w:rsidDel="002C1F8A">
        <w:rPr>
          <w:rFonts w:eastAsia="Calibri"/>
          <w:noProof/>
        </w:rPr>
        <w:t xml:space="preserve"> operation</w:t>
      </w:r>
      <w:r w:rsidR="364FE5AE" w:rsidRPr="00542EB9" w:rsidDel="002C1F8A">
        <w:rPr>
          <w:rFonts w:eastAsia="Calibri"/>
          <w:noProof/>
        </w:rPr>
        <w:t>al</w:t>
      </w:r>
      <w:r w:rsidRPr="00542EB9" w:rsidDel="002C1F8A">
        <w:rPr>
          <w:rFonts w:eastAsia="Calibri"/>
          <w:noProof/>
        </w:rPr>
        <w:t xml:space="preserve"> and </w:t>
      </w:r>
      <w:r w:rsidRPr="00542EB9" w:rsidDel="002C1F8A">
        <w:rPr>
          <w:rFonts w:eastAsia="Calibri"/>
          <w:b/>
          <w:bCs/>
          <w:noProof/>
        </w:rPr>
        <w:t>administrative capacities</w:t>
      </w:r>
      <w:r w:rsidRPr="00542EB9" w:rsidDel="002C1F8A">
        <w:rPr>
          <w:rFonts w:eastAsia="Calibri"/>
          <w:noProof/>
        </w:rPr>
        <w:t xml:space="preserve"> among the Member States</w:t>
      </w:r>
      <w:r w:rsidR="003F5602" w:rsidRPr="00542EB9">
        <w:rPr>
          <w:rFonts w:eastAsia="Calibri"/>
          <w:noProof/>
        </w:rPr>
        <w:t xml:space="preserve">, including by means of </w:t>
      </w:r>
      <w:r w:rsidR="009C67BD" w:rsidRPr="00542EB9">
        <w:rPr>
          <w:rFonts w:eastAsia="Calibri"/>
          <w:noProof/>
        </w:rPr>
        <w:t>cooperation and integration,</w:t>
      </w:r>
      <w:r w:rsidRPr="00542EB9" w:rsidDel="002C1F8A">
        <w:rPr>
          <w:rFonts w:eastAsia="Calibri"/>
          <w:noProof/>
        </w:rPr>
        <w:t xml:space="preserve"> is essential for ensuring a level playing field within the </w:t>
      </w:r>
      <w:r w:rsidR="005459CC" w:rsidRPr="00542EB9">
        <w:rPr>
          <w:rFonts w:eastAsia="Calibri"/>
          <w:noProof/>
        </w:rPr>
        <w:t>single market</w:t>
      </w:r>
      <w:r w:rsidR="708F2D25" w:rsidRPr="00542EB9" w:rsidDel="002C1F8A">
        <w:rPr>
          <w:rFonts w:eastAsia="Calibri"/>
          <w:noProof/>
        </w:rPr>
        <w:t>.</w:t>
      </w:r>
      <w:r w:rsidRPr="00542EB9" w:rsidDel="002C1F8A">
        <w:rPr>
          <w:rFonts w:eastAsia="Calibri"/>
          <w:noProof/>
        </w:rPr>
        <w:t xml:space="preserve"> </w:t>
      </w:r>
      <w:r w:rsidRPr="00542EB9" w:rsidDel="002C1F8A">
        <w:rPr>
          <w:rFonts w:eastAsia="Calibri"/>
          <w:noProof/>
          <w:kern w:val="2"/>
        </w:rPr>
        <w:t>The quality of governance and of institutions also play</w:t>
      </w:r>
      <w:r w:rsidRPr="00542EB9" w:rsidDel="002C1F8A">
        <w:rPr>
          <w:rFonts w:eastAsia="Calibri"/>
          <w:noProof/>
        </w:rPr>
        <w:t>s a role, as good governance reflects in agility/adaptability, impartiality</w:t>
      </w:r>
      <w:r w:rsidR="390865E6" w:rsidRPr="00542EB9" w:rsidDel="002C1F8A">
        <w:rPr>
          <w:rFonts w:eastAsia="Calibri"/>
          <w:noProof/>
        </w:rPr>
        <w:t xml:space="preserve"> </w:t>
      </w:r>
      <w:r w:rsidRPr="00542EB9" w:rsidDel="002C1F8A">
        <w:rPr>
          <w:rFonts w:eastAsia="Calibri"/>
          <w:noProof/>
        </w:rPr>
        <w:t xml:space="preserve">and provision of quality public services. </w:t>
      </w:r>
    </w:p>
    <w:p w14:paraId="7762418E" w14:textId="40B994B7" w:rsidR="00E71907" w:rsidRPr="00542EB9" w:rsidDel="002C1F8A" w:rsidRDefault="0249AF60" w:rsidP="30122593">
      <w:pPr>
        <w:rPr>
          <w:noProof/>
        </w:rPr>
      </w:pPr>
      <w:r w:rsidRPr="00542EB9">
        <w:rPr>
          <w:rFonts w:eastAsia="Calibri"/>
          <w:noProof/>
        </w:rPr>
        <w:t>Low administrative capacity can also impact public authorities’ ability to access EU support programmes. As they may have limited means, fewer skills and less experience, may face higher difficulties to</w:t>
      </w:r>
      <w:r w:rsidR="7290CFB5" w:rsidRPr="00542EB9">
        <w:rPr>
          <w:rFonts w:eastAsia="Calibri"/>
          <w:noProof/>
        </w:rPr>
        <w:t xml:space="preserve"> </w:t>
      </w:r>
      <w:r w:rsidRPr="00542EB9">
        <w:rPr>
          <w:rFonts w:eastAsia="Calibri"/>
          <w:noProof/>
        </w:rPr>
        <w:t xml:space="preserve">go through the application process. In </w:t>
      </w:r>
      <w:r w:rsidR="3BD0A821" w:rsidRPr="00542EB9">
        <w:rPr>
          <w:rFonts w:eastAsia="Calibri"/>
          <w:noProof/>
        </w:rPr>
        <w:t>addition</w:t>
      </w:r>
      <w:r w:rsidRPr="00542EB9">
        <w:rPr>
          <w:rFonts w:eastAsia="Calibri"/>
          <w:noProof/>
        </w:rPr>
        <w:t>, digitisation of public authorities rema</w:t>
      </w:r>
      <w:r w:rsidR="62BAD2A1" w:rsidRPr="00542EB9">
        <w:rPr>
          <w:rFonts w:eastAsia="Calibri"/>
          <w:noProof/>
        </w:rPr>
        <w:t>i</w:t>
      </w:r>
      <w:r w:rsidRPr="00542EB9">
        <w:rPr>
          <w:rFonts w:eastAsia="Calibri"/>
          <w:noProof/>
        </w:rPr>
        <w:t>ns a substantial challenge</w:t>
      </w:r>
      <w:r w:rsidR="5982F5D7" w:rsidRPr="00542EB9">
        <w:rPr>
          <w:rFonts w:eastAsia="Calibri"/>
          <w:noProof/>
        </w:rPr>
        <w:t xml:space="preserve">, in particular, </w:t>
      </w:r>
      <w:r w:rsidR="3803E3AC" w:rsidRPr="00542EB9">
        <w:rPr>
          <w:rFonts w:eastAsia="Calibri"/>
          <w:noProof/>
        </w:rPr>
        <w:t xml:space="preserve">given that </w:t>
      </w:r>
      <w:r w:rsidR="5982F5D7" w:rsidRPr="00542EB9">
        <w:rPr>
          <w:rFonts w:eastAsia="Calibri"/>
          <w:noProof/>
        </w:rPr>
        <w:t xml:space="preserve">the majority of EU policies and legislations increasingly have a digital component. </w:t>
      </w:r>
      <w:r w:rsidR="72A20868" w:rsidRPr="00542EB9">
        <w:rPr>
          <w:rFonts w:eastAsia="Calibri"/>
          <w:noProof/>
        </w:rPr>
        <w:t xml:space="preserve">Furthermore, strengthening administrative capacities in third countries enhances regulatory enforcement, ensuring that consumer protection and product safety standards are effectively implemented and upheld. This reduces the risk of substandard or unsafe products entering the single market, aligns regulations with EU standards, and prevents unfair competitive advantages for </w:t>
      </w:r>
      <w:r w:rsidR="3C29639F" w:rsidRPr="00542EB9">
        <w:rPr>
          <w:rFonts w:eastAsia="Calibri"/>
          <w:noProof/>
        </w:rPr>
        <w:t>non-EU traders</w:t>
      </w:r>
      <w:r w:rsidR="72A20868" w:rsidRPr="00542EB9">
        <w:rPr>
          <w:rFonts w:eastAsia="Calibri"/>
          <w:noProof/>
        </w:rPr>
        <w:t xml:space="preserve"> operating under weaker oversight.</w:t>
      </w:r>
      <w:r w:rsidR="5982F5D7" w:rsidRPr="00542EB9">
        <w:rPr>
          <w:rFonts w:eastAsia="Calibri"/>
          <w:noProof/>
        </w:rPr>
        <w:t xml:space="preserve"> </w:t>
      </w:r>
      <w:r w:rsidR="07D4E608" w:rsidRPr="00542EB9">
        <w:rPr>
          <w:rFonts w:eastAsia="Calibri"/>
          <w:noProof/>
        </w:rPr>
        <w:t xml:space="preserve">The enforcement and implementation </w:t>
      </w:r>
      <w:r w:rsidR="03674C83" w:rsidRPr="00542EB9">
        <w:rPr>
          <w:rFonts w:eastAsia="Calibri"/>
          <w:noProof/>
        </w:rPr>
        <w:t xml:space="preserve">of the </w:t>
      </w:r>
      <w:r w:rsidR="63D3CDE4" w:rsidRPr="00542EB9">
        <w:rPr>
          <w:rFonts w:eastAsia="Calibri"/>
          <w:noProof/>
        </w:rPr>
        <w:t>single</w:t>
      </w:r>
      <w:r w:rsidR="31A1F14A" w:rsidRPr="00542EB9">
        <w:rPr>
          <w:rFonts w:eastAsia="Calibri"/>
          <w:noProof/>
        </w:rPr>
        <w:t xml:space="preserve"> </w:t>
      </w:r>
      <w:r w:rsidR="63D3CDE4" w:rsidRPr="00542EB9">
        <w:rPr>
          <w:rFonts w:eastAsia="Calibri"/>
          <w:noProof/>
        </w:rPr>
        <w:t>m</w:t>
      </w:r>
      <w:r w:rsidR="64B6AB30" w:rsidRPr="00542EB9">
        <w:rPr>
          <w:rFonts w:eastAsia="Calibri"/>
          <w:noProof/>
        </w:rPr>
        <w:t>arket</w:t>
      </w:r>
      <w:r w:rsidR="644DC0BC" w:rsidRPr="00542EB9">
        <w:rPr>
          <w:rFonts w:eastAsia="Calibri"/>
          <w:noProof/>
        </w:rPr>
        <w:t xml:space="preserve"> </w:t>
      </w:r>
      <w:r w:rsidR="78C999B3" w:rsidRPr="00542EB9">
        <w:rPr>
          <w:rFonts w:eastAsia="Calibri"/>
          <w:noProof/>
        </w:rPr>
        <w:t>policies and</w:t>
      </w:r>
      <w:r w:rsidR="644DC0BC" w:rsidRPr="00542EB9">
        <w:rPr>
          <w:rFonts w:eastAsia="Calibri"/>
          <w:noProof/>
        </w:rPr>
        <w:t xml:space="preserve"> </w:t>
      </w:r>
      <w:r w:rsidR="03674C83" w:rsidRPr="00542EB9">
        <w:rPr>
          <w:rFonts w:eastAsia="Calibri"/>
          <w:noProof/>
        </w:rPr>
        <w:t>rules rest on the cooperation between national authorities</w:t>
      </w:r>
      <w:r w:rsidR="3FB35666" w:rsidRPr="00542EB9">
        <w:rPr>
          <w:rFonts w:eastAsia="Calibri"/>
          <w:noProof/>
        </w:rPr>
        <w:t>,</w:t>
      </w:r>
      <w:r w:rsidR="03674C83" w:rsidRPr="00542EB9">
        <w:rPr>
          <w:rFonts w:eastAsia="Calibri"/>
          <w:noProof/>
        </w:rPr>
        <w:t xml:space="preserve"> and </w:t>
      </w:r>
      <w:r w:rsidR="3FB35666" w:rsidRPr="00542EB9">
        <w:rPr>
          <w:rFonts w:eastAsia="Calibri"/>
          <w:noProof/>
        </w:rPr>
        <w:t xml:space="preserve">between the national </w:t>
      </w:r>
      <w:r w:rsidR="215783BF" w:rsidRPr="00542EB9">
        <w:rPr>
          <w:rFonts w:eastAsia="Calibri"/>
          <w:noProof/>
        </w:rPr>
        <w:t>authorities</w:t>
      </w:r>
      <w:r w:rsidR="03674C83" w:rsidRPr="00542EB9">
        <w:rPr>
          <w:rFonts w:eastAsia="Calibri"/>
          <w:noProof/>
        </w:rPr>
        <w:t xml:space="preserve"> and the Commission</w:t>
      </w:r>
      <w:r w:rsidR="40CA38C0" w:rsidRPr="00542EB9">
        <w:rPr>
          <w:rFonts w:eastAsia="Calibri"/>
          <w:noProof/>
        </w:rPr>
        <w:t xml:space="preserve">, which </w:t>
      </w:r>
      <w:r w:rsidR="5DCD715C" w:rsidRPr="00542EB9">
        <w:rPr>
          <w:rFonts w:eastAsia="Calibri"/>
          <w:noProof/>
        </w:rPr>
        <w:t>remains to be improved</w:t>
      </w:r>
      <w:r w:rsidR="4E4E76FE" w:rsidRPr="00542EB9">
        <w:rPr>
          <w:rFonts w:eastAsia="Calibri"/>
          <w:noProof/>
        </w:rPr>
        <w:t xml:space="preserve">. </w:t>
      </w:r>
      <w:r w:rsidR="006E78FD" w:rsidRPr="00542EB9">
        <w:rPr>
          <w:noProof/>
        </w:rPr>
        <w:t>Such cooperation exists, as shown by the European Union Product Compliance Network (EUPCN) of DG GROW and the Consumer Safety Network (CSN) of DG JUST both of which have played a pivotal role in making market surveillance more uniform and enhancing the capabilities of</w:t>
      </w:r>
      <w:r w:rsidR="00184A31" w:rsidRPr="00542EB9">
        <w:rPr>
          <w:rFonts w:eastAsia="Calibri"/>
          <w:noProof/>
        </w:rPr>
        <w:t xml:space="preserve"> MSAs</w:t>
      </w:r>
      <w:r w:rsidR="001E5615" w:rsidRPr="00542EB9">
        <w:rPr>
          <w:rStyle w:val="FootnoteReference"/>
          <w:rFonts w:eastAsia="Calibri"/>
          <w:noProof/>
        </w:rPr>
        <w:footnoteReference w:id="49"/>
      </w:r>
      <w:r w:rsidR="00184A31" w:rsidRPr="00542EB9">
        <w:rPr>
          <w:rFonts w:eastAsia="Calibri"/>
          <w:noProof/>
        </w:rPr>
        <w:t>. The European Union Testing Facilities (EUTFs) are expected to further strengthen market surveillance</w:t>
      </w:r>
      <w:r w:rsidR="00184A31" w:rsidRPr="00542EB9">
        <w:rPr>
          <w:rFonts w:eastAsia="Calibri"/>
          <w:noProof/>
          <w:sz w:val="20"/>
          <w:szCs w:val="20"/>
          <w:vertAlign w:val="superscript"/>
        </w:rPr>
        <w:footnoteReference w:id="50"/>
      </w:r>
      <w:r w:rsidR="00184A31" w:rsidRPr="00542EB9">
        <w:rPr>
          <w:rFonts w:eastAsia="Calibri"/>
          <w:noProof/>
        </w:rPr>
        <w:t>. Yet, i</w:t>
      </w:r>
      <w:r w:rsidR="4AD8C42C" w:rsidRPr="00542EB9">
        <w:rPr>
          <w:rFonts w:eastAsia="Calibri"/>
          <w:noProof/>
        </w:rPr>
        <w:t xml:space="preserve">nsufficient </w:t>
      </w:r>
      <w:r w:rsidR="02487BF9" w:rsidRPr="00542EB9">
        <w:rPr>
          <w:rFonts w:eastAsia="Calibri"/>
          <w:b/>
          <w:bCs/>
          <w:noProof/>
        </w:rPr>
        <w:t>cooperation</w:t>
      </w:r>
      <w:r w:rsidR="02487BF9" w:rsidRPr="00542EB9">
        <w:rPr>
          <w:rFonts w:eastAsia="Calibri"/>
          <w:noProof/>
        </w:rPr>
        <w:t xml:space="preserve"> can </w:t>
      </w:r>
      <w:r w:rsidR="37394417" w:rsidRPr="00542EB9">
        <w:rPr>
          <w:rFonts w:eastAsia="Calibri"/>
          <w:noProof/>
        </w:rPr>
        <w:t>result in inconsistent enforcement</w:t>
      </w:r>
      <w:r w:rsidR="11586D2A" w:rsidRPr="00542EB9">
        <w:rPr>
          <w:rFonts w:eastAsia="Calibri"/>
          <w:noProof/>
        </w:rPr>
        <w:t>, duplication of efforts</w:t>
      </w:r>
      <w:r w:rsidR="37394417" w:rsidRPr="00542EB9">
        <w:rPr>
          <w:rFonts w:eastAsia="Calibri"/>
          <w:noProof/>
        </w:rPr>
        <w:t xml:space="preserve"> and </w:t>
      </w:r>
      <w:r w:rsidR="093EBF97" w:rsidRPr="00542EB9">
        <w:rPr>
          <w:rFonts w:eastAsia="Calibri"/>
          <w:noProof/>
        </w:rPr>
        <w:t>impact the free movement</w:t>
      </w:r>
      <w:r w:rsidR="71DF2D7C" w:rsidRPr="00542EB9">
        <w:rPr>
          <w:rFonts w:eastAsia="Calibri"/>
          <w:noProof/>
        </w:rPr>
        <w:t xml:space="preserve"> of goods, </w:t>
      </w:r>
      <w:r w:rsidR="29F13877" w:rsidRPr="00542EB9">
        <w:rPr>
          <w:rFonts w:eastAsia="Calibri"/>
          <w:noProof/>
        </w:rPr>
        <w:t>people, services</w:t>
      </w:r>
      <w:r w:rsidR="0A619811" w:rsidRPr="00542EB9">
        <w:rPr>
          <w:rFonts w:eastAsia="Calibri"/>
          <w:noProof/>
        </w:rPr>
        <w:t>, and capital.</w:t>
      </w:r>
      <w:r w:rsidR="7ED1A6DD" w:rsidRPr="00542EB9">
        <w:rPr>
          <w:rFonts w:eastAsia="Calibri"/>
          <w:noProof/>
        </w:rPr>
        <w:t xml:space="preserve"> </w:t>
      </w:r>
      <w:r w:rsidR="280305D9" w:rsidRPr="00542EB9">
        <w:rPr>
          <w:rFonts w:eastAsia="Calibri"/>
          <w:noProof/>
        </w:rPr>
        <w:t>In addition,</w:t>
      </w:r>
      <w:r w:rsidR="06808F61" w:rsidRPr="00542EB9">
        <w:rPr>
          <w:rFonts w:eastAsia="Calibri"/>
          <w:noProof/>
        </w:rPr>
        <w:t xml:space="preserve"> it may also hamper the achievement of the Savings and Investments Union.</w:t>
      </w:r>
      <w:r w:rsidR="06808F61" w:rsidRPr="00542EB9">
        <w:rPr>
          <w:rFonts w:ascii="Calibri" w:eastAsia="Calibri" w:hAnsi="Calibri" w:cs="Calibri"/>
          <w:noProof/>
          <w:sz w:val="22"/>
          <w:szCs w:val="22"/>
        </w:rPr>
        <w:t xml:space="preserve"> </w:t>
      </w:r>
      <w:r w:rsidR="4E08CB66" w:rsidRPr="00542EB9">
        <w:rPr>
          <w:noProof/>
          <w:color w:val="000000" w:themeColor="text1"/>
        </w:rPr>
        <w:t>Despite progress, cooperation between Members States and with the Commission remains limited</w:t>
      </w:r>
      <w:r w:rsidR="7ED1A6DD" w:rsidRPr="00542EB9">
        <w:rPr>
          <w:noProof/>
          <w:color w:val="000000" w:themeColor="text1"/>
        </w:rPr>
        <w:t xml:space="preserve"> and can</w:t>
      </w:r>
      <w:r w:rsidR="281E4544" w:rsidRPr="00542EB9">
        <w:rPr>
          <w:noProof/>
          <w:color w:val="0070C0"/>
        </w:rPr>
        <w:t xml:space="preserve"> </w:t>
      </w:r>
      <w:r w:rsidR="281E4544" w:rsidRPr="00542EB9">
        <w:rPr>
          <w:noProof/>
        </w:rPr>
        <w:t>undermine the effective implementation of EU law</w:t>
      </w:r>
      <w:r w:rsidR="3C4D6B35" w:rsidRPr="00542EB9">
        <w:rPr>
          <w:noProof/>
        </w:rPr>
        <w:t>,</w:t>
      </w:r>
      <w:r w:rsidR="59850BDF" w:rsidRPr="00542EB9">
        <w:rPr>
          <w:noProof/>
        </w:rPr>
        <w:t xml:space="preserve"> </w:t>
      </w:r>
      <w:r w:rsidR="3C4D6B35" w:rsidRPr="00542EB9">
        <w:rPr>
          <w:noProof/>
        </w:rPr>
        <w:t xml:space="preserve">the </w:t>
      </w:r>
      <w:r w:rsidR="426AD6E9" w:rsidRPr="00542EB9">
        <w:rPr>
          <w:noProof/>
        </w:rPr>
        <w:t xml:space="preserve">competitiveness </w:t>
      </w:r>
      <w:r w:rsidR="59850BDF" w:rsidRPr="00542EB9">
        <w:rPr>
          <w:noProof/>
        </w:rPr>
        <w:t xml:space="preserve">and the </w:t>
      </w:r>
      <w:r w:rsidR="0AA6961A" w:rsidRPr="00542EB9">
        <w:rPr>
          <w:noProof/>
        </w:rPr>
        <w:t xml:space="preserve">full functioning of the </w:t>
      </w:r>
      <w:r w:rsidR="005459CC" w:rsidRPr="00542EB9">
        <w:rPr>
          <w:noProof/>
        </w:rPr>
        <w:t>single market</w:t>
      </w:r>
      <w:r w:rsidR="20E82253" w:rsidRPr="00542EB9">
        <w:rPr>
          <w:noProof/>
        </w:rPr>
        <w:t>.</w:t>
      </w:r>
      <w:r w:rsidR="281E4544" w:rsidRPr="00542EB9">
        <w:rPr>
          <w:noProof/>
        </w:rPr>
        <w:t xml:space="preserve"> </w:t>
      </w:r>
      <w:r w:rsidR="2C3B2854" w:rsidRPr="00542EB9">
        <w:rPr>
          <w:noProof/>
        </w:rPr>
        <w:t>It can be noted that t</w:t>
      </w:r>
      <w:r w:rsidR="281E4544" w:rsidRPr="00542EB9">
        <w:rPr>
          <w:noProof/>
        </w:rPr>
        <w:t>he Internal Market Information System (IMI) plays an important role in facilitating cooperation and fast exchanges between over 12</w:t>
      </w:r>
      <w:r w:rsidR="003A5A56" w:rsidRPr="00542EB9">
        <w:rPr>
          <w:noProof/>
        </w:rPr>
        <w:t>,</w:t>
      </w:r>
      <w:r w:rsidR="281E4544" w:rsidRPr="00542EB9">
        <w:rPr>
          <w:noProof/>
        </w:rPr>
        <w:t xml:space="preserve">000 public authorities across Europe. </w:t>
      </w:r>
      <w:r w:rsidR="6E817D38" w:rsidRPr="00542EB9">
        <w:rPr>
          <w:noProof/>
        </w:rPr>
        <w:t>However,</w:t>
      </w:r>
      <w:r w:rsidR="07D4E608" w:rsidRPr="00542EB9">
        <w:rPr>
          <w:noProof/>
        </w:rPr>
        <w:t xml:space="preserve"> </w:t>
      </w:r>
      <w:r w:rsidR="01E7A975" w:rsidRPr="00542EB9">
        <w:rPr>
          <w:noProof/>
        </w:rPr>
        <w:t xml:space="preserve">delivery of </w:t>
      </w:r>
      <w:r w:rsidR="1E8F97F9" w:rsidRPr="00542EB9">
        <w:rPr>
          <w:rFonts w:eastAsia="Calibri"/>
          <w:noProof/>
        </w:rPr>
        <w:t xml:space="preserve">user-friendly </w:t>
      </w:r>
      <w:r w:rsidR="408C45EF" w:rsidRPr="00542EB9">
        <w:rPr>
          <w:noProof/>
        </w:rPr>
        <w:t>cross-bo</w:t>
      </w:r>
      <w:r w:rsidR="5B662198" w:rsidRPr="00542EB9">
        <w:rPr>
          <w:noProof/>
        </w:rPr>
        <w:t xml:space="preserve">rder </w:t>
      </w:r>
      <w:r w:rsidR="54F2F118" w:rsidRPr="00542EB9">
        <w:rPr>
          <w:noProof/>
        </w:rPr>
        <w:t xml:space="preserve">interoperable </w:t>
      </w:r>
      <w:r w:rsidR="5B662198" w:rsidRPr="00542EB9">
        <w:rPr>
          <w:noProof/>
        </w:rPr>
        <w:t xml:space="preserve">public services by </w:t>
      </w:r>
      <w:r w:rsidR="303B3271" w:rsidRPr="00542EB9">
        <w:rPr>
          <w:noProof/>
        </w:rPr>
        <w:t>seamless</w:t>
      </w:r>
      <w:r w:rsidR="408C45EF" w:rsidRPr="00542EB9">
        <w:rPr>
          <w:noProof/>
        </w:rPr>
        <w:t xml:space="preserve"> data among public administrations</w:t>
      </w:r>
      <w:r w:rsidR="765D0715" w:rsidRPr="00542EB9">
        <w:rPr>
          <w:noProof/>
        </w:rPr>
        <w:t xml:space="preserve"> </w:t>
      </w:r>
      <w:r w:rsidR="6E817D38" w:rsidRPr="00542EB9">
        <w:rPr>
          <w:noProof/>
          <w:color w:val="000000" w:themeColor="text1"/>
        </w:rPr>
        <w:t>remains a challenge</w:t>
      </w:r>
      <w:r w:rsidR="356527B7" w:rsidRPr="00542EB9">
        <w:rPr>
          <w:noProof/>
          <w:color w:val="000000" w:themeColor="text1"/>
        </w:rPr>
        <w:t>,</w:t>
      </w:r>
      <w:r w:rsidR="6E817D38" w:rsidRPr="00542EB9">
        <w:rPr>
          <w:noProof/>
          <w:color w:val="000000" w:themeColor="text1"/>
        </w:rPr>
        <w:t xml:space="preserve"> </w:t>
      </w:r>
      <w:r w:rsidR="1C3411EF" w:rsidRPr="00542EB9">
        <w:rPr>
          <w:noProof/>
          <w:color w:val="000000" w:themeColor="text1"/>
        </w:rPr>
        <w:t>along with</w:t>
      </w:r>
      <w:r w:rsidR="1C3411EF" w:rsidRPr="00542EB9">
        <w:rPr>
          <w:noProof/>
        </w:rPr>
        <w:t xml:space="preserve"> access to </w:t>
      </w:r>
      <w:r w:rsidR="0BC65C12" w:rsidRPr="00542EB9">
        <w:rPr>
          <w:noProof/>
        </w:rPr>
        <w:t>digital solutions</w:t>
      </w:r>
      <w:r w:rsidR="1C3411EF" w:rsidRPr="00542EB9">
        <w:rPr>
          <w:noProof/>
        </w:rPr>
        <w:t xml:space="preserve"> supporting Union’s policies. </w:t>
      </w:r>
      <w:r w:rsidR="1C3411EF" w:rsidRPr="00542EB9">
        <w:rPr>
          <w:rFonts w:eastAsia="Calibri"/>
          <w:noProof/>
        </w:rPr>
        <w:t xml:space="preserve">In this context, </w:t>
      </w:r>
      <w:r w:rsidR="621CB285" w:rsidRPr="00542EB9">
        <w:rPr>
          <w:rFonts w:eastAsia="Calibri"/>
          <w:noProof/>
        </w:rPr>
        <w:t>actions implementing</w:t>
      </w:r>
      <w:r w:rsidR="1C3411EF" w:rsidRPr="00542EB9">
        <w:rPr>
          <w:rFonts w:eastAsia="Calibri"/>
          <w:noProof/>
        </w:rPr>
        <w:t xml:space="preserve"> the Interoperable Europe Act</w:t>
      </w:r>
      <w:r w:rsidR="53A9557B" w:rsidRPr="00542EB9">
        <w:rPr>
          <w:rFonts w:eastAsia="Calibri"/>
          <w:noProof/>
        </w:rPr>
        <w:t xml:space="preserve">, including </w:t>
      </w:r>
      <w:r w:rsidR="21C57806" w:rsidRPr="00542EB9">
        <w:rPr>
          <w:rFonts w:eastAsia="Calibri"/>
          <w:noProof/>
        </w:rPr>
        <w:t xml:space="preserve">the governance structure </w:t>
      </w:r>
      <w:r w:rsidR="54F4A196" w:rsidRPr="00542EB9">
        <w:rPr>
          <w:rFonts w:eastAsia="Calibri"/>
          <w:noProof/>
        </w:rPr>
        <w:t xml:space="preserve">established by the </w:t>
      </w:r>
      <w:r w:rsidR="57BC9568" w:rsidRPr="00542EB9">
        <w:rPr>
          <w:rFonts w:eastAsia="Calibri"/>
          <w:noProof/>
        </w:rPr>
        <w:t>latter</w:t>
      </w:r>
      <w:r w:rsidR="53A9557B" w:rsidRPr="00542EB9">
        <w:rPr>
          <w:rFonts w:eastAsia="Calibri"/>
          <w:noProof/>
        </w:rPr>
        <w:t>,</w:t>
      </w:r>
      <w:r w:rsidR="1C3411EF" w:rsidRPr="00542EB9">
        <w:rPr>
          <w:rFonts w:eastAsia="Calibri"/>
          <w:noProof/>
        </w:rPr>
        <w:t xml:space="preserve"> </w:t>
      </w:r>
      <w:r w:rsidR="6E817D38" w:rsidRPr="00542EB9">
        <w:rPr>
          <w:noProof/>
          <w:color w:val="000000" w:themeColor="text1"/>
        </w:rPr>
        <w:t>and a</w:t>
      </w:r>
      <w:r w:rsidR="281E4544" w:rsidRPr="00542EB9">
        <w:rPr>
          <w:noProof/>
        </w:rPr>
        <w:t>dditional uses of IMI</w:t>
      </w:r>
      <w:r w:rsidR="3041B04A" w:rsidRPr="00542EB9">
        <w:rPr>
          <w:noProof/>
        </w:rPr>
        <w:t xml:space="preserve"> </w:t>
      </w:r>
      <w:r w:rsidR="281E4544" w:rsidRPr="00542EB9">
        <w:rPr>
          <w:noProof/>
        </w:rPr>
        <w:t>could further reduce administrative burden</w:t>
      </w:r>
      <w:r w:rsidR="74BD7A70" w:rsidRPr="00542EB9">
        <w:rPr>
          <w:noProof/>
        </w:rPr>
        <w:t xml:space="preserve"> and ensure greater </w:t>
      </w:r>
      <w:r w:rsidR="299D02A4" w:rsidRPr="00542EB9">
        <w:rPr>
          <w:noProof/>
        </w:rPr>
        <w:t>coo</w:t>
      </w:r>
      <w:r w:rsidR="74BD7A70" w:rsidRPr="00542EB9">
        <w:rPr>
          <w:noProof/>
        </w:rPr>
        <w:t>peration among Member States and between Member States and the European Commission</w:t>
      </w:r>
      <w:r w:rsidR="00682B5B" w:rsidRPr="00542EB9">
        <w:rPr>
          <w:noProof/>
        </w:rPr>
        <w:t xml:space="preserve">. </w:t>
      </w:r>
    </w:p>
    <w:p w14:paraId="0F79CE63" w14:textId="2A8B1855" w:rsidR="00B30D8A" w:rsidRPr="00542EB9" w:rsidDel="002C1F8A" w:rsidRDefault="3345EE23" w:rsidP="30122593">
      <w:pPr>
        <w:rPr>
          <w:rFonts w:eastAsia="Calibri"/>
          <w:noProof/>
        </w:rPr>
      </w:pPr>
      <w:r w:rsidRPr="00542EB9" w:rsidDel="002C1F8A">
        <w:rPr>
          <w:rFonts w:eastAsia="Calibri"/>
          <w:noProof/>
        </w:rPr>
        <w:t>T</w:t>
      </w:r>
      <w:r w:rsidR="797FF4FF" w:rsidRPr="00542EB9" w:rsidDel="002C1F8A">
        <w:rPr>
          <w:rFonts w:eastAsia="Calibri"/>
          <w:noProof/>
        </w:rPr>
        <w:t xml:space="preserve">he </w:t>
      </w:r>
      <w:r w:rsidR="797FF4FF" w:rsidRPr="00542EB9" w:rsidDel="002C1F8A">
        <w:rPr>
          <w:rFonts w:eastAsia="Calibri"/>
          <w:b/>
          <w:bCs/>
          <w:noProof/>
        </w:rPr>
        <w:t>Customs Union</w:t>
      </w:r>
      <w:r w:rsidR="797FF4FF" w:rsidRPr="00542EB9" w:rsidDel="002C1F8A">
        <w:rPr>
          <w:rFonts w:eastAsia="Calibri"/>
          <w:noProof/>
        </w:rPr>
        <w:t xml:space="preserve"> founded in 1968, manages the external border of the EU by enforcing the rules governing the cross-border movement of goods, including by imposing a common tariff on goods imported from third countries. It is the basis and the guardian of the EU </w:t>
      </w:r>
      <w:r w:rsidR="2ADC5024" w:rsidRPr="00542EB9" w:rsidDel="002C1F8A">
        <w:rPr>
          <w:rFonts w:eastAsia="Calibri"/>
          <w:noProof/>
        </w:rPr>
        <w:t xml:space="preserve">single </w:t>
      </w:r>
      <w:r w:rsidR="5818AFAC" w:rsidRPr="00542EB9" w:rsidDel="002C1F8A">
        <w:rPr>
          <w:rFonts w:eastAsia="Calibri"/>
          <w:noProof/>
        </w:rPr>
        <w:t>m</w:t>
      </w:r>
      <w:r w:rsidR="42A954F6" w:rsidRPr="00542EB9" w:rsidDel="002C1F8A">
        <w:rPr>
          <w:rFonts w:eastAsia="Calibri"/>
          <w:noProof/>
        </w:rPr>
        <w:t>arket</w:t>
      </w:r>
      <w:r w:rsidR="797FF4FF" w:rsidRPr="00542EB9" w:rsidDel="002C1F8A">
        <w:rPr>
          <w:rFonts w:eastAsia="Calibri"/>
          <w:noProof/>
        </w:rPr>
        <w:t xml:space="preserve">, allowing goods to move freely within the Union. At its core are the exclusive competence of the Union to regulate, and a common legal framework, which is implemented by the customs authorities of the Member States. Although the Customs Union is an area of exclusive competence with a high degree of harmonised EU legislation, the implementation of this legislation remains entirely with the individual Member States. </w:t>
      </w:r>
      <w:r w:rsidR="3EFFF1E3" w:rsidRPr="00542EB9" w:rsidDel="002C1F8A">
        <w:rPr>
          <w:rFonts w:eastAsia="Calibri"/>
          <w:noProof/>
        </w:rPr>
        <w:t>I</w:t>
      </w:r>
      <w:r w:rsidR="797FF4FF" w:rsidRPr="00542EB9" w:rsidDel="002C1F8A">
        <w:rPr>
          <w:rFonts w:eastAsia="Calibri"/>
          <w:noProof/>
        </w:rPr>
        <w:t xml:space="preserve">nconsistencies in the interpretation and application of EU law, uneven administrative capacities threaten the unity of the Customs Union: the Customs Union can only be as strong as its weakest link. </w:t>
      </w:r>
      <w:r w:rsidR="00E94F6E" w:rsidRPr="00542EB9">
        <w:rPr>
          <w:rFonts w:eastAsia="Calibri"/>
          <w:noProof/>
        </w:rPr>
        <w:t xml:space="preserve">This </w:t>
      </w:r>
      <w:r w:rsidR="00FF4025" w:rsidRPr="00542EB9">
        <w:rPr>
          <w:rFonts w:eastAsia="Calibri"/>
          <w:noProof/>
        </w:rPr>
        <w:t>is in particular</w:t>
      </w:r>
      <w:r w:rsidR="00162BA4" w:rsidRPr="00542EB9">
        <w:rPr>
          <w:rFonts w:eastAsia="Calibri"/>
          <w:noProof/>
        </w:rPr>
        <w:t>ly</w:t>
      </w:r>
      <w:r w:rsidR="00FF4025" w:rsidRPr="00542EB9">
        <w:rPr>
          <w:rFonts w:eastAsia="Calibri"/>
          <w:noProof/>
        </w:rPr>
        <w:t xml:space="preserve"> highlighted in several European Court of Auditors special reports</w:t>
      </w:r>
      <w:r w:rsidR="00C66A71" w:rsidRPr="00542EB9">
        <w:rPr>
          <w:rStyle w:val="FootnoteReference"/>
          <w:rFonts w:eastAsia="Calibri"/>
          <w:noProof/>
          <w:sz w:val="20"/>
          <w:szCs w:val="20"/>
        </w:rPr>
        <w:footnoteReference w:id="51"/>
      </w:r>
      <w:r w:rsidR="00033C28" w:rsidRPr="00542EB9">
        <w:rPr>
          <w:rFonts w:eastAsia="Calibri"/>
          <w:noProof/>
        </w:rPr>
        <w:t>.</w:t>
      </w:r>
      <w:r w:rsidR="00C66A71" w:rsidRPr="00542EB9">
        <w:rPr>
          <w:rFonts w:eastAsia="Calibri"/>
          <w:noProof/>
        </w:rPr>
        <w:t xml:space="preserve"> </w:t>
      </w:r>
    </w:p>
    <w:p w14:paraId="58ABACEC" w14:textId="1994DC54" w:rsidR="001E483D" w:rsidRPr="00542EB9" w:rsidRDefault="24BE0066" w:rsidP="001E483D">
      <w:pPr>
        <w:rPr>
          <w:rFonts w:eastAsia="Calibri"/>
          <w:noProof/>
          <w:sz w:val="20"/>
          <w:szCs w:val="20"/>
        </w:rPr>
      </w:pPr>
      <w:r w:rsidRPr="00542EB9" w:rsidDel="002C1F8A">
        <w:rPr>
          <w:rFonts w:eastAsia="Calibri"/>
          <w:noProof/>
        </w:rPr>
        <w:t xml:space="preserve">In the area of </w:t>
      </w:r>
      <w:r w:rsidRPr="00542EB9" w:rsidDel="002C1F8A">
        <w:rPr>
          <w:rFonts w:eastAsia="Calibri"/>
          <w:b/>
          <w:bCs/>
          <w:noProof/>
        </w:rPr>
        <w:t>taxation</w:t>
      </w:r>
      <w:r w:rsidRPr="00542EB9" w:rsidDel="002C1F8A">
        <w:rPr>
          <w:rFonts w:eastAsia="Calibri"/>
          <w:noProof/>
        </w:rPr>
        <w:t xml:space="preserve">, the EU and the national tax administrations suffer from insufficient capacity and insufficient cooperation, both within the EU as well as with third countries, to carry out their missions effectively and efficiently. </w:t>
      </w:r>
      <w:r w:rsidRPr="00553437" w:rsidDel="002C1F8A">
        <w:rPr>
          <w:rFonts w:eastAsia="Calibri"/>
          <w:noProof/>
        </w:rPr>
        <w:t>Firstly, this is driven by the fact that there is a difference in capacity of the tax administrations. Some administrations are more advanced and agile than others to respond to trends such as green taxation (e.g. environmental tax),</w:t>
      </w:r>
      <w:r w:rsidR="007E111C" w:rsidRPr="00553437">
        <w:rPr>
          <w:rFonts w:eastAsia="Calibri"/>
          <w:noProof/>
        </w:rPr>
        <w:t xml:space="preserve"> the commitment to repurpose environmentally harmful subsidies,</w:t>
      </w:r>
      <w:r w:rsidRPr="00553437" w:rsidDel="002C1F8A">
        <w:rPr>
          <w:rFonts w:eastAsia="Calibri"/>
          <w:noProof/>
        </w:rPr>
        <w:t xml:space="preserve"> globalisation and digitalisation. In connection to the latter, the national digital systems that tax administrations </w:t>
      </w:r>
      <w:r w:rsidR="760E5DB3" w:rsidRPr="00553437" w:rsidDel="002C1F8A">
        <w:rPr>
          <w:rFonts w:eastAsia="Calibri"/>
          <w:noProof/>
        </w:rPr>
        <w:t>use</w:t>
      </w:r>
      <w:r w:rsidRPr="00553437" w:rsidDel="002C1F8A">
        <w:rPr>
          <w:rFonts w:eastAsia="Calibri"/>
          <w:noProof/>
        </w:rPr>
        <w:t xml:space="preserve"> are also unequal, with some administrations having </w:t>
      </w:r>
      <w:r w:rsidR="760E5DB3" w:rsidRPr="00553437" w:rsidDel="002C1F8A">
        <w:rPr>
          <w:rFonts w:eastAsia="Calibri"/>
          <w:noProof/>
        </w:rPr>
        <w:t>more modern</w:t>
      </w:r>
      <w:r w:rsidR="642B1A1C" w:rsidRPr="00553437" w:rsidDel="002C1F8A">
        <w:rPr>
          <w:rFonts w:eastAsia="Calibri"/>
          <w:noProof/>
        </w:rPr>
        <w:t>, better functioning</w:t>
      </w:r>
      <w:r w:rsidR="760E5DB3" w:rsidRPr="00542EB9" w:rsidDel="002C1F8A">
        <w:rPr>
          <w:rFonts w:eastAsia="Calibri"/>
          <w:noProof/>
        </w:rPr>
        <w:t xml:space="preserve"> </w:t>
      </w:r>
      <w:r w:rsidRPr="00542EB9" w:rsidDel="002C1F8A">
        <w:rPr>
          <w:rFonts w:eastAsia="Calibri"/>
          <w:noProof/>
        </w:rPr>
        <w:t xml:space="preserve">systems than others, resulting in differences of functioning of the processes and operations in tax administrations. </w:t>
      </w:r>
      <w:r w:rsidR="7C7315B5" w:rsidRPr="00542EB9" w:rsidDel="002C1F8A">
        <w:rPr>
          <w:rFonts w:eastAsia="Calibri"/>
          <w:noProof/>
        </w:rPr>
        <w:t>Secondly, the obstacles for cooperation between tax administrations and other stakeholders are driving this problem. These obstacles can be of strategic nature such as different political and economic priorities, or of legal nature such as uneven interpretation of tax legislation or of administrative and operational nature including for example different processes, interoperability</w:t>
      </w:r>
      <w:r w:rsidR="642B1A1C" w:rsidRPr="00542EB9" w:rsidDel="002C1F8A">
        <w:rPr>
          <w:rFonts w:eastAsia="Calibri"/>
          <w:noProof/>
        </w:rPr>
        <w:t>,</w:t>
      </w:r>
      <w:r w:rsidR="7C7315B5" w:rsidRPr="00542EB9" w:rsidDel="002C1F8A">
        <w:rPr>
          <w:rFonts w:eastAsia="Calibri"/>
          <w:noProof/>
        </w:rPr>
        <w:t xml:space="preserve"> etc. While these obstacles are partly addressed by enhanced administrative cooperation</w:t>
      </w:r>
      <w:r w:rsidR="00631E0E" w:rsidRPr="00542EB9" w:rsidDel="002C1F8A">
        <w:rPr>
          <w:rFonts w:eastAsia="Calibri"/>
          <w:noProof/>
          <w:sz w:val="20"/>
          <w:szCs w:val="20"/>
          <w:vertAlign w:val="superscript"/>
        </w:rPr>
        <w:footnoteReference w:id="52"/>
      </w:r>
      <w:r w:rsidR="7C7315B5" w:rsidRPr="00542EB9" w:rsidDel="002C1F8A">
        <w:rPr>
          <w:rFonts w:eastAsia="Calibri"/>
          <w:noProof/>
        </w:rPr>
        <w:t xml:space="preserve">, there is still room for improvement and the full potential has not been achieved just yet. </w:t>
      </w:r>
      <w:r w:rsidR="00AD57C8" w:rsidRPr="00542EB9">
        <w:rPr>
          <w:rFonts w:eastAsia="Calibri"/>
          <w:noProof/>
        </w:rPr>
        <w:t>As such</w:t>
      </w:r>
      <w:r w:rsidR="000920EF" w:rsidRPr="00542EB9">
        <w:rPr>
          <w:rFonts w:eastAsia="Calibri"/>
          <w:noProof/>
        </w:rPr>
        <w:t>,</w:t>
      </w:r>
      <w:r w:rsidR="001E483D" w:rsidRPr="00542EB9">
        <w:rPr>
          <w:noProof/>
        </w:rPr>
        <w:t xml:space="preserve"> </w:t>
      </w:r>
      <w:r w:rsidR="001E483D" w:rsidRPr="00542EB9">
        <w:rPr>
          <w:rFonts w:eastAsia="Calibri"/>
          <w:noProof/>
        </w:rPr>
        <w:t>increasing demands for tax</w:t>
      </w:r>
      <w:r w:rsidR="001E483D" w:rsidRPr="00542EB9">
        <w:rPr>
          <w:rFonts w:eastAsia="Calibri"/>
          <w:noProof/>
          <w:lang w:val="en-IE"/>
        </w:rPr>
        <w:t xml:space="preserve"> </w:t>
      </w:r>
      <w:r w:rsidR="001E483D" w:rsidRPr="00542EB9">
        <w:rPr>
          <w:rFonts w:eastAsia="Calibri"/>
          <w:noProof/>
        </w:rPr>
        <w:t xml:space="preserve">administrations related to digitalisation and e-commerce, </w:t>
      </w:r>
      <w:r w:rsidR="000920EF" w:rsidRPr="00542EB9">
        <w:rPr>
          <w:rFonts w:eastAsia="Calibri"/>
          <w:noProof/>
        </w:rPr>
        <w:t>lead</w:t>
      </w:r>
      <w:r w:rsidR="001E483D" w:rsidRPr="00542EB9">
        <w:rPr>
          <w:rFonts w:eastAsia="Calibri"/>
          <w:noProof/>
        </w:rPr>
        <w:t xml:space="preserve"> to increase in the demand for quality of exchange of information and administrative cooperation</w:t>
      </w:r>
      <w:r w:rsidR="009051FE" w:rsidRPr="00542EB9">
        <w:rPr>
          <w:rStyle w:val="FootnoteReference"/>
          <w:rFonts w:eastAsia="Calibri"/>
          <w:noProof/>
          <w:sz w:val="20"/>
          <w:szCs w:val="20"/>
        </w:rPr>
        <w:footnoteReference w:id="53"/>
      </w:r>
      <w:r w:rsidR="001E483D" w:rsidRPr="00542EB9">
        <w:rPr>
          <w:rFonts w:eastAsia="Calibri"/>
          <w:noProof/>
          <w:sz w:val="20"/>
          <w:szCs w:val="20"/>
        </w:rPr>
        <w:t>.</w:t>
      </w:r>
    </w:p>
    <w:p w14:paraId="4EEF71B9" w14:textId="4D15AC9B" w:rsidR="009534D1" w:rsidRPr="00542EB9" w:rsidDel="002C1F8A" w:rsidRDefault="7C7315B5" w:rsidP="5DD21FD3">
      <w:pPr>
        <w:rPr>
          <w:rFonts w:eastAsia="Calibri"/>
          <w:noProof/>
          <w:color w:val="000000" w:themeColor="text1"/>
        </w:rPr>
      </w:pPr>
      <w:r w:rsidRPr="00542EB9" w:rsidDel="002C1F8A">
        <w:rPr>
          <w:rFonts w:eastAsia="Calibri"/>
          <w:noProof/>
        </w:rPr>
        <w:t>Moreover, the legislative measures become only meaningful once they are properly implemented, requiring facilitation to ensure their impact and accessibility to the legal instruments for all tax authorities. At the same time, there are emerging needs for more central digital solutions to lift the burden that individual M</w:t>
      </w:r>
      <w:r w:rsidR="4A351DA8" w:rsidRPr="00542EB9" w:rsidDel="002C1F8A">
        <w:rPr>
          <w:rFonts w:eastAsia="Calibri"/>
          <w:noProof/>
        </w:rPr>
        <w:t xml:space="preserve">ember </w:t>
      </w:r>
      <w:r w:rsidRPr="00542EB9" w:rsidDel="002C1F8A">
        <w:rPr>
          <w:rFonts w:eastAsia="Calibri"/>
          <w:noProof/>
        </w:rPr>
        <w:t>S</w:t>
      </w:r>
      <w:r w:rsidR="4A351DA8" w:rsidRPr="00542EB9" w:rsidDel="002C1F8A">
        <w:rPr>
          <w:rFonts w:eastAsia="Calibri"/>
          <w:noProof/>
        </w:rPr>
        <w:t>tate</w:t>
      </w:r>
      <w:r w:rsidRPr="00542EB9" w:rsidDel="002C1F8A">
        <w:rPr>
          <w:rFonts w:eastAsia="Calibri"/>
          <w:noProof/>
        </w:rPr>
        <w:t xml:space="preserve"> tax authorities are facing in this regard.</w:t>
      </w:r>
      <w:r w:rsidR="398C658F" w:rsidRPr="00542EB9" w:rsidDel="002C1F8A">
        <w:rPr>
          <w:rFonts w:eastAsia="Calibri"/>
          <w:noProof/>
        </w:rPr>
        <w:t xml:space="preserve"> </w:t>
      </w:r>
      <w:r w:rsidR="016C93E4" w:rsidRPr="00542EB9" w:rsidDel="002C1F8A">
        <w:rPr>
          <w:noProof/>
          <w:color w:val="000000" w:themeColor="text1"/>
        </w:rPr>
        <w:t xml:space="preserve">This results in a need to guarantee a support to cooperation between national authorities to ensure the well-functioning of the </w:t>
      </w:r>
      <w:r w:rsidR="005459CC" w:rsidRPr="00542EB9">
        <w:rPr>
          <w:noProof/>
          <w:color w:val="000000" w:themeColor="text1"/>
        </w:rPr>
        <w:t>single market</w:t>
      </w:r>
      <w:r w:rsidR="52A61A74" w:rsidRPr="00542EB9" w:rsidDel="002C1F8A">
        <w:rPr>
          <w:noProof/>
          <w:color w:val="000000" w:themeColor="text1"/>
        </w:rPr>
        <w:t>.</w:t>
      </w:r>
      <w:r w:rsidR="016C93E4" w:rsidRPr="00542EB9" w:rsidDel="002C1F8A">
        <w:rPr>
          <w:noProof/>
          <w:color w:val="000000" w:themeColor="text1"/>
        </w:rPr>
        <w:t xml:space="preserve"> </w:t>
      </w:r>
      <w:r w:rsidR="016C93E4" w:rsidRPr="00542EB9" w:rsidDel="002C1F8A">
        <w:rPr>
          <w:rFonts w:eastAsia="Calibri"/>
          <w:noProof/>
          <w:color w:val="000000" w:themeColor="text1"/>
        </w:rPr>
        <w:t xml:space="preserve">Modern, efficient and resilient public authorities at national, regional, and local level, as well as specific centralised, EU-level solutions, are a pre-requisite for a well-functioning </w:t>
      </w:r>
      <w:r w:rsidR="47FE2F29" w:rsidRPr="00542EB9" w:rsidDel="002C1F8A">
        <w:rPr>
          <w:rFonts w:eastAsia="Calibri"/>
          <w:noProof/>
          <w:color w:val="000000" w:themeColor="text1"/>
        </w:rPr>
        <w:t>single</w:t>
      </w:r>
      <w:r w:rsidR="45D74B82" w:rsidRPr="00542EB9" w:rsidDel="002C1F8A">
        <w:rPr>
          <w:rFonts w:eastAsia="Calibri"/>
          <w:noProof/>
          <w:color w:val="000000" w:themeColor="text1"/>
        </w:rPr>
        <w:t xml:space="preserve"> </w:t>
      </w:r>
      <w:r w:rsidR="47FE2F29" w:rsidRPr="00542EB9" w:rsidDel="002C1F8A">
        <w:rPr>
          <w:rFonts w:eastAsia="Calibri"/>
          <w:noProof/>
          <w:color w:val="000000" w:themeColor="text1"/>
        </w:rPr>
        <w:t>m</w:t>
      </w:r>
      <w:r w:rsidR="649B31BF" w:rsidRPr="00542EB9" w:rsidDel="002C1F8A">
        <w:rPr>
          <w:rFonts w:eastAsia="Calibri"/>
          <w:noProof/>
          <w:color w:val="000000" w:themeColor="text1"/>
        </w:rPr>
        <w:t>arket</w:t>
      </w:r>
      <w:r w:rsidR="016C93E4" w:rsidRPr="00542EB9" w:rsidDel="002C1F8A">
        <w:rPr>
          <w:rFonts w:eastAsia="Calibri"/>
          <w:noProof/>
          <w:color w:val="000000" w:themeColor="text1"/>
        </w:rPr>
        <w:t xml:space="preserve"> and Customs Union, and for the achievement of Union goals. The recent crises that have affected the EU, most notably the COVID-19 pandemic and the consequences of Russia’s invasion of Ukraine, have tested the capacity of public authorities to respond to external shocks and to quickly adapt to pressing needs. </w:t>
      </w:r>
    </w:p>
    <w:p w14:paraId="31E46FB9" w14:textId="4216EE28" w:rsidR="1B2F88CF" w:rsidRPr="00542EB9" w:rsidDel="002C1F8A" w:rsidRDefault="00A93470" w:rsidP="658819FF">
      <w:pPr>
        <w:spacing w:after="160" w:line="257" w:lineRule="auto"/>
        <w:rPr>
          <w:rFonts w:ascii="Calibri" w:eastAsia="Calibri" w:hAnsi="Calibri" w:cs="Calibri"/>
          <w:noProof/>
          <w:color w:val="2E74B5"/>
          <w:sz w:val="22"/>
          <w:szCs w:val="22"/>
        </w:rPr>
      </w:pPr>
      <w:r w:rsidRPr="00542EB9">
        <w:rPr>
          <w:rFonts w:eastAsia="Calibri"/>
          <w:noProof/>
          <w:color w:val="000000" w:themeColor="text1"/>
        </w:rPr>
        <w:t xml:space="preserve">As </w:t>
      </w:r>
      <w:r w:rsidR="00526E80" w:rsidRPr="00542EB9">
        <w:rPr>
          <w:rFonts w:eastAsia="Calibri"/>
          <w:noProof/>
          <w:color w:val="000000" w:themeColor="text1"/>
        </w:rPr>
        <w:t>indicated</w:t>
      </w:r>
      <w:r w:rsidRPr="00542EB9">
        <w:rPr>
          <w:rFonts w:eastAsia="Calibri"/>
          <w:noProof/>
          <w:color w:val="000000" w:themeColor="text1"/>
        </w:rPr>
        <w:t xml:space="preserve"> by the </w:t>
      </w:r>
      <w:r w:rsidR="00526E80" w:rsidRPr="00542EB9">
        <w:rPr>
          <w:rFonts w:eastAsia="Calibri"/>
          <w:noProof/>
          <w:color w:val="000000" w:themeColor="text1"/>
        </w:rPr>
        <w:t>final evaluation of the Hercule III and</w:t>
      </w:r>
      <w:r w:rsidRPr="00542EB9">
        <w:rPr>
          <w:rFonts w:eastAsia="Calibri"/>
          <w:noProof/>
          <w:color w:val="000000" w:themeColor="text1"/>
        </w:rPr>
        <w:t xml:space="preserve"> the interim evaluation of the </w:t>
      </w:r>
      <w:r w:rsidR="003C532A" w:rsidRPr="00542EB9">
        <w:rPr>
          <w:rFonts w:eastAsia="Calibri"/>
          <w:noProof/>
          <w:color w:val="000000" w:themeColor="text1"/>
        </w:rPr>
        <w:t>UAFP</w:t>
      </w:r>
      <w:r w:rsidR="00813E0A" w:rsidRPr="00542EB9">
        <w:rPr>
          <w:rFonts w:eastAsia="Calibri"/>
          <w:noProof/>
          <w:color w:val="000000" w:themeColor="text1"/>
        </w:rPr>
        <w:t>, t</w:t>
      </w:r>
      <w:r w:rsidR="0DFC33B5" w:rsidRPr="00542EB9">
        <w:rPr>
          <w:rFonts w:eastAsia="Calibri"/>
          <w:noProof/>
          <w:color w:val="000000" w:themeColor="text1"/>
        </w:rPr>
        <w:t xml:space="preserve">he same </w:t>
      </w:r>
      <w:r w:rsidR="0DFC33B5" w:rsidRPr="00542EB9">
        <w:rPr>
          <w:rFonts w:eastAsia="Calibri"/>
          <w:noProof/>
        </w:rPr>
        <w:t>insufficient capacity and insufficient cooperation exists among the national authorities in charge of investigating and com</w:t>
      </w:r>
      <w:r w:rsidR="6C49F2B4" w:rsidRPr="00542EB9">
        <w:rPr>
          <w:rFonts w:eastAsia="Calibri"/>
          <w:noProof/>
        </w:rPr>
        <w:t>b</w:t>
      </w:r>
      <w:r w:rsidR="0DFC33B5" w:rsidRPr="00542EB9">
        <w:rPr>
          <w:rFonts w:eastAsia="Calibri"/>
          <w:noProof/>
        </w:rPr>
        <w:t>ati</w:t>
      </w:r>
      <w:r w:rsidR="1CDE8498" w:rsidRPr="00542EB9">
        <w:rPr>
          <w:rFonts w:eastAsia="Calibri"/>
          <w:noProof/>
        </w:rPr>
        <w:t>ng</w:t>
      </w:r>
      <w:r w:rsidR="0DFC33B5" w:rsidRPr="00542EB9">
        <w:rPr>
          <w:rFonts w:eastAsia="Calibri"/>
          <w:noProof/>
        </w:rPr>
        <w:t xml:space="preserve"> fraud affecting </w:t>
      </w:r>
      <w:r w:rsidR="20AB5561" w:rsidRPr="00542EB9">
        <w:rPr>
          <w:rFonts w:eastAsia="Calibri"/>
          <w:noProof/>
        </w:rPr>
        <w:t xml:space="preserve">the expenditure of the Union budget. These authorities stringently need </w:t>
      </w:r>
      <w:r w:rsidR="0083565D" w:rsidRPr="00542EB9">
        <w:rPr>
          <w:rFonts w:eastAsia="Calibri"/>
          <w:noProof/>
        </w:rPr>
        <w:t xml:space="preserve">continued </w:t>
      </w:r>
      <w:r w:rsidR="20AB5561" w:rsidRPr="00542EB9">
        <w:rPr>
          <w:rFonts w:eastAsia="Calibri"/>
          <w:noProof/>
        </w:rPr>
        <w:t xml:space="preserve">EU support in </w:t>
      </w:r>
      <w:r w:rsidR="5B46F948" w:rsidRPr="00542EB9">
        <w:rPr>
          <w:rFonts w:eastAsia="Calibri"/>
          <w:noProof/>
        </w:rPr>
        <w:t>acquiring</w:t>
      </w:r>
      <w:r w:rsidR="20AB5561" w:rsidRPr="00542EB9">
        <w:rPr>
          <w:rFonts w:eastAsia="Calibri"/>
          <w:noProof/>
        </w:rPr>
        <w:t xml:space="preserve"> the necessary </w:t>
      </w:r>
      <w:r w:rsidR="70E9A935" w:rsidRPr="00542EB9">
        <w:rPr>
          <w:rFonts w:eastAsia="Calibri"/>
          <w:noProof/>
        </w:rPr>
        <w:t>investigative</w:t>
      </w:r>
      <w:r w:rsidR="20AB5561" w:rsidRPr="00542EB9">
        <w:rPr>
          <w:rFonts w:eastAsia="Calibri"/>
          <w:noProof/>
        </w:rPr>
        <w:t xml:space="preserve"> equipment, I</w:t>
      </w:r>
      <w:r w:rsidR="5E7829E7" w:rsidRPr="00542EB9">
        <w:rPr>
          <w:rFonts w:eastAsia="Calibri"/>
          <w:noProof/>
        </w:rPr>
        <w:t xml:space="preserve">T tools and </w:t>
      </w:r>
      <w:r w:rsidR="6BBE66CE" w:rsidRPr="00542EB9">
        <w:rPr>
          <w:rFonts w:eastAsia="Calibri"/>
          <w:noProof/>
        </w:rPr>
        <w:t>training in order to step up their efforts</w:t>
      </w:r>
      <w:r w:rsidR="00B53506" w:rsidRPr="00542EB9">
        <w:rPr>
          <w:rFonts w:eastAsia="Calibri"/>
          <w:noProof/>
        </w:rPr>
        <w:t xml:space="preserve">, which is currently being addressed by the </w:t>
      </w:r>
      <w:r w:rsidR="003C532A" w:rsidRPr="00542EB9">
        <w:rPr>
          <w:rFonts w:eastAsia="Calibri"/>
          <w:noProof/>
        </w:rPr>
        <w:t>UAFP.</w:t>
      </w:r>
      <w:r w:rsidR="00B53506" w:rsidRPr="00542EB9">
        <w:rPr>
          <w:rFonts w:eastAsia="Calibri"/>
          <w:noProof/>
        </w:rPr>
        <w:t xml:space="preserve"> </w:t>
      </w:r>
      <w:r w:rsidR="6BBE66CE" w:rsidRPr="00542EB9">
        <w:rPr>
          <w:rFonts w:eastAsia="Calibri"/>
          <w:noProof/>
        </w:rPr>
        <w:t xml:space="preserve"> </w:t>
      </w:r>
    </w:p>
    <w:p w14:paraId="7375D811" w14:textId="77777777" w:rsidR="0028395F" w:rsidRPr="00542EB9" w:rsidRDefault="0028395F" w:rsidP="658819FF">
      <w:pPr>
        <w:spacing w:after="160" w:line="257" w:lineRule="auto"/>
        <w:rPr>
          <w:rFonts w:eastAsia="Calibri"/>
          <w:noProof/>
        </w:rPr>
      </w:pPr>
      <w:r w:rsidRPr="00542EB9">
        <w:rPr>
          <w:rFonts w:eastAsia="Calibri"/>
          <w:noProof/>
        </w:rPr>
        <w:t>Support should also be provided for platforms that facilitate the exchange of anti-fraud best practices and intelligence data among Member States. As a crucial element in safeguarding the EU’s financial interests, it is essential to maintain and enhance the tools required for the mandatory reporting of irregularities and fraud impacting EU expenditure in areas of shared and indirect management.</w:t>
      </w:r>
    </w:p>
    <w:p w14:paraId="353132BF" w14:textId="5E08CD21" w:rsidR="1B2F88CF" w:rsidRPr="00542EB9" w:rsidDel="002C1F8A" w:rsidRDefault="2E567C77" w:rsidP="002F44BB">
      <w:pPr>
        <w:spacing w:after="160" w:line="257" w:lineRule="auto"/>
        <w:rPr>
          <w:rFonts w:eastAsia="Calibri"/>
          <w:noProof/>
        </w:rPr>
      </w:pPr>
      <w:r w:rsidRPr="00542EB9">
        <w:rPr>
          <w:rFonts w:eastAsia="Calibri"/>
          <w:noProof/>
        </w:rPr>
        <w:t xml:space="preserve">In addition, the Union needs to support candidate, neighbouring and other third countries in their building and upgrading of national anti-fraud structures aimed at protecting the EU financial interests. </w:t>
      </w:r>
      <w:r w:rsidR="002F44BB" w:rsidRPr="00542EB9">
        <w:rPr>
          <w:rFonts w:eastAsia="Calibri"/>
          <w:noProof/>
        </w:rPr>
        <w:t>Similarly, t</w:t>
      </w:r>
      <w:r w:rsidRPr="00542EB9">
        <w:rPr>
          <w:rFonts w:eastAsia="Calibri"/>
          <w:noProof/>
        </w:rPr>
        <w:t xml:space="preserve">he future EU interventions in both Member States and third countries need to take into account the rapid changing environment in terms of the fight against fraud, with new emerging fraud patterns and far-reaching technological changes. </w:t>
      </w:r>
      <w:r w:rsidR="00805490" w:rsidRPr="00542EB9">
        <w:rPr>
          <w:rFonts w:eastAsia="Calibri"/>
          <w:noProof/>
        </w:rPr>
        <w:t xml:space="preserve">This also applies to </w:t>
      </w:r>
      <w:r w:rsidR="0095630C" w:rsidRPr="00542EB9">
        <w:rPr>
          <w:rFonts w:eastAsia="Calibri"/>
          <w:noProof/>
        </w:rPr>
        <w:t xml:space="preserve">taxation, </w:t>
      </w:r>
      <w:r w:rsidR="00955734" w:rsidRPr="00542EB9">
        <w:rPr>
          <w:rFonts w:eastAsia="Calibri"/>
          <w:noProof/>
        </w:rPr>
        <w:t>market surveillance,</w:t>
      </w:r>
      <w:r w:rsidR="008D4C89" w:rsidRPr="00542EB9">
        <w:rPr>
          <w:rFonts w:eastAsia="Calibri"/>
          <w:noProof/>
        </w:rPr>
        <w:t xml:space="preserve"> implementation </w:t>
      </w:r>
      <w:r w:rsidR="00605C48" w:rsidRPr="00542EB9">
        <w:rPr>
          <w:rFonts w:eastAsia="Calibri"/>
          <w:noProof/>
        </w:rPr>
        <w:t>and alignment</w:t>
      </w:r>
      <w:r w:rsidR="008D4C89" w:rsidRPr="00542EB9">
        <w:rPr>
          <w:rFonts w:eastAsia="Calibri"/>
          <w:noProof/>
        </w:rPr>
        <w:t xml:space="preserve"> tools,</w:t>
      </w:r>
      <w:r w:rsidR="00955734" w:rsidRPr="00542EB9">
        <w:rPr>
          <w:rFonts w:eastAsia="Calibri"/>
          <w:noProof/>
        </w:rPr>
        <w:t xml:space="preserve"> </w:t>
      </w:r>
      <w:r w:rsidR="000343A9" w:rsidRPr="00542EB9">
        <w:rPr>
          <w:rFonts w:eastAsia="Calibri"/>
          <w:noProof/>
        </w:rPr>
        <w:t xml:space="preserve">competition, </w:t>
      </w:r>
      <w:r w:rsidR="00955734" w:rsidRPr="00542EB9">
        <w:rPr>
          <w:rFonts w:eastAsia="Calibri"/>
          <w:noProof/>
        </w:rPr>
        <w:t>standardisation, consumer protection, and statistics.</w:t>
      </w:r>
      <w:r w:rsidRPr="00542EB9">
        <w:rPr>
          <w:rFonts w:eastAsia="Calibri"/>
          <w:noProof/>
        </w:rPr>
        <w:t xml:space="preserve"> </w:t>
      </w:r>
      <w:r w:rsidR="00803FD8" w:rsidRPr="00542EB9">
        <w:rPr>
          <w:rFonts w:eastAsia="Calibri"/>
          <w:noProof/>
        </w:rPr>
        <w:t xml:space="preserve">In the field of customs, </w:t>
      </w:r>
      <w:r w:rsidR="00173067" w:rsidRPr="00542EB9">
        <w:rPr>
          <w:rFonts w:eastAsia="Calibri"/>
          <w:noProof/>
        </w:rPr>
        <w:t xml:space="preserve">enlargement and Eastern </w:t>
      </w:r>
      <w:r w:rsidR="00212A54" w:rsidRPr="00542EB9">
        <w:rPr>
          <w:rFonts w:eastAsia="Calibri"/>
          <w:noProof/>
        </w:rPr>
        <w:t>neighbourhood</w:t>
      </w:r>
      <w:r w:rsidR="00173067" w:rsidRPr="00542EB9">
        <w:rPr>
          <w:rFonts w:eastAsia="Calibri"/>
          <w:noProof/>
        </w:rPr>
        <w:t xml:space="preserve"> countries </w:t>
      </w:r>
      <w:r w:rsidR="00212A54" w:rsidRPr="00542EB9">
        <w:rPr>
          <w:rFonts w:eastAsia="Calibri"/>
          <w:noProof/>
        </w:rPr>
        <w:t xml:space="preserve">will become EU external border </w:t>
      </w:r>
      <w:r w:rsidR="00A00EEF" w:rsidRPr="00542EB9">
        <w:rPr>
          <w:rFonts w:eastAsia="Calibri"/>
          <w:noProof/>
        </w:rPr>
        <w:t xml:space="preserve">therefore their onboarding on customs and taxation digital systems, </w:t>
      </w:r>
      <w:r w:rsidR="00C33BBD" w:rsidRPr="00542EB9">
        <w:rPr>
          <w:rFonts w:eastAsia="Calibri"/>
          <w:noProof/>
        </w:rPr>
        <w:t>upgrading of customs control</w:t>
      </w:r>
      <w:r w:rsidR="00A04ADD" w:rsidRPr="00542EB9">
        <w:rPr>
          <w:rFonts w:eastAsia="Calibri"/>
          <w:noProof/>
        </w:rPr>
        <w:t xml:space="preserve"> perfor</w:t>
      </w:r>
      <w:r w:rsidR="00C110AD" w:rsidRPr="00542EB9">
        <w:rPr>
          <w:rFonts w:eastAsia="Calibri"/>
          <w:noProof/>
        </w:rPr>
        <w:t xml:space="preserve">mance through </w:t>
      </w:r>
      <w:r w:rsidR="0095630C" w:rsidRPr="00542EB9">
        <w:rPr>
          <w:rFonts w:eastAsia="Calibri"/>
          <w:noProof/>
        </w:rPr>
        <w:t xml:space="preserve">customs control equipment </w:t>
      </w:r>
      <w:r w:rsidR="00C110AD" w:rsidRPr="00542EB9">
        <w:rPr>
          <w:rFonts w:eastAsia="Calibri"/>
          <w:noProof/>
        </w:rPr>
        <w:t xml:space="preserve">and </w:t>
      </w:r>
      <w:r w:rsidR="00A55F8F" w:rsidRPr="00542EB9">
        <w:rPr>
          <w:rFonts w:eastAsia="Calibri"/>
          <w:noProof/>
        </w:rPr>
        <w:t xml:space="preserve">human capacity </w:t>
      </w:r>
      <w:r w:rsidR="00036F10" w:rsidRPr="00542EB9">
        <w:rPr>
          <w:rFonts w:eastAsia="Calibri"/>
          <w:noProof/>
        </w:rPr>
        <w:t xml:space="preserve">building </w:t>
      </w:r>
      <w:r w:rsidR="003A646E" w:rsidRPr="00542EB9">
        <w:rPr>
          <w:rFonts w:eastAsia="Calibri"/>
          <w:noProof/>
        </w:rPr>
        <w:t>are of critical importance.</w:t>
      </w:r>
    </w:p>
    <w:p w14:paraId="0EA8D6EC" w14:textId="77777777" w:rsidR="00165BC7" w:rsidRPr="00542EB9" w:rsidDel="002C1F8A" w:rsidRDefault="00165BC7" w:rsidP="5DD21FD3">
      <w:pPr>
        <w:rPr>
          <w:rFonts w:eastAsia="Calibri"/>
          <w:noProof/>
          <w:color w:val="000000" w:themeColor="text1"/>
        </w:rPr>
      </w:pPr>
      <w:r w:rsidRPr="00542EB9" w:rsidDel="002C1F8A">
        <w:rPr>
          <w:rFonts w:eastAsia="Calibri"/>
          <w:noProof/>
          <w:color w:val="000000" w:themeColor="text1"/>
        </w:rPr>
        <w:t>Some governance structures (at Union, national and subnational levels) may</w:t>
      </w:r>
      <w:r w:rsidRPr="00542EB9" w:rsidDel="002C1F8A">
        <w:rPr>
          <w:rFonts w:eastAsia="Calibri"/>
          <w:b/>
          <w:bCs/>
          <w:noProof/>
          <w:color w:val="000000" w:themeColor="text1"/>
        </w:rPr>
        <w:t xml:space="preserve"> </w:t>
      </w:r>
      <w:r w:rsidRPr="00542EB9" w:rsidDel="002C1F8A">
        <w:rPr>
          <w:rFonts w:eastAsia="Calibri"/>
          <w:noProof/>
          <w:color w:val="000000" w:themeColor="text1"/>
        </w:rPr>
        <w:t>be sub-optimal for effective coordination and sharing of information across</w:t>
      </w:r>
      <w:r w:rsidRPr="00542EB9" w:rsidDel="002C1F8A">
        <w:rPr>
          <w:rFonts w:eastAsia="Calibri"/>
          <w:b/>
          <w:bCs/>
          <w:noProof/>
          <w:color w:val="000000" w:themeColor="text1"/>
        </w:rPr>
        <w:t xml:space="preserve"> </w:t>
      </w:r>
      <w:r w:rsidRPr="00542EB9" w:rsidDel="002C1F8A">
        <w:rPr>
          <w:rFonts w:eastAsia="Calibri"/>
          <w:noProof/>
          <w:color w:val="000000" w:themeColor="text1"/>
        </w:rPr>
        <w:t xml:space="preserve">policy areas and administrative levels, thus risking uneven and potentially more burdensome implementation. For example, the presence of a coordinating body with a strong political mandate helps to facilitate a strategic approach and coordinating actors across policy areas. </w:t>
      </w:r>
    </w:p>
    <w:p w14:paraId="7E49D247" w14:textId="4B933927" w:rsidR="000E08B0" w:rsidRPr="00542EB9" w:rsidDel="002C1F8A" w:rsidRDefault="000E08B0" w:rsidP="5DD21FD3">
      <w:pPr>
        <w:rPr>
          <w:rFonts w:eastAsia="Calibri"/>
          <w:noProof/>
          <w:color w:val="000000" w:themeColor="text1"/>
        </w:rPr>
      </w:pPr>
      <w:r w:rsidRPr="00542EB9" w:rsidDel="002C1F8A">
        <w:rPr>
          <w:noProof/>
        </w:rPr>
        <w:t xml:space="preserve">The appeal of accessing a well-functioning </w:t>
      </w:r>
      <w:r w:rsidR="00F25D2F" w:rsidRPr="00542EB9">
        <w:rPr>
          <w:noProof/>
        </w:rPr>
        <w:t>s</w:t>
      </w:r>
      <w:r w:rsidR="004642CE" w:rsidRPr="00542EB9" w:rsidDel="002C1F8A">
        <w:rPr>
          <w:noProof/>
        </w:rPr>
        <w:t>ingle</w:t>
      </w:r>
      <w:r w:rsidR="7175466E" w:rsidRPr="00542EB9" w:rsidDel="002C1F8A">
        <w:rPr>
          <w:noProof/>
        </w:rPr>
        <w:t xml:space="preserve"> </w:t>
      </w:r>
      <w:r w:rsidR="00F25D2F" w:rsidRPr="00542EB9">
        <w:rPr>
          <w:noProof/>
        </w:rPr>
        <w:t>m</w:t>
      </w:r>
      <w:r w:rsidR="00E83D7A" w:rsidRPr="00542EB9" w:rsidDel="002C1F8A">
        <w:rPr>
          <w:noProof/>
        </w:rPr>
        <w:t>arket</w:t>
      </w:r>
      <w:r w:rsidRPr="00542EB9" w:rsidDel="002C1F8A">
        <w:rPr>
          <w:noProof/>
        </w:rPr>
        <w:t xml:space="preserve"> enhances the EU’s external influence. It is therefore necessary to further support Member States in efforts to harness the full potential of the </w:t>
      </w:r>
      <w:r w:rsidR="004642CE" w:rsidRPr="00542EB9" w:rsidDel="002C1F8A">
        <w:rPr>
          <w:noProof/>
        </w:rPr>
        <w:t xml:space="preserve">single </w:t>
      </w:r>
      <w:r w:rsidR="46367EE1" w:rsidRPr="00542EB9" w:rsidDel="002C1F8A">
        <w:rPr>
          <w:noProof/>
        </w:rPr>
        <w:t>m</w:t>
      </w:r>
      <w:r w:rsidR="00E83D7A" w:rsidRPr="00542EB9" w:rsidDel="002C1F8A">
        <w:rPr>
          <w:noProof/>
        </w:rPr>
        <w:t>arket</w:t>
      </w:r>
      <w:r w:rsidRPr="00542EB9" w:rsidDel="002C1F8A">
        <w:rPr>
          <w:noProof/>
        </w:rPr>
        <w:t xml:space="preserve">, which also includes addressing persistent discrimination, to ensure their full participation in the </w:t>
      </w:r>
      <w:r w:rsidR="46367EE1" w:rsidRPr="00542EB9" w:rsidDel="002C1F8A">
        <w:rPr>
          <w:noProof/>
        </w:rPr>
        <w:t>single</w:t>
      </w:r>
      <w:r w:rsidR="7175466E" w:rsidRPr="00542EB9" w:rsidDel="002C1F8A">
        <w:rPr>
          <w:noProof/>
        </w:rPr>
        <w:t xml:space="preserve"> </w:t>
      </w:r>
      <w:r w:rsidR="46367EE1" w:rsidRPr="00542EB9" w:rsidDel="002C1F8A">
        <w:rPr>
          <w:noProof/>
        </w:rPr>
        <w:t>m</w:t>
      </w:r>
      <w:r w:rsidR="00E83D7A" w:rsidRPr="00542EB9" w:rsidDel="002C1F8A">
        <w:rPr>
          <w:noProof/>
        </w:rPr>
        <w:t>arket</w:t>
      </w:r>
      <w:r w:rsidRPr="00542EB9" w:rsidDel="002C1F8A">
        <w:rPr>
          <w:noProof/>
        </w:rPr>
        <w:t>, as also highlighted in the Letta report</w:t>
      </w:r>
      <w:r w:rsidR="00710C1F" w:rsidRPr="00542EB9" w:rsidDel="002C1F8A">
        <w:rPr>
          <w:noProof/>
        </w:rPr>
        <w:t>.</w:t>
      </w:r>
    </w:p>
    <w:p w14:paraId="4C5411DD" w14:textId="35314547" w:rsidR="000E08B0" w:rsidRPr="00542EB9" w:rsidRDefault="00E47386" w:rsidP="00CA0665">
      <w:pPr>
        <w:spacing w:line="259" w:lineRule="auto"/>
        <w:rPr>
          <w:noProof/>
        </w:rPr>
      </w:pPr>
      <w:r w:rsidRPr="00542EB9" w:rsidDel="002C1F8A">
        <w:rPr>
          <w:noProof/>
          <w:color w:val="000000" w:themeColor="text1"/>
        </w:rPr>
        <w:t>An</w:t>
      </w:r>
      <w:r w:rsidR="000E08B0" w:rsidRPr="00542EB9" w:rsidDel="002C1F8A">
        <w:rPr>
          <w:noProof/>
          <w:color w:val="000000" w:themeColor="text1"/>
        </w:rPr>
        <w:t xml:space="preserve"> uncoordinated approach to data gathering and processing by different programmes, synergies, training and capacity buildings actions, awareness raising activities, cross-border enforcement</w:t>
      </w:r>
      <w:r w:rsidR="008820B1" w:rsidRPr="00542EB9" w:rsidDel="002C1F8A">
        <w:rPr>
          <w:noProof/>
          <w:color w:val="000000" w:themeColor="text1"/>
        </w:rPr>
        <w:t>,</w:t>
      </w:r>
      <w:r w:rsidR="00AB585F" w:rsidRPr="00542EB9" w:rsidDel="002C1F8A">
        <w:rPr>
          <w:noProof/>
          <w:color w:val="000000" w:themeColor="text1"/>
        </w:rPr>
        <w:t xml:space="preserve"> </w:t>
      </w:r>
      <w:r w:rsidR="000E08B0" w:rsidRPr="00542EB9" w:rsidDel="002C1F8A">
        <w:rPr>
          <w:noProof/>
          <w:color w:val="000000" w:themeColor="text1"/>
        </w:rPr>
        <w:t xml:space="preserve">products testing, support to network of Member States authorities, IT development (interoperability) can impact the uniform application of rules and undermine their effectiveness. </w:t>
      </w:r>
      <w:r w:rsidR="00B77DDB" w:rsidRPr="00542EB9">
        <w:rPr>
          <w:noProof/>
          <w:color w:val="000000" w:themeColor="text1"/>
        </w:rPr>
        <w:t>An example of effective</w:t>
      </w:r>
      <w:r w:rsidR="00CC59F3" w:rsidRPr="00542EB9">
        <w:rPr>
          <w:noProof/>
          <w:color w:val="000000" w:themeColor="text1"/>
        </w:rPr>
        <w:t xml:space="preserve"> training and capacity building is to be found in the</w:t>
      </w:r>
      <w:r w:rsidR="00C82FC3" w:rsidRPr="00542EB9">
        <w:rPr>
          <w:noProof/>
          <w:color w:val="000000" w:themeColor="text1"/>
        </w:rPr>
        <w:t xml:space="preserve"> interim evaluation of the SMP</w:t>
      </w:r>
      <w:r w:rsidR="00CC59F3" w:rsidRPr="00542EB9">
        <w:rPr>
          <w:noProof/>
          <w:color w:val="000000" w:themeColor="text1"/>
        </w:rPr>
        <w:t xml:space="preserve">, which </w:t>
      </w:r>
      <w:r w:rsidR="00C82FC3" w:rsidRPr="00542EB9">
        <w:rPr>
          <w:noProof/>
          <w:color w:val="000000" w:themeColor="text1"/>
        </w:rPr>
        <w:t>pointed out that</w:t>
      </w:r>
      <w:r w:rsidR="00B77DDB" w:rsidRPr="00542EB9">
        <w:rPr>
          <w:noProof/>
          <w:color w:val="000000" w:themeColor="text1"/>
        </w:rPr>
        <w:t xml:space="preserve"> the</w:t>
      </w:r>
      <w:r w:rsidR="00C82FC3" w:rsidRPr="00542EB9">
        <w:rPr>
          <w:noProof/>
          <w:color w:val="000000" w:themeColor="text1"/>
        </w:rPr>
        <w:t xml:space="preserve"> </w:t>
      </w:r>
      <w:r w:rsidR="00B77DDB" w:rsidRPr="00542EB9">
        <w:rPr>
          <w:noProof/>
          <w:color w:val="000000" w:themeColor="text1"/>
        </w:rPr>
        <w:t>European Statistical Training Programme (ESTP) exceeded its participation targets</w:t>
      </w:r>
      <w:r w:rsidR="00312017" w:rsidRPr="00542EB9">
        <w:rPr>
          <w:rStyle w:val="FootnoteReference"/>
          <w:noProof/>
          <w:color w:val="000000" w:themeColor="text1"/>
          <w:sz w:val="20"/>
          <w:szCs w:val="20"/>
        </w:rPr>
        <w:footnoteReference w:id="54"/>
      </w:r>
      <w:r w:rsidR="00E014DC" w:rsidRPr="00542EB9">
        <w:rPr>
          <w:noProof/>
          <w:color w:val="000000" w:themeColor="text1"/>
        </w:rPr>
        <w:t>.</w:t>
      </w:r>
      <w:r w:rsidR="00E4693A" w:rsidRPr="00542EB9">
        <w:rPr>
          <w:noProof/>
          <w:color w:val="000000" w:themeColor="text1"/>
        </w:rPr>
        <w:t xml:space="preserve"> </w:t>
      </w:r>
      <w:r w:rsidR="00087D43" w:rsidRPr="00542EB9">
        <w:rPr>
          <w:noProof/>
          <w:color w:val="000000" w:themeColor="text1"/>
        </w:rPr>
        <w:t>Equall</w:t>
      </w:r>
      <w:r w:rsidR="00BA382E" w:rsidRPr="00542EB9">
        <w:rPr>
          <w:noProof/>
          <w:color w:val="000000" w:themeColor="text1"/>
        </w:rPr>
        <w:t>y, the annual progress reports of the Customs and Fiscalis p</w:t>
      </w:r>
      <w:r w:rsidR="003820FF" w:rsidRPr="00542EB9">
        <w:rPr>
          <w:noProof/>
          <w:color w:val="000000" w:themeColor="text1"/>
        </w:rPr>
        <w:t>r</w:t>
      </w:r>
      <w:r w:rsidR="00BA382E" w:rsidRPr="00542EB9">
        <w:rPr>
          <w:noProof/>
          <w:color w:val="000000" w:themeColor="text1"/>
        </w:rPr>
        <w:t>ogrammes record</w:t>
      </w:r>
      <w:r w:rsidR="00341A90" w:rsidRPr="00542EB9">
        <w:rPr>
          <w:noProof/>
          <w:color w:val="000000" w:themeColor="text1"/>
        </w:rPr>
        <w:t xml:space="preserve"> </w:t>
      </w:r>
      <w:r w:rsidR="003820FF" w:rsidRPr="00542EB9">
        <w:rPr>
          <w:noProof/>
          <w:color w:val="000000" w:themeColor="text1"/>
        </w:rPr>
        <w:t>high</w:t>
      </w:r>
      <w:r w:rsidR="00E97CF4" w:rsidRPr="00542EB9">
        <w:rPr>
          <w:noProof/>
          <w:color w:val="000000" w:themeColor="text1"/>
        </w:rPr>
        <w:t>-</w:t>
      </w:r>
      <w:r w:rsidR="003820FF" w:rsidRPr="00542EB9">
        <w:rPr>
          <w:noProof/>
          <w:color w:val="000000" w:themeColor="text1"/>
        </w:rPr>
        <w:t xml:space="preserve">level </w:t>
      </w:r>
      <w:r w:rsidR="00B006CD" w:rsidRPr="00542EB9">
        <w:rPr>
          <w:noProof/>
          <w:color w:val="000000" w:themeColor="text1"/>
        </w:rPr>
        <w:t xml:space="preserve">interest </w:t>
      </w:r>
      <w:r w:rsidR="00C715C4" w:rsidRPr="00542EB9">
        <w:rPr>
          <w:noProof/>
          <w:color w:val="000000" w:themeColor="text1"/>
        </w:rPr>
        <w:t>and ac</w:t>
      </w:r>
      <w:r w:rsidR="00B4739E" w:rsidRPr="00542EB9">
        <w:rPr>
          <w:noProof/>
          <w:color w:val="000000" w:themeColor="text1"/>
        </w:rPr>
        <w:t>tive</w:t>
      </w:r>
      <w:r w:rsidR="00C715C4" w:rsidRPr="00542EB9">
        <w:rPr>
          <w:noProof/>
          <w:color w:val="000000" w:themeColor="text1"/>
        </w:rPr>
        <w:t xml:space="preserve"> </w:t>
      </w:r>
      <w:r w:rsidR="003820FF" w:rsidRPr="00542EB9">
        <w:rPr>
          <w:noProof/>
          <w:color w:val="000000" w:themeColor="text1"/>
        </w:rPr>
        <w:t>participation to EU</w:t>
      </w:r>
      <w:r w:rsidR="00B006CD" w:rsidRPr="00542EB9">
        <w:rPr>
          <w:noProof/>
          <w:color w:val="000000" w:themeColor="text1"/>
        </w:rPr>
        <w:t>-</w:t>
      </w:r>
      <w:r w:rsidR="003820FF" w:rsidRPr="00542EB9">
        <w:rPr>
          <w:noProof/>
          <w:color w:val="000000" w:themeColor="text1"/>
        </w:rPr>
        <w:t>level human competency building activities</w:t>
      </w:r>
      <w:r w:rsidR="00704832" w:rsidRPr="00542EB9">
        <w:rPr>
          <w:noProof/>
          <w:color w:val="000000" w:themeColor="text1"/>
        </w:rPr>
        <w:t>, together with high-level satisfaction of the participants</w:t>
      </w:r>
      <w:r w:rsidR="00005A66" w:rsidRPr="00542EB9">
        <w:rPr>
          <w:rStyle w:val="FootnoteReference"/>
          <w:noProof/>
          <w:color w:val="000000" w:themeColor="text1"/>
        </w:rPr>
        <w:footnoteReference w:id="55"/>
      </w:r>
      <w:r w:rsidR="003820FF" w:rsidRPr="00542EB9">
        <w:rPr>
          <w:noProof/>
          <w:color w:val="000000" w:themeColor="text1"/>
        </w:rPr>
        <w:t xml:space="preserve">. </w:t>
      </w:r>
      <w:r w:rsidR="047117DA" w:rsidRPr="00542EB9" w:rsidDel="002C1F8A">
        <w:rPr>
          <w:noProof/>
        </w:rPr>
        <w:t>Better coordination of policies, including at EU level, is also required to address the challenges affecting the EU’s competitiveness and to strengthen the EU’s strategic and geopolitical stance. As indicated in the Draghi report, uncoordinated national policies often lead to duplication, incompatible standards, and failure to consider externalities</w:t>
      </w:r>
      <w:r w:rsidR="000E08B0" w:rsidRPr="00542EB9" w:rsidDel="002C1F8A">
        <w:rPr>
          <w:rFonts w:ascii="Calibri" w:eastAsia="Calibri" w:hAnsi="Calibri" w:cs="Calibri"/>
          <w:noProof/>
          <w:sz w:val="20"/>
          <w:szCs w:val="20"/>
          <w:vertAlign w:val="superscript"/>
        </w:rPr>
        <w:footnoteReference w:id="56"/>
      </w:r>
      <w:r w:rsidR="047117DA" w:rsidRPr="00542EB9" w:rsidDel="002C1F8A">
        <w:rPr>
          <w:noProof/>
        </w:rPr>
        <w:t xml:space="preserve">. </w:t>
      </w:r>
    </w:p>
    <w:p w14:paraId="24D00CC8" w14:textId="4F3EE312" w:rsidR="0099749B" w:rsidRPr="00542EB9" w:rsidRDefault="004C4EA5" w:rsidP="00306B02">
      <w:pPr>
        <w:pStyle w:val="Heading4"/>
        <w:spacing w:line="259" w:lineRule="auto"/>
        <w:rPr>
          <w:noProof/>
        </w:rPr>
      </w:pPr>
      <w:r w:rsidRPr="00542EB9">
        <w:rPr>
          <w:noProof/>
        </w:rPr>
        <w:t xml:space="preserve"> </w:t>
      </w:r>
      <w:r w:rsidR="0099749B" w:rsidRPr="00542EB9">
        <w:rPr>
          <w:noProof/>
        </w:rPr>
        <w:t>Lessons learnt from previous programmes</w:t>
      </w:r>
    </w:p>
    <w:p w14:paraId="5C870A01" w14:textId="4020FCEE" w:rsidR="0099749B" w:rsidRPr="00542EB9" w:rsidRDefault="0099749B" w:rsidP="0099749B">
      <w:pPr>
        <w:spacing w:line="259" w:lineRule="auto"/>
        <w:rPr>
          <w:noProof/>
        </w:rPr>
      </w:pPr>
      <w:r w:rsidRPr="00542EB9">
        <w:rPr>
          <w:noProof/>
        </w:rPr>
        <w:t>In some areas, there was sub-optimal administrative cooperation and integration between Member States and between Member States and the Commission that impacted consistent levels of enforcement of EU policies, law and rules. To avoid the creation of de facto barriers to free movement</w:t>
      </w:r>
      <w:r w:rsidR="00FF5327" w:rsidRPr="00542EB9">
        <w:rPr>
          <w:noProof/>
        </w:rPr>
        <w:t>,</w:t>
      </w:r>
      <w:r w:rsidRPr="00542EB9">
        <w:rPr>
          <w:noProof/>
        </w:rPr>
        <w:t xml:space="preserve"> there is a need for reinforced operational and administrative cooperation and integration between authorities, and between the national administration</w:t>
      </w:r>
      <w:r w:rsidR="00FF5327" w:rsidRPr="00542EB9">
        <w:rPr>
          <w:noProof/>
        </w:rPr>
        <w:t>s</w:t>
      </w:r>
      <w:r w:rsidRPr="00542EB9">
        <w:rPr>
          <w:noProof/>
        </w:rPr>
        <w:t xml:space="preserve"> and the Commission.</w:t>
      </w:r>
    </w:p>
    <w:p w14:paraId="4397AECA" w14:textId="643FC194" w:rsidR="0099749B" w:rsidRPr="00542EB9" w:rsidRDefault="0099749B" w:rsidP="0099749B">
      <w:pPr>
        <w:spacing w:line="259" w:lineRule="auto"/>
        <w:rPr>
          <w:noProof/>
        </w:rPr>
      </w:pPr>
      <w:r w:rsidRPr="00542EB9">
        <w:rPr>
          <w:noProof/>
        </w:rPr>
        <w:t>Digital tools and platforms, such as the E-surveillance Web Crawler and the Proactive Web Crawler, Safety Gate and the document digitalisation tool, are seen as valuable resources for improving market surveillance by most Market Surveillance Authorities, allowing to address product compliance issues related to e-commerce. However, some of them are still under development, and further optimisations will probably be needed to enhance the interface for users and implement additional AI-based functionalities. In terms of the Customs Union</w:t>
      </w:r>
      <w:r w:rsidR="00A85457" w:rsidRPr="00542EB9">
        <w:rPr>
          <w:noProof/>
        </w:rPr>
        <w:t>,</w:t>
      </w:r>
      <w:r w:rsidRPr="00542EB9">
        <w:rPr>
          <w:noProof/>
        </w:rPr>
        <w:t xml:space="preserve"> digitalisation and the establishment of a modern, paperless environment started decades ago.</w:t>
      </w:r>
    </w:p>
    <w:p w14:paraId="2D1960D6" w14:textId="77777777" w:rsidR="0099749B" w:rsidRPr="00542EB9" w:rsidRDefault="0099749B" w:rsidP="0099749B">
      <w:pPr>
        <w:spacing w:line="259" w:lineRule="auto"/>
        <w:rPr>
          <w:noProof/>
        </w:rPr>
      </w:pPr>
      <w:r w:rsidRPr="00542EB9">
        <w:rPr>
          <w:noProof/>
        </w:rPr>
        <w:t>Capacity building for Consumer Protection Cooperation (CPC) authorities and ADR bodies is required, backed by regular needs assessments to keep pace with evolving legislation. Upskilling of ADRs will be essential to tackle new categories of consumer disputes, making workshops and events for exchanging best practices essential. Enhance cooperation among Member States to address the fragmented ADR landscape across EU and promote collaboration among sector-specific ADR networks. This will help reduce administrative challenges by sharing resources, exchanging best practices</w:t>
      </w:r>
    </w:p>
    <w:p w14:paraId="41A4C955" w14:textId="77777777" w:rsidR="0099749B" w:rsidRPr="00542EB9" w:rsidRDefault="0099749B" w:rsidP="0099749B">
      <w:pPr>
        <w:spacing w:line="259" w:lineRule="auto"/>
        <w:rPr>
          <w:noProof/>
        </w:rPr>
      </w:pPr>
      <w:r w:rsidRPr="00542EB9">
        <w:rPr>
          <w:noProof/>
        </w:rPr>
        <w:t>Platforms such as the FIU.net (Financial Intelligence Units) contribute to the EU's efforts in enhancing cross-border collaboration among Member States. The budgetary contribution provided for the Commission to be able to take over its maintenance from Europol has allowed to significantly enhance its development which has amplified its effectiveness across borders by leveraging on EU funding to ultimately strengthen the EU's collective response to financial crimes.</w:t>
      </w:r>
    </w:p>
    <w:p w14:paraId="69CCA8AE" w14:textId="05385B99" w:rsidR="0099749B" w:rsidRPr="00542EB9" w:rsidRDefault="0099749B" w:rsidP="004B1F42">
      <w:pPr>
        <w:spacing w:after="120"/>
        <w:rPr>
          <w:noProof/>
          <w:highlight w:val="green"/>
        </w:rPr>
      </w:pPr>
      <w:r>
        <w:rPr>
          <w:noProof/>
        </w:rPr>
        <w:t xml:space="preserve">Consumer products circulating in the single market, whether bought online or offline, have become safer, and dangerous products are recalled from the single market. Tackling this issue requires coordination and cooperation among Member States authorities. For instance, Coordinated Activities on the Safety of Products (CASP) facilitated joint product testing, cross-border collaboration among national market surveillance authorities, and exchange of results and best practices that enhanced safety measures and strengthened consumer confidence in product safety within the single market. Despite progress, the problem of non-compliant products persists, and cooperation should be </w:t>
      </w:r>
      <w:r w:rsidRPr="00E02E9D">
        <w:rPr>
          <w:noProof/>
        </w:rPr>
        <w:t>strengthened. Furthermore, the shift to a circular economy that retains the value of materials in products and minimises waste has led to the adoption of new rules with a direct impact on the compliance of products entering the single market.</w:t>
      </w:r>
      <w:r w:rsidR="006556D2" w:rsidRPr="00E02E9D">
        <w:rPr>
          <w:rStyle w:val="FootnoteReference"/>
          <w:noProof/>
        </w:rPr>
        <w:footnoteReference w:id="57"/>
      </w:r>
      <w:r w:rsidR="009768BC" w:rsidRPr="00E02E9D">
        <w:rPr>
          <w:noProof/>
        </w:rPr>
        <w:t xml:space="preserve"> The</w:t>
      </w:r>
      <w:r w:rsidR="0047532B">
        <w:rPr>
          <w:noProof/>
        </w:rPr>
        <w:t>re is</w:t>
      </w:r>
      <w:r w:rsidR="009768BC" w:rsidRPr="00AD148F">
        <w:rPr>
          <w:noProof/>
        </w:rPr>
        <w:t xml:space="preserve"> </w:t>
      </w:r>
      <w:r w:rsidR="0047532B">
        <w:rPr>
          <w:noProof/>
        </w:rPr>
        <w:t xml:space="preserve">also </w:t>
      </w:r>
      <w:r w:rsidR="009768BC" w:rsidRPr="00AD148F">
        <w:rPr>
          <w:noProof/>
        </w:rPr>
        <w:t xml:space="preserve">a high rate of non-compliance with environmental standards for imported products. For example, a </w:t>
      </w:r>
      <w:r w:rsidR="006B7F56">
        <w:rPr>
          <w:noProof/>
        </w:rPr>
        <w:t>European Environment Bureau analysis</w:t>
      </w:r>
      <w:r w:rsidR="009768BC" w:rsidRPr="00AD148F">
        <w:rPr>
          <w:noProof/>
        </w:rPr>
        <w:t xml:space="preserve"> found that 95% of products sold via online marketplaces are non-compliant with chemicals laws. </w:t>
      </w:r>
    </w:p>
    <w:p w14:paraId="6B6FFD24" w14:textId="77777777" w:rsidR="0099749B" w:rsidRPr="00542EB9" w:rsidRDefault="0099749B" w:rsidP="0099749B">
      <w:pPr>
        <w:spacing w:line="259" w:lineRule="auto"/>
        <w:rPr>
          <w:noProof/>
        </w:rPr>
      </w:pPr>
      <w:r w:rsidRPr="00542EB9">
        <w:rPr>
          <w:noProof/>
        </w:rPr>
        <w:t xml:space="preserve">Communication and knowledge sharing between different stakeholders was assessed satisfactory by the interim evaluation of the SMP, nevertheless, it can be further improved.   </w:t>
      </w:r>
    </w:p>
    <w:p w14:paraId="424F376D" w14:textId="77777777" w:rsidR="0099749B" w:rsidRPr="00542EB9" w:rsidRDefault="0099749B" w:rsidP="0099749B">
      <w:pPr>
        <w:spacing w:line="259" w:lineRule="auto"/>
        <w:rPr>
          <w:noProof/>
        </w:rPr>
      </w:pPr>
      <w:r w:rsidRPr="00542EB9">
        <w:rPr>
          <w:noProof/>
        </w:rPr>
        <w:t xml:space="preserve">Support is needed for cooperation and training to equip national statistical authorities to further enhance the capacity of the European Statistical System to leverage new data sources and technologies and continue delivering high quality and timely data and statistics. </w:t>
      </w:r>
    </w:p>
    <w:p w14:paraId="740E396B" w14:textId="0AE83BD9" w:rsidR="0099749B" w:rsidRPr="00542EB9" w:rsidRDefault="0099749B" w:rsidP="0099749B">
      <w:pPr>
        <w:spacing w:line="259" w:lineRule="auto"/>
        <w:rPr>
          <w:noProof/>
        </w:rPr>
      </w:pPr>
      <w:r w:rsidRPr="00542EB9">
        <w:rPr>
          <w:noProof/>
        </w:rPr>
        <w:t xml:space="preserve">This could be partly addressed via training, capacity-building, exchanges of expertise and knowledge, joint enforcement, and networks and platforms. This would allow to facilitate cross-border cooperation within Members States and across the single market. Joint enforcement actions have been particularly effective under the </w:t>
      </w:r>
      <w:r w:rsidR="00BA6BDE" w:rsidRPr="00542EB9">
        <w:rPr>
          <w:noProof/>
        </w:rPr>
        <w:t>SMP.</w:t>
      </w:r>
    </w:p>
    <w:p w14:paraId="60BDC27E" w14:textId="0BB2083F" w:rsidR="0099749B" w:rsidRPr="00542EB9" w:rsidRDefault="0099749B" w:rsidP="0099749B">
      <w:pPr>
        <w:spacing w:line="259" w:lineRule="auto"/>
        <w:rPr>
          <w:noProof/>
        </w:rPr>
      </w:pPr>
      <w:r w:rsidRPr="00542EB9">
        <w:rPr>
          <w:noProof/>
        </w:rPr>
        <w:t xml:space="preserve">In the absence of the outcomes of the interim evaluation of the current programme generation, this impact assessment </w:t>
      </w:r>
      <w:r w:rsidR="003F5690" w:rsidRPr="00542EB9">
        <w:rPr>
          <w:noProof/>
        </w:rPr>
        <w:t>relies on</w:t>
      </w:r>
      <w:r w:rsidRPr="00542EB9">
        <w:rPr>
          <w:noProof/>
        </w:rPr>
        <w:t xml:space="preserve"> the findings of the Customs 2020 and Fiscalis 2020 programmes’ final evaluation. Both evaluations conclude that the EU intervention over the past </w:t>
      </w:r>
      <w:r w:rsidR="00C43442" w:rsidRPr="00542EB9">
        <w:rPr>
          <w:noProof/>
        </w:rPr>
        <w:t>three</w:t>
      </w:r>
      <w:r w:rsidRPr="00542EB9">
        <w:rPr>
          <w:noProof/>
        </w:rPr>
        <w:t xml:space="preserve"> decades supporting cooperation in the field of customs and taxation was instrumental in the improved functioning of the internal market and Customs Union. On the taxation side, the appreciation for the support provided by the Fiscalis programme to the administrative cooperation instruments has become clear, shown by the high uptake of beneficiaries. The results of Eurofisc in the fight against VAT fraud has increased considerably since Fiscalis funded the Transaction Network Analysis (TNA) that automated their data collection process and the Expert Team that operates the electronic system on a daily base. Eurofisc has detected suspicious transactions for an amount of EUR 1.5 b</w:t>
      </w:r>
      <w:r w:rsidR="001B2648" w:rsidRPr="00542EB9">
        <w:rPr>
          <w:noProof/>
        </w:rPr>
        <w:t>illio</w:t>
      </w:r>
      <w:r w:rsidRPr="00542EB9">
        <w:rPr>
          <w:noProof/>
        </w:rPr>
        <w:t>n in 2018, while in 2023, with TNA use, the amount was EUR 14.6 b</w:t>
      </w:r>
      <w:r w:rsidR="001B2648" w:rsidRPr="00542EB9">
        <w:rPr>
          <w:noProof/>
        </w:rPr>
        <w:t>illio</w:t>
      </w:r>
      <w:r w:rsidRPr="00542EB9">
        <w:rPr>
          <w:noProof/>
        </w:rPr>
        <w:t xml:space="preserve">n. </w:t>
      </w:r>
    </w:p>
    <w:p w14:paraId="6ADB4917" w14:textId="56730825" w:rsidR="0099749B" w:rsidRPr="00542EB9" w:rsidRDefault="0099749B" w:rsidP="0099749B">
      <w:pPr>
        <w:spacing w:line="259" w:lineRule="auto"/>
        <w:rPr>
          <w:noProof/>
        </w:rPr>
      </w:pPr>
      <w:r w:rsidRPr="00542EB9">
        <w:rPr>
          <w:noProof/>
        </w:rPr>
        <w:t>However, several ECA special reports in the customs domain highlights that despite this decades’ long support to the Customs Union, whose iterations all targeted the objective “M</w:t>
      </w:r>
      <w:r w:rsidR="001B2648" w:rsidRPr="00542EB9">
        <w:rPr>
          <w:noProof/>
        </w:rPr>
        <w:t xml:space="preserve">ember </w:t>
      </w:r>
      <w:r w:rsidRPr="00542EB9">
        <w:rPr>
          <w:noProof/>
        </w:rPr>
        <w:t>S</w:t>
      </w:r>
      <w:r w:rsidR="001B2648" w:rsidRPr="00542EB9">
        <w:rPr>
          <w:noProof/>
        </w:rPr>
        <w:t>tates</w:t>
      </w:r>
      <w:r w:rsidRPr="00542EB9">
        <w:rPr>
          <w:noProof/>
        </w:rPr>
        <w:t xml:space="preserve"> acting as one under the Customs Union” several discrepancies can still be identified in terms of establishing a uniform playing field. The shortcomings often lead back to the lack of centralised solutions and closer cooperation amongst the Member States, as well as the approximation of the administrative and operational practices. Equally, the special reports note the need for reinforced administrative and operational capacities in the administrations to fulfil their mandate and mission as per the Union Customs Code. </w:t>
      </w:r>
      <w:r w:rsidR="009C41AB" w:rsidRPr="00542EB9">
        <w:rPr>
          <w:noProof/>
        </w:rPr>
        <w:t xml:space="preserve">Moreover, </w:t>
      </w:r>
      <w:r w:rsidRPr="00542EB9">
        <w:rPr>
          <w:noProof/>
        </w:rPr>
        <w:t>on the taxation side several ECA special reports concluded that there is room for improvement. This includes for example the special report on e-commerce in which i</w:t>
      </w:r>
      <w:r w:rsidR="00992A19" w:rsidRPr="00542EB9">
        <w:rPr>
          <w:noProof/>
        </w:rPr>
        <w:t>t</w:t>
      </w:r>
      <w:r w:rsidRPr="00542EB9">
        <w:rPr>
          <w:noProof/>
        </w:rPr>
        <w:t xml:space="preserve"> became clear that many challenges of collecting VAT and customs duties remain to be resolved. Another example can be found in the special report on tackling intra-</w:t>
      </w:r>
      <w:r w:rsidR="00992A19" w:rsidRPr="00542EB9">
        <w:rPr>
          <w:noProof/>
        </w:rPr>
        <w:t>c</w:t>
      </w:r>
      <w:r w:rsidRPr="00542EB9">
        <w:rPr>
          <w:noProof/>
        </w:rPr>
        <w:t>ommunity VAT fraud on which more action is needed.</w:t>
      </w:r>
    </w:p>
    <w:p w14:paraId="798FF814" w14:textId="3DA262B6" w:rsidR="0099749B" w:rsidRPr="00542EB9" w:rsidRDefault="0099749B" w:rsidP="0099749B">
      <w:pPr>
        <w:spacing w:line="259" w:lineRule="auto"/>
        <w:rPr>
          <w:noProof/>
        </w:rPr>
      </w:pPr>
      <w:r w:rsidRPr="00542EB9">
        <w:rPr>
          <w:noProof/>
        </w:rPr>
        <w:t>In addition, the delays in the national delivery on the</w:t>
      </w:r>
      <w:r w:rsidR="00A83109" w:rsidRPr="00542EB9">
        <w:rPr>
          <w:noProof/>
        </w:rPr>
        <w:t xml:space="preserve"> Union Customs Code</w:t>
      </w:r>
      <w:r w:rsidRPr="00542EB9">
        <w:rPr>
          <w:noProof/>
        </w:rPr>
        <w:t xml:space="preserve"> </w:t>
      </w:r>
      <w:r w:rsidR="00A83109" w:rsidRPr="00542EB9">
        <w:rPr>
          <w:noProof/>
        </w:rPr>
        <w:t>(</w:t>
      </w:r>
      <w:r w:rsidRPr="00542EB9">
        <w:rPr>
          <w:noProof/>
        </w:rPr>
        <w:t>UCC</w:t>
      </w:r>
      <w:r w:rsidR="00A83109" w:rsidRPr="00542EB9">
        <w:rPr>
          <w:noProof/>
        </w:rPr>
        <w:t>)</w:t>
      </w:r>
      <w:r w:rsidRPr="00542EB9">
        <w:rPr>
          <w:noProof/>
        </w:rPr>
        <w:t xml:space="preserve"> national components highlighted in the annual eCustoms reports leading to the need to amend the related milestones set in </w:t>
      </w:r>
      <w:r w:rsidR="00701DF2" w:rsidRPr="00542EB9">
        <w:rPr>
          <w:noProof/>
        </w:rPr>
        <w:t xml:space="preserve">the </w:t>
      </w:r>
      <w:r w:rsidRPr="00542EB9">
        <w:rPr>
          <w:noProof/>
        </w:rPr>
        <w:t xml:space="preserve">legislation, extending the deadlines show that not all national customs authorities have the capacity to respond to legislative obligations in a timely manner. Efforts under the Customs programme (and its predecessors) to facilitate the cooperation between national administrations and authorities to share the burden of IT development led to limited success, as confirmed by the assessment of the Expert Team on New Approaches on IT Collaboration (ETCIT) to develop and operate customs IT systems and confirmed by the identified hindering factors by the Chief Information Officers’ Network (e.g. legal boundaries, operation and digital limitations). </w:t>
      </w:r>
    </w:p>
    <w:p w14:paraId="101CE154" w14:textId="0440C702" w:rsidR="0099749B" w:rsidRPr="00542EB9" w:rsidRDefault="0099749B" w:rsidP="00C072B5">
      <w:pPr>
        <w:spacing w:line="259" w:lineRule="auto"/>
        <w:rPr>
          <w:noProof/>
        </w:rPr>
      </w:pPr>
      <w:r w:rsidRPr="00542EB9">
        <w:rPr>
          <w:noProof/>
        </w:rPr>
        <w:t>The Technical Support Instrument (TSI) supports the capacity building of national authorities and administrations. The TSI provides tailor-made technical expertise to Member States to design and implement reforms. The main goal of the TSI is to enhance Member States’ administrative capacity to deliver on reforms linked to key EU policies. The technical support is provided in a wide range of policy areas related to public administration and the single market</w:t>
      </w:r>
      <w:r w:rsidR="00956B45" w:rsidRPr="00542EB9">
        <w:rPr>
          <w:rStyle w:val="FootnoteReference"/>
          <w:noProof/>
        </w:rPr>
        <w:footnoteReference w:id="58"/>
      </w:r>
      <w:r w:rsidRPr="00542EB9">
        <w:rPr>
          <w:noProof/>
        </w:rPr>
        <w:t>, including but not limited to customs, taxation and anti-fraud</w:t>
      </w:r>
      <w:r w:rsidR="00956B45" w:rsidRPr="00542EB9">
        <w:rPr>
          <w:rStyle w:val="FootnoteReference"/>
          <w:noProof/>
        </w:rPr>
        <w:footnoteReference w:id="59"/>
      </w:r>
      <w:r w:rsidRPr="00542EB9">
        <w:rPr>
          <w:noProof/>
        </w:rPr>
        <w:t>. TSI support is provided via expertise and technical support to all Member States to carry out reforms that create jobs, inclusive societies and sustainable growth. The TSI has a budget of EUR 864 million under the 2021-2027 MFF.</w:t>
      </w:r>
      <w:r w:rsidR="00C072B5" w:rsidRPr="00542EB9" w:rsidDel="00956B45">
        <w:rPr>
          <w:rStyle w:val="CommentReference"/>
          <w:noProof/>
        </w:rPr>
        <w:t xml:space="preserve"> </w:t>
      </w:r>
    </w:p>
    <w:p w14:paraId="1276A7E4" w14:textId="243825B7" w:rsidR="0099749B" w:rsidRPr="00542EB9" w:rsidDel="002C1F8A" w:rsidRDefault="0099749B" w:rsidP="0099749B">
      <w:pPr>
        <w:spacing w:line="259" w:lineRule="auto"/>
        <w:rPr>
          <w:noProof/>
        </w:rPr>
      </w:pPr>
      <w:r w:rsidRPr="00542EB9">
        <w:rPr>
          <w:noProof/>
        </w:rPr>
        <w:t xml:space="preserve">According to the </w:t>
      </w:r>
      <w:r w:rsidR="00157E93">
        <w:rPr>
          <w:noProof/>
        </w:rPr>
        <w:t>interim</w:t>
      </w:r>
      <w:r w:rsidR="00EC1E1E">
        <w:rPr>
          <w:noProof/>
        </w:rPr>
        <w:t xml:space="preserve"> </w:t>
      </w:r>
      <w:r w:rsidRPr="00542EB9">
        <w:rPr>
          <w:noProof/>
        </w:rPr>
        <w:t>evaluation of the TSI, the Instrument has proven effective in promoting cooperation and cross-border exchanges among Member States, bringing Union-wide impacts. This was particularly achieved through multi-country projects or TSI flagships projects, such “Public Administration Cooperation Exchange”, that was launched in 2023 with the objective of creating a European community of civil servants that share good practices and create bilateral contacts. This evaluation underscores the positive impact of fostering continuous cooperation and the creation of a community of experts across Member States. Cooperation between National Administrations and sharing national practices at EU level for the design, implementation, and evaluation of reforms makes it possible to pull together the best and most innovative elements from each Member State, thereby creating transnational and national structures that are competitive worldwide, while preserving diversity at national level.</w:t>
      </w:r>
    </w:p>
    <w:p w14:paraId="06FFFC99" w14:textId="6267EF5F" w:rsidR="001276DF" w:rsidRPr="00542EB9" w:rsidRDefault="4D431300" w:rsidP="002C47C6">
      <w:pPr>
        <w:pStyle w:val="Heading3"/>
        <w:rPr>
          <w:i w:val="0"/>
          <w:noProof/>
        </w:rPr>
      </w:pPr>
      <w:r w:rsidRPr="00542EB9">
        <w:rPr>
          <w:noProof/>
        </w:rPr>
        <w:t xml:space="preserve">Problem driver: </w:t>
      </w:r>
      <w:r w:rsidR="280305D9" w:rsidRPr="00542EB9">
        <w:rPr>
          <w:noProof/>
        </w:rPr>
        <w:t xml:space="preserve">Rulemaking, standard-setting and enforcement at EU level may </w:t>
      </w:r>
      <w:r w:rsidR="00F9348C" w:rsidRPr="00542EB9">
        <w:rPr>
          <w:noProof/>
        </w:rPr>
        <w:t>hamper their a</w:t>
      </w:r>
      <w:r w:rsidR="009570F3" w:rsidRPr="00542EB9">
        <w:rPr>
          <w:noProof/>
        </w:rPr>
        <w:t>dapta</w:t>
      </w:r>
      <w:r w:rsidR="00F9348C" w:rsidRPr="00542EB9">
        <w:rPr>
          <w:noProof/>
        </w:rPr>
        <w:t>bility</w:t>
      </w:r>
    </w:p>
    <w:p w14:paraId="12A2BB35" w14:textId="4C62E2C7" w:rsidR="0029397B" w:rsidRPr="00542EB9" w:rsidRDefault="0029397B" w:rsidP="00306B02">
      <w:pPr>
        <w:pStyle w:val="Heading4"/>
        <w:rPr>
          <w:noProof/>
          <w:color w:val="000000" w:themeColor="text1"/>
        </w:rPr>
      </w:pPr>
      <w:r w:rsidRPr="00542EB9">
        <w:rPr>
          <w:noProof/>
          <w:color w:val="000000" w:themeColor="text1"/>
        </w:rPr>
        <w:t xml:space="preserve"> Problem driver description</w:t>
      </w:r>
    </w:p>
    <w:p w14:paraId="258A3288" w14:textId="17C61900" w:rsidR="00915E9A" w:rsidRPr="00542EB9" w:rsidDel="002C1F8A" w:rsidRDefault="5BFDFC6B" w:rsidP="5DD21FD3">
      <w:pPr>
        <w:rPr>
          <w:noProof/>
          <w:color w:val="000000" w:themeColor="text1"/>
        </w:rPr>
      </w:pPr>
      <w:r w:rsidRPr="00542EB9">
        <w:rPr>
          <w:noProof/>
          <w:color w:val="000000" w:themeColor="text1"/>
        </w:rPr>
        <w:t xml:space="preserve">Ensuring the effectiveness of EU rulemaking, standard-setting, and </w:t>
      </w:r>
      <w:r w:rsidR="67C89D32" w:rsidRPr="00542EB9">
        <w:rPr>
          <w:noProof/>
          <w:color w:val="000000" w:themeColor="text1"/>
        </w:rPr>
        <w:t xml:space="preserve">harmonised </w:t>
      </w:r>
      <w:r w:rsidRPr="00542EB9">
        <w:rPr>
          <w:noProof/>
          <w:color w:val="000000" w:themeColor="text1"/>
        </w:rPr>
        <w:t xml:space="preserve">enforcement is a continuous challenge, particularly </w:t>
      </w:r>
      <w:r w:rsidR="594E5A10" w:rsidRPr="00542EB9">
        <w:rPr>
          <w:noProof/>
          <w:color w:val="000000" w:themeColor="text1"/>
        </w:rPr>
        <w:t>considering</w:t>
      </w:r>
      <w:r w:rsidRPr="00542EB9">
        <w:rPr>
          <w:noProof/>
          <w:color w:val="000000" w:themeColor="text1"/>
        </w:rPr>
        <w:t xml:space="preserve"> evolving economic, technological, and regulatory landscapes, including the increasing digitalisation of </w:t>
      </w:r>
      <w:r w:rsidR="5ECBBAC4" w:rsidRPr="00542EB9">
        <w:rPr>
          <w:noProof/>
          <w:color w:val="000000" w:themeColor="text1"/>
        </w:rPr>
        <w:t>market</w:t>
      </w:r>
      <w:r w:rsidRPr="00542EB9">
        <w:rPr>
          <w:noProof/>
          <w:color w:val="000000" w:themeColor="text1"/>
        </w:rPr>
        <w:t>s and governance.</w:t>
      </w:r>
      <w:r w:rsidR="4ED2026E" w:rsidRPr="00542EB9">
        <w:rPr>
          <w:noProof/>
          <w:color w:val="000000" w:themeColor="text1"/>
        </w:rPr>
        <w:t xml:space="preserve"> </w:t>
      </w:r>
      <w:r w:rsidR="00E95A60" w:rsidRPr="00542EB9">
        <w:rPr>
          <w:noProof/>
          <w:color w:val="000000" w:themeColor="text1"/>
        </w:rPr>
        <w:t>European standards play a pivotal role in fostering harmonisation across the EU and supporting key policy objectives. As highlighted by the interim evaluation of the SMP development of European standards has notably benefited from SMP funding, resulting in a significant increase in the number of European standards adopted.</w:t>
      </w:r>
      <w:r w:rsidR="00E461DA" w:rsidRPr="00542EB9">
        <w:rPr>
          <w:noProof/>
          <w:color w:val="000000" w:themeColor="text1"/>
        </w:rPr>
        <w:t xml:space="preserve"> The implementation rate of European standards as national standards increased from 71.23% in 2021 to 86.03% in 2023, reflecting steady year-on-year improvement.</w:t>
      </w:r>
      <w:r w:rsidR="00E95A60" w:rsidRPr="00542EB9">
        <w:rPr>
          <w:noProof/>
          <w:color w:val="000000" w:themeColor="text1"/>
        </w:rPr>
        <w:t xml:space="preserve"> </w:t>
      </w:r>
      <w:r w:rsidR="00A926A3" w:rsidRPr="00542EB9">
        <w:rPr>
          <w:noProof/>
          <w:color w:val="000000" w:themeColor="text1"/>
        </w:rPr>
        <w:t>The importance of funding to support financial standards is evidenced in the field of international financial reporting, where the IFRS Accounting Standards have seen widespread application within the EU, with almost all standards adopted (16 out of 17 IFRS and all International Accounting Standards)</w:t>
      </w:r>
      <w:r w:rsidR="00A926A3" w:rsidRPr="00542EB9">
        <w:rPr>
          <w:noProof/>
          <w:color w:val="000000" w:themeColor="text1"/>
          <w:sz w:val="20"/>
          <w:szCs w:val="20"/>
          <w:vertAlign w:val="superscript"/>
        </w:rPr>
        <w:footnoteReference w:id="60"/>
      </w:r>
      <w:r w:rsidR="00A926A3" w:rsidRPr="00542EB9">
        <w:rPr>
          <w:noProof/>
          <w:color w:val="000000" w:themeColor="text1"/>
        </w:rPr>
        <w:t>. Between 2021 and 2023, the number of countries using IFRS Accounting Standards increased from 140 to 168</w:t>
      </w:r>
      <w:r w:rsidR="00A926A3" w:rsidRPr="00542EB9">
        <w:rPr>
          <w:noProof/>
          <w:color w:val="000000" w:themeColor="text1"/>
          <w:sz w:val="20"/>
          <w:szCs w:val="20"/>
          <w:vertAlign w:val="superscript"/>
        </w:rPr>
        <w:footnoteReference w:id="61"/>
      </w:r>
      <w:r w:rsidR="00A926A3" w:rsidRPr="00542EB9">
        <w:rPr>
          <w:noProof/>
          <w:color w:val="000000" w:themeColor="text1"/>
        </w:rPr>
        <w:t>, reflecting broader international adoption. Stakeholders consulted during the interim evaluation of the SMP confirmed the effectiveness of the work of the IFRS Foundation: 78.2% (18</w:t>
      </w:r>
      <w:r w:rsidR="00AA6677" w:rsidRPr="00542EB9">
        <w:rPr>
          <w:noProof/>
          <w:color w:val="000000" w:themeColor="text1"/>
        </w:rPr>
        <w:t xml:space="preserve"> out of</w:t>
      </w:r>
      <w:r w:rsidR="000B4E00" w:rsidRPr="00542EB9">
        <w:rPr>
          <w:noProof/>
          <w:color w:val="000000" w:themeColor="text1"/>
        </w:rPr>
        <w:t xml:space="preserve"> </w:t>
      </w:r>
      <w:r w:rsidR="00A926A3" w:rsidRPr="00542EB9">
        <w:rPr>
          <w:noProof/>
          <w:color w:val="000000" w:themeColor="text1"/>
        </w:rPr>
        <w:t>23</w:t>
      </w:r>
      <w:r w:rsidR="000B4E00" w:rsidRPr="00542EB9">
        <w:rPr>
          <w:noProof/>
          <w:color w:val="000000" w:themeColor="text1"/>
        </w:rPr>
        <w:t xml:space="preserve"> respondents</w:t>
      </w:r>
      <w:r w:rsidR="00A926A3" w:rsidRPr="00542EB9">
        <w:rPr>
          <w:noProof/>
          <w:color w:val="000000" w:themeColor="text1"/>
        </w:rPr>
        <w:t xml:space="preserve">). </w:t>
      </w:r>
    </w:p>
    <w:p w14:paraId="57A04D7C" w14:textId="42971177" w:rsidR="3572EB75" w:rsidRPr="00542EB9" w:rsidRDefault="3572EB75" w:rsidP="658819FF">
      <w:pPr>
        <w:rPr>
          <w:noProof/>
          <w:color w:val="000000" w:themeColor="text1"/>
        </w:rPr>
      </w:pPr>
      <w:r w:rsidRPr="00542EB9">
        <w:rPr>
          <w:noProof/>
          <w:color w:val="000000" w:themeColor="text1"/>
        </w:rPr>
        <w:t xml:space="preserve">Moreover, there is a pressing need to ensure that policies and legislation are future-proof and ready for the digital age, thereby considering digital aspects from the start of the policy cycle through an effective and consistent use of digital-ready policymaking becomes paramount for a well-functioning </w:t>
      </w:r>
      <w:r w:rsidR="005459CC" w:rsidRPr="00542EB9">
        <w:rPr>
          <w:noProof/>
          <w:color w:val="000000" w:themeColor="text1"/>
        </w:rPr>
        <w:t>single market</w:t>
      </w:r>
      <w:r w:rsidRPr="00542EB9">
        <w:rPr>
          <w:noProof/>
          <w:color w:val="000000" w:themeColor="text1"/>
        </w:rPr>
        <w:t>.</w:t>
      </w:r>
    </w:p>
    <w:p w14:paraId="41C140AE" w14:textId="77777777" w:rsidR="0089280F" w:rsidRPr="00542EB9" w:rsidDel="002C1F8A" w:rsidRDefault="00037ABF" w:rsidP="5DD21FD3">
      <w:pPr>
        <w:rPr>
          <w:noProof/>
          <w:color w:val="000000" w:themeColor="text1"/>
        </w:rPr>
      </w:pPr>
      <w:r w:rsidRPr="00542EB9" w:rsidDel="002C1F8A">
        <w:rPr>
          <w:noProof/>
          <w:color w:val="000000" w:themeColor="text1"/>
        </w:rPr>
        <w:t xml:space="preserve">New </w:t>
      </w:r>
      <w:r w:rsidR="00826990" w:rsidRPr="00542EB9" w:rsidDel="002C1F8A">
        <w:rPr>
          <w:b/>
          <w:noProof/>
          <w:color w:val="000000" w:themeColor="text1"/>
        </w:rPr>
        <w:t xml:space="preserve">single </w:t>
      </w:r>
      <w:r w:rsidRPr="00542EB9" w:rsidDel="002C1F8A">
        <w:rPr>
          <w:b/>
          <w:noProof/>
          <w:color w:val="000000" w:themeColor="text1"/>
        </w:rPr>
        <w:t>market challenges</w:t>
      </w:r>
      <w:r w:rsidRPr="00542EB9" w:rsidDel="002C1F8A">
        <w:rPr>
          <w:noProof/>
          <w:color w:val="000000" w:themeColor="text1"/>
        </w:rPr>
        <w:t xml:space="preserve"> and unforeseen cris</w:t>
      </w:r>
      <w:r w:rsidR="008077F4" w:rsidRPr="00542EB9" w:rsidDel="002C1F8A">
        <w:rPr>
          <w:noProof/>
          <w:color w:val="000000" w:themeColor="text1"/>
        </w:rPr>
        <w:t>e</w:t>
      </w:r>
      <w:r w:rsidRPr="00542EB9" w:rsidDel="002C1F8A">
        <w:rPr>
          <w:noProof/>
          <w:color w:val="000000" w:themeColor="text1"/>
        </w:rPr>
        <w:t>s due to geopolitical contexts or societal and technological change represent challenges the EU must face.</w:t>
      </w:r>
      <w:r w:rsidRPr="00542EB9" w:rsidDel="002C1F8A">
        <w:rPr>
          <w:noProof/>
          <w:color w:val="4F6228" w:themeColor="accent3" w:themeShade="80"/>
        </w:rPr>
        <w:t xml:space="preserve"> </w:t>
      </w:r>
      <w:r w:rsidRPr="00542EB9" w:rsidDel="002C1F8A">
        <w:rPr>
          <w:noProof/>
          <w:color w:val="000000" w:themeColor="text1"/>
        </w:rPr>
        <w:t>Th</w:t>
      </w:r>
      <w:r w:rsidR="00D56497" w:rsidRPr="00542EB9" w:rsidDel="002C1F8A">
        <w:rPr>
          <w:noProof/>
          <w:color w:val="000000" w:themeColor="text1"/>
        </w:rPr>
        <w:t xml:space="preserve">ere is a need to </w:t>
      </w:r>
      <w:r w:rsidR="001307D7" w:rsidRPr="00542EB9" w:rsidDel="002C1F8A">
        <w:rPr>
          <w:noProof/>
          <w:color w:val="000000" w:themeColor="text1"/>
        </w:rPr>
        <w:t>support</w:t>
      </w:r>
      <w:r w:rsidR="007211D1" w:rsidRPr="00542EB9" w:rsidDel="002C1F8A">
        <w:rPr>
          <w:noProof/>
          <w:color w:val="000000" w:themeColor="text1"/>
        </w:rPr>
        <w:t xml:space="preserve"> </w:t>
      </w:r>
      <w:r w:rsidR="00195C65" w:rsidRPr="00542EB9" w:rsidDel="002C1F8A">
        <w:rPr>
          <w:noProof/>
          <w:color w:val="000000" w:themeColor="text1"/>
        </w:rPr>
        <w:t xml:space="preserve">the </w:t>
      </w:r>
      <w:r w:rsidR="00034166" w:rsidRPr="00542EB9" w:rsidDel="002C1F8A">
        <w:rPr>
          <w:noProof/>
          <w:color w:val="000000" w:themeColor="text1"/>
        </w:rPr>
        <w:t>adaptability</w:t>
      </w:r>
      <w:r w:rsidR="00195C65" w:rsidRPr="00542EB9" w:rsidDel="002C1F8A">
        <w:rPr>
          <w:noProof/>
          <w:color w:val="000000" w:themeColor="text1"/>
        </w:rPr>
        <w:t xml:space="preserve"> of </w:t>
      </w:r>
      <w:r w:rsidR="00E21658" w:rsidRPr="00542EB9" w:rsidDel="002C1F8A">
        <w:rPr>
          <w:noProof/>
          <w:color w:val="000000" w:themeColor="text1"/>
        </w:rPr>
        <w:t>rulemaking</w:t>
      </w:r>
      <w:r w:rsidR="0002085C" w:rsidRPr="00542EB9" w:rsidDel="002C1F8A">
        <w:rPr>
          <w:noProof/>
          <w:color w:val="000000" w:themeColor="text1"/>
        </w:rPr>
        <w:t xml:space="preserve">, standard-setting and enforcement to </w:t>
      </w:r>
      <w:r w:rsidR="00AB26F8" w:rsidRPr="00542EB9" w:rsidDel="002C1F8A">
        <w:rPr>
          <w:noProof/>
          <w:color w:val="000000" w:themeColor="text1"/>
        </w:rPr>
        <w:t xml:space="preserve">evolving </w:t>
      </w:r>
      <w:r w:rsidR="00646D3B" w:rsidRPr="00542EB9" w:rsidDel="002C1F8A">
        <w:rPr>
          <w:noProof/>
          <w:color w:val="000000" w:themeColor="text1"/>
        </w:rPr>
        <w:t>circumstances</w:t>
      </w:r>
      <w:r w:rsidR="003B7E38" w:rsidRPr="00542EB9" w:rsidDel="002C1F8A">
        <w:rPr>
          <w:noProof/>
          <w:color w:val="000000" w:themeColor="text1"/>
        </w:rPr>
        <w:t xml:space="preserve"> to </w:t>
      </w:r>
      <w:r w:rsidR="000C1FF2" w:rsidRPr="00542EB9" w:rsidDel="002C1F8A">
        <w:rPr>
          <w:noProof/>
          <w:color w:val="000000" w:themeColor="text1"/>
        </w:rPr>
        <w:t xml:space="preserve">continuously adjust </w:t>
      </w:r>
      <w:r w:rsidR="008256A0" w:rsidRPr="00542EB9" w:rsidDel="002C1F8A">
        <w:rPr>
          <w:noProof/>
          <w:color w:val="000000" w:themeColor="text1"/>
        </w:rPr>
        <w:t xml:space="preserve">policies and enforcement </w:t>
      </w:r>
      <w:r w:rsidR="001B6CE0" w:rsidRPr="00542EB9" w:rsidDel="002C1F8A">
        <w:rPr>
          <w:noProof/>
          <w:color w:val="000000" w:themeColor="text1"/>
        </w:rPr>
        <w:t xml:space="preserve">to properly respond to </w:t>
      </w:r>
      <w:r w:rsidR="00AF111A" w:rsidRPr="00542EB9" w:rsidDel="002C1F8A">
        <w:rPr>
          <w:noProof/>
          <w:color w:val="000000" w:themeColor="text1"/>
        </w:rPr>
        <w:t xml:space="preserve">unforeseen </w:t>
      </w:r>
      <w:r w:rsidR="00630B12" w:rsidRPr="00542EB9" w:rsidDel="002C1F8A">
        <w:rPr>
          <w:noProof/>
          <w:color w:val="000000" w:themeColor="text1"/>
        </w:rPr>
        <w:t>emerging challenges</w:t>
      </w:r>
      <w:r w:rsidR="001B6CE0" w:rsidRPr="00542EB9" w:rsidDel="002C1F8A">
        <w:rPr>
          <w:noProof/>
          <w:color w:val="000000" w:themeColor="text1"/>
        </w:rPr>
        <w:t>.</w:t>
      </w:r>
      <w:r w:rsidR="00017FEA" w:rsidRPr="00542EB9" w:rsidDel="002C1F8A">
        <w:rPr>
          <w:noProof/>
          <w:color w:val="000000" w:themeColor="text1"/>
        </w:rPr>
        <w:t xml:space="preserve"> </w:t>
      </w:r>
    </w:p>
    <w:p w14:paraId="2DDB32AC" w14:textId="76F9E7B5" w:rsidR="00160089" w:rsidRPr="00542EB9" w:rsidDel="002C1F8A" w:rsidRDefault="012AE241" w:rsidP="5DD21FD3">
      <w:pPr>
        <w:rPr>
          <w:rFonts w:eastAsia="Calibri"/>
          <w:noProof/>
        </w:rPr>
      </w:pPr>
      <w:r w:rsidRPr="00542EB9" w:rsidDel="002C1F8A">
        <w:rPr>
          <w:rFonts w:eastAsia="Calibri"/>
          <w:b/>
          <w:bCs/>
          <w:noProof/>
        </w:rPr>
        <w:t>New rules</w:t>
      </w:r>
      <w:r w:rsidRPr="00542EB9" w:rsidDel="002C1F8A">
        <w:rPr>
          <w:rFonts w:eastAsia="Calibri"/>
          <w:noProof/>
        </w:rPr>
        <w:t xml:space="preserve"> in the EU acquis are designed and adopted with significant input from Member States and their public authorities. </w:t>
      </w:r>
      <w:r w:rsidR="19723886" w:rsidRPr="00542EB9" w:rsidDel="002C1F8A">
        <w:rPr>
          <w:rFonts w:eastAsia="Calibri"/>
          <w:noProof/>
        </w:rPr>
        <w:t>On the ground however</w:t>
      </w:r>
      <w:r w:rsidR="0FCD9516" w:rsidRPr="00542EB9" w:rsidDel="002C1F8A">
        <w:rPr>
          <w:rFonts w:eastAsia="Calibri"/>
          <w:noProof/>
        </w:rPr>
        <w:t xml:space="preserve">, the transposition and application of EU law and the functioning of the </w:t>
      </w:r>
      <w:r w:rsidR="3A8EE7A6" w:rsidRPr="00542EB9" w:rsidDel="002C1F8A">
        <w:rPr>
          <w:rFonts w:eastAsia="Calibri"/>
          <w:noProof/>
        </w:rPr>
        <w:t>single</w:t>
      </w:r>
      <w:r w:rsidR="0FCD9516" w:rsidRPr="00542EB9" w:rsidDel="002C1F8A">
        <w:rPr>
          <w:rFonts w:eastAsia="Calibri"/>
          <w:noProof/>
        </w:rPr>
        <w:t xml:space="preserve"> </w:t>
      </w:r>
      <w:r w:rsidR="3A8EE7A6" w:rsidRPr="00542EB9" w:rsidDel="002C1F8A">
        <w:rPr>
          <w:rFonts w:eastAsia="Calibri"/>
          <w:noProof/>
        </w:rPr>
        <w:t>m</w:t>
      </w:r>
      <w:r w:rsidR="399BFD15" w:rsidRPr="00542EB9" w:rsidDel="002C1F8A">
        <w:rPr>
          <w:rFonts w:eastAsia="Calibri"/>
          <w:noProof/>
        </w:rPr>
        <w:t>arket</w:t>
      </w:r>
      <w:r w:rsidR="0FCD9516" w:rsidRPr="00542EB9" w:rsidDel="002C1F8A">
        <w:rPr>
          <w:rFonts w:eastAsia="Calibri"/>
          <w:noProof/>
        </w:rPr>
        <w:t xml:space="preserve"> </w:t>
      </w:r>
      <w:r w:rsidR="4F7754AB" w:rsidRPr="00542EB9" w:rsidDel="002C1F8A">
        <w:rPr>
          <w:rFonts w:eastAsia="Calibri"/>
          <w:noProof/>
        </w:rPr>
        <w:t>may be</w:t>
      </w:r>
      <w:r w:rsidR="0FCD9516" w:rsidRPr="00542EB9" w:rsidDel="002C1F8A">
        <w:rPr>
          <w:rFonts w:eastAsia="Calibri"/>
          <w:noProof/>
        </w:rPr>
        <w:t xml:space="preserve"> affected by limited administrative capacity.</w:t>
      </w:r>
      <w:r w:rsidR="0FCD9516" w:rsidRPr="00542EB9" w:rsidDel="002C1F8A">
        <w:rPr>
          <w:rFonts w:eastAsia="Calibri"/>
          <w:b/>
          <w:bCs/>
          <w:noProof/>
        </w:rPr>
        <w:t xml:space="preserve"> </w:t>
      </w:r>
      <w:r w:rsidR="0FCD9516" w:rsidRPr="00542EB9" w:rsidDel="002C1F8A">
        <w:rPr>
          <w:rFonts w:eastAsia="Calibri"/>
          <w:noProof/>
        </w:rPr>
        <w:t xml:space="preserve">Union law provides for a level playing field, which is essential for the functioning of the </w:t>
      </w:r>
      <w:r w:rsidR="005459CC" w:rsidRPr="00542EB9">
        <w:rPr>
          <w:rFonts w:eastAsia="Calibri"/>
          <w:noProof/>
        </w:rPr>
        <w:t>single market</w:t>
      </w:r>
      <w:r w:rsidR="4BC15307" w:rsidRPr="00542EB9" w:rsidDel="002C1F8A">
        <w:rPr>
          <w:rFonts w:eastAsia="Calibri"/>
          <w:noProof/>
        </w:rPr>
        <w:t>.</w:t>
      </w:r>
      <w:r w:rsidR="0FCD9516" w:rsidRPr="00542EB9" w:rsidDel="002C1F8A">
        <w:rPr>
          <w:rFonts w:eastAsia="Calibri"/>
          <w:noProof/>
        </w:rPr>
        <w:t xml:space="preserve"> This particularly concerns the fields of </w:t>
      </w:r>
      <w:r w:rsidR="005459CC" w:rsidRPr="00542EB9">
        <w:rPr>
          <w:rFonts w:eastAsia="Calibri"/>
          <w:noProof/>
        </w:rPr>
        <w:t>single market</w:t>
      </w:r>
      <w:r w:rsidR="1245F611" w:rsidRPr="00542EB9" w:rsidDel="002C1F8A">
        <w:rPr>
          <w:rFonts w:eastAsia="Calibri"/>
          <w:noProof/>
        </w:rPr>
        <w:t xml:space="preserve">, </w:t>
      </w:r>
      <w:r w:rsidR="0FCD9516" w:rsidRPr="00542EB9" w:rsidDel="002C1F8A">
        <w:rPr>
          <w:rFonts w:eastAsia="Calibri"/>
          <w:noProof/>
        </w:rPr>
        <w:t xml:space="preserve">standardisation, </w:t>
      </w:r>
      <w:r w:rsidR="1245F611" w:rsidRPr="00542EB9" w:rsidDel="002C1F8A">
        <w:rPr>
          <w:rFonts w:eastAsia="Calibri"/>
          <w:noProof/>
        </w:rPr>
        <w:t>market surveillance</w:t>
      </w:r>
      <w:r w:rsidR="006633A2" w:rsidRPr="00542EB9">
        <w:rPr>
          <w:rStyle w:val="FootnoteReference"/>
          <w:rFonts w:eastAsia="Calibri"/>
          <w:noProof/>
          <w:sz w:val="20"/>
          <w:szCs w:val="20"/>
        </w:rPr>
        <w:footnoteReference w:id="62"/>
      </w:r>
      <w:r w:rsidR="1245F611" w:rsidRPr="00542EB9" w:rsidDel="002C1F8A">
        <w:rPr>
          <w:rFonts w:eastAsia="Calibri"/>
          <w:noProof/>
        </w:rPr>
        <w:t xml:space="preserve">, </w:t>
      </w:r>
      <w:r w:rsidR="0FCD9516" w:rsidRPr="00542EB9" w:rsidDel="002C1F8A">
        <w:rPr>
          <w:rFonts w:eastAsia="Calibri"/>
          <w:noProof/>
        </w:rPr>
        <w:t xml:space="preserve">mutual recognition, conformity assessment, </w:t>
      </w:r>
      <w:r w:rsidR="001276DF" w:rsidRPr="00542EB9">
        <w:rPr>
          <w:rFonts w:eastAsia="Calibri"/>
          <w:noProof/>
        </w:rPr>
        <w:t>consumer protection and product safety.</w:t>
      </w:r>
      <w:r w:rsidR="0FCD9516" w:rsidRPr="00542EB9" w:rsidDel="002C1F8A">
        <w:rPr>
          <w:rFonts w:eastAsia="Calibri"/>
          <w:noProof/>
        </w:rPr>
        <w:t xml:space="preserve"> The level playing field also consists in rules on business, trade and financial services, on the production of European statistics and on the promotion of fair competition. </w:t>
      </w:r>
    </w:p>
    <w:p w14:paraId="4D33B3B2" w14:textId="3EF30347" w:rsidR="3E2D6148" w:rsidRPr="00542EB9" w:rsidDel="002C1F8A" w:rsidRDefault="3E2D6148" w:rsidP="006032D2">
      <w:pPr>
        <w:spacing w:before="244" w:after="0" w:line="228" w:lineRule="auto"/>
        <w:ind w:right="-27"/>
        <w:rPr>
          <w:rFonts w:eastAsia="Times New Roman"/>
          <w:noProof/>
        </w:rPr>
      </w:pPr>
      <w:r w:rsidRPr="00542EB9" w:rsidDel="002C1F8A">
        <w:rPr>
          <w:rFonts w:eastAsia="Times New Roman"/>
          <w:noProof/>
        </w:rPr>
        <w:t>To prepare and evaluate policies, support efficient standard setting and enforce EU legislation, the Commission relies on up to date and trustworthy data.</w:t>
      </w:r>
      <w:r w:rsidR="00E3578D" w:rsidRPr="00542EB9">
        <w:rPr>
          <w:rFonts w:eastAsia="Times New Roman"/>
          <w:noProof/>
        </w:rPr>
        <w:t xml:space="preserve"> Trust in European statistics remains high, with 95% of 1 675 respondents in the 2024 User Satisfaction Survey (USS)</w:t>
      </w:r>
      <w:r w:rsidR="00E3578D" w:rsidRPr="00542EB9">
        <w:rPr>
          <w:rFonts w:eastAsia="Times New Roman"/>
          <w:noProof/>
          <w:sz w:val="20"/>
          <w:szCs w:val="20"/>
          <w:vertAlign w:val="superscript"/>
        </w:rPr>
        <w:footnoteReference w:id="63"/>
      </w:r>
      <w:r w:rsidR="00E3578D" w:rsidRPr="00542EB9">
        <w:rPr>
          <w:rFonts w:eastAsia="Times New Roman"/>
          <w:noProof/>
          <w:sz w:val="20"/>
          <w:szCs w:val="20"/>
        </w:rPr>
        <w:t xml:space="preserve"> </w:t>
      </w:r>
      <w:r w:rsidR="00E3578D" w:rsidRPr="00542EB9">
        <w:rPr>
          <w:rFonts w:eastAsia="Times New Roman"/>
          <w:noProof/>
        </w:rPr>
        <w:t xml:space="preserve">expressing confidence in the impartiality and reliability of the data. </w:t>
      </w:r>
      <w:r w:rsidRPr="00542EB9" w:rsidDel="002C1F8A">
        <w:rPr>
          <w:rFonts w:eastAsia="Times New Roman"/>
          <w:noProof/>
        </w:rPr>
        <w:t>High-quality European statistics produced by Eurostat are indispensable for EU decision-making and for the measurement of the performance and impact of EU initiatives</w:t>
      </w:r>
      <w:r w:rsidR="004B0B53" w:rsidRPr="00542EB9">
        <w:rPr>
          <w:rStyle w:val="FootnoteReference"/>
          <w:rFonts w:eastAsia="Times New Roman"/>
          <w:noProof/>
          <w:sz w:val="20"/>
          <w:szCs w:val="20"/>
        </w:rPr>
        <w:footnoteReference w:id="64"/>
      </w:r>
      <w:r w:rsidRPr="00542EB9" w:rsidDel="002C1F8A">
        <w:rPr>
          <w:rFonts w:eastAsia="Times New Roman"/>
          <w:noProof/>
          <w:sz w:val="20"/>
          <w:szCs w:val="20"/>
        </w:rPr>
        <w:t>.</w:t>
      </w:r>
      <w:r w:rsidR="006C7BD0" w:rsidRPr="00542EB9">
        <w:rPr>
          <w:rFonts w:eastAsia="Times New Roman"/>
          <w:noProof/>
        </w:rPr>
        <w:t xml:space="preserve"> The statistical coverage has expanded significantly. Eurostat increased the number of indicators, sub-indicators, and data breakdowns from 446 million in 2020 to 718 million in 2022. Although the figure dropped to 705 million in 2023, the overall growth since 2020 indicates substantial progress</w:t>
      </w:r>
      <w:r w:rsidR="006C7BD0" w:rsidRPr="00542EB9">
        <w:rPr>
          <w:rFonts w:eastAsia="Times New Roman"/>
          <w:noProof/>
          <w:sz w:val="20"/>
          <w:szCs w:val="20"/>
          <w:vertAlign w:val="superscript"/>
        </w:rPr>
        <w:footnoteReference w:id="65"/>
      </w:r>
      <w:r w:rsidR="006C7BD0" w:rsidRPr="00542EB9">
        <w:rPr>
          <w:rFonts w:eastAsia="Times New Roman"/>
          <w:noProof/>
        </w:rPr>
        <w:t>.</w:t>
      </w:r>
    </w:p>
    <w:p w14:paraId="53818AE1" w14:textId="77777777" w:rsidR="00B55A7A" w:rsidRPr="00542EB9" w:rsidDel="002C1F8A" w:rsidRDefault="00B55A7A" w:rsidP="5DD21FD3">
      <w:pPr>
        <w:spacing w:after="0"/>
        <w:rPr>
          <w:rFonts w:eastAsia="Calibri"/>
          <w:noProof/>
        </w:rPr>
      </w:pPr>
    </w:p>
    <w:p w14:paraId="2BB9C410" w14:textId="142A15C5" w:rsidR="00E611D1" w:rsidRPr="00542EB9" w:rsidDel="002C1F8A" w:rsidRDefault="7B0F9152" w:rsidP="5DD21FD3">
      <w:pPr>
        <w:rPr>
          <w:rFonts w:eastAsia="Calibri"/>
          <w:noProof/>
        </w:rPr>
      </w:pPr>
      <w:r w:rsidRPr="00542EB9" w:rsidDel="002C1F8A">
        <w:rPr>
          <w:rFonts w:eastAsia="Calibri"/>
          <w:noProof/>
        </w:rPr>
        <w:t xml:space="preserve">The </w:t>
      </w:r>
      <w:r w:rsidRPr="00542EB9" w:rsidDel="002C1F8A">
        <w:rPr>
          <w:rFonts w:eastAsia="Calibri"/>
          <w:b/>
          <w:noProof/>
        </w:rPr>
        <w:t>fragmented application of common rules</w:t>
      </w:r>
      <w:r w:rsidRPr="00542EB9" w:rsidDel="002C1F8A">
        <w:rPr>
          <w:rFonts w:eastAsia="Calibri"/>
          <w:noProof/>
        </w:rPr>
        <w:t xml:space="preserve"> </w:t>
      </w:r>
      <w:r w:rsidR="00C26528" w:rsidRPr="00542EB9" w:rsidDel="002C1F8A">
        <w:rPr>
          <w:rFonts w:eastAsia="Calibri"/>
          <w:noProof/>
        </w:rPr>
        <w:t xml:space="preserve">is </w:t>
      </w:r>
      <w:r w:rsidRPr="00542EB9" w:rsidDel="002C1F8A">
        <w:rPr>
          <w:rFonts w:eastAsia="Calibri"/>
          <w:noProof/>
        </w:rPr>
        <w:t xml:space="preserve">due to a diverse technical capacity, resources, expertise, and know-how to deliver their implementation. The effective implementation does not lie exclusively with public administrations at national </w:t>
      </w:r>
      <w:r w:rsidR="007F14E0" w:rsidRPr="00542EB9" w:rsidDel="002C1F8A">
        <w:rPr>
          <w:rFonts w:eastAsia="Calibri"/>
          <w:noProof/>
        </w:rPr>
        <w:t>level but</w:t>
      </w:r>
      <w:r w:rsidRPr="00542EB9" w:rsidDel="002C1F8A">
        <w:rPr>
          <w:rFonts w:eastAsia="Calibri"/>
          <w:noProof/>
        </w:rPr>
        <w:t xml:space="preserve"> is also influenced by the capacity of bodies at regional and local level or non-state actors involved in the implementation on the ground. It also leads to centralised, EU-level solutions.</w:t>
      </w:r>
      <w:r w:rsidR="48195D51" w:rsidRPr="00542EB9" w:rsidDel="002C1F8A">
        <w:rPr>
          <w:rFonts w:eastAsia="Calibri"/>
          <w:noProof/>
        </w:rPr>
        <w:t xml:space="preserve"> Enforcement actions are confronted with increasingly sophisticated and numerous </w:t>
      </w:r>
      <w:r w:rsidR="009D55F8" w:rsidRPr="00542EB9" w:rsidDel="002C1F8A">
        <w:rPr>
          <w:rFonts w:eastAsia="Calibri"/>
          <w:noProof/>
        </w:rPr>
        <w:t>d</w:t>
      </w:r>
      <w:r w:rsidR="008F30EA" w:rsidRPr="00542EB9" w:rsidDel="002C1F8A">
        <w:rPr>
          <w:rFonts w:eastAsia="Calibri"/>
          <w:noProof/>
        </w:rPr>
        <w:t>igital tools</w:t>
      </w:r>
      <w:r w:rsidR="48195D51" w:rsidRPr="00542EB9" w:rsidDel="002C1F8A">
        <w:rPr>
          <w:rFonts w:eastAsia="Calibri"/>
          <w:noProof/>
        </w:rPr>
        <w:t xml:space="preserve"> used by economic operators; an exponential increase in electronic communications; a rapidly growing use of algorithms, </w:t>
      </w:r>
      <w:r w:rsidR="0084261B" w:rsidRPr="00542EB9" w:rsidDel="002C1F8A">
        <w:rPr>
          <w:rFonts w:eastAsia="Calibri"/>
          <w:noProof/>
        </w:rPr>
        <w:t>b</w:t>
      </w:r>
      <w:r w:rsidR="48195D51" w:rsidRPr="00542EB9" w:rsidDel="002C1F8A">
        <w:rPr>
          <w:rFonts w:eastAsia="Calibri"/>
          <w:noProof/>
        </w:rPr>
        <w:t xml:space="preserve">ig </w:t>
      </w:r>
      <w:r w:rsidR="0084261B" w:rsidRPr="00542EB9" w:rsidDel="002C1F8A">
        <w:rPr>
          <w:rFonts w:eastAsia="Calibri"/>
          <w:noProof/>
        </w:rPr>
        <w:t>d</w:t>
      </w:r>
      <w:r w:rsidR="48195D51" w:rsidRPr="00542EB9" w:rsidDel="002C1F8A">
        <w:rPr>
          <w:rFonts w:eastAsia="Calibri"/>
          <w:noProof/>
        </w:rPr>
        <w:t xml:space="preserve">ata, </w:t>
      </w:r>
      <w:r w:rsidR="0084261B" w:rsidRPr="00542EB9" w:rsidDel="002C1F8A">
        <w:rPr>
          <w:rFonts w:eastAsia="Calibri"/>
          <w:noProof/>
        </w:rPr>
        <w:t>b</w:t>
      </w:r>
      <w:r w:rsidR="48195D51" w:rsidRPr="00542EB9" w:rsidDel="002C1F8A">
        <w:rPr>
          <w:rFonts w:eastAsia="Calibri"/>
          <w:noProof/>
        </w:rPr>
        <w:t xml:space="preserve">ig </w:t>
      </w:r>
      <w:r w:rsidR="0084261B" w:rsidRPr="00542EB9" w:rsidDel="002C1F8A">
        <w:rPr>
          <w:rFonts w:eastAsia="Calibri"/>
          <w:noProof/>
        </w:rPr>
        <w:t>data a</w:t>
      </w:r>
      <w:r w:rsidR="48195D51" w:rsidRPr="00542EB9" w:rsidDel="002C1F8A">
        <w:rPr>
          <w:rFonts w:eastAsia="Calibri"/>
          <w:noProof/>
        </w:rPr>
        <w:t>nalytics and artificial intelligence, w</w:t>
      </w:r>
      <w:r w:rsidR="3FEE0DB8" w:rsidRPr="00542EB9" w:rsidDel="002C1F8A">
        <w:rPr>
          <w:rFonts w:eastAsia="Calibri"/>
          <w:noProof/>
        </w:rPr>
        <w:t>hich</w:t>
      </w:r>
      <w:r w:rsidR="48195D51" w:rsidRPr="00542EB9" w:rsidDel="002C1F8A">
        <w:rPr>
          <w:rFonts w:eastAsia="Calibri"/>
          <w:noProof/>
        </w:rPr>
        <w:t xml:space="preserve"> increas</w:t>
      </w:r>
      <w:r w:rsidR="6C5E907B" w:rsidRPr="00542EB9" w:rsidDel="002C1F8A">
        <w:rPr>
          <w:rFonts w:eastAsia="Calibri"/>
          <w:noProof/>
        </w:rPr>
        <w:t>es</w:t>
      </w:r>
      <w:r w:rsidR="48195D51" w:rsidRPr="00542EB9" w:rsidDel="002C1F8A">
        <w:rPr>
          <w:rFonts w:eastAsia="Calibri"/>
          <w:noProof/>
        </w:rPr>
        <w:t xml:space="preserve"> difficulties in detecting infringements (</w:t>
      </w:r>
      <w:r w:rsidR="2328F0A4" w:rsidRPr="00542EB9" w:rsidDel="002C1F8A">
        <w:rPr>
          <w:rFonts w:eastAsia="Calibri"/>
          <w:noProof/>
        </w:rPr>
        <w:t xml:space="preserve">for example, </w:t>
      </w:r>
      <w:r w:rsidR="48195D51" w:rsidRPr="00542EB9" w:rsidDel="002C1F8A">
        <w:rPr>
          <w:rFonts w:eastAsia="Calibri"/>
          <w:noProof/>
        </w:rPr>
        <w:t>digital tools may help conceal anticompetitive conduct) and collecting evidence</w:t>
      </w:r>
      <w:r w:rsidR="5C6ED021" w:rsidRPr="00542EB9" w:rsidDel="002C1F8A">
        <w:rPr>
          <w:rFonts w:eastAsia="Calibri"/>
          <w:noProof/>
        </w:rPr>
        <w:t>.</w:t>
      </w:r>
    </w:p>
    <w:p w14:paraId="10A369FD" w14:textId="6D1FF91D" w:rsidR="00E611D1" w:rsidRPr="00542EB9" w:rsidDel="002C1F8A" w:rsidRDefault="00E611D1" w:rsidP="5FF04DAF">
      <w:pPr>
        <w:rPr>
          <w:rFonts w:eastAsia="Calibri"/>
          <w:noProof/>
        </w:rPr>
      </w:pPr>
      <w:r w:rsidRPr="00542EB9" w:rsidDel="002C1F8A">
        <w:rPr>
          <w:rFonts w:eastAsia="Calibri"/>
          <w:noProof/>
        </w:rPr>
        <w:t>As identified in the Letta report</w:t>
      </w:r>
      <w:r w:rsidR="00F75562" w:rsidRPr="00542EB9">
        <w:rPr>
          <w:rStyle w:val="FootnoteReference"/>
          <w:rFonts w:eastAsia="Calibri"/>
          <w:noProof/>
          <w:sz w:val="20"/>
          <w:szCs w:val="20"/>
        </w:rPr>
        <w:footnoteReference w:id="66"/>
      </w:r>
      <w:r w:rsidRPr="00542EB9" w:rsidDel="002C1F8A">
        <w:rPr>
          <w:rFonts w:eastAsia="Calibri"/>
          <w:noProof/>
          <w:sz w:val="20"/>
          <w:szCs w:val="20"/>
        </w:rPr>
        <w:t>,</w:t>
      </w:r>
      <w:r w:rsidRPr="00542EB9" w:rsidDel="002C1F8A">
        <w:rPr>
          <w:rFonts w:eastAsia="Calibri"/>
          <w:noProof/>
        </w:rPr>
        <w:t xml:space="preserve"> discrepancies in the way EU law is transposed or implemented may result in </w:t>
      </w:r>
      <w:r w:rsidRPr="00542EB9" w:rsidDel="002C1F8A">
        <w:rPr>
          <w:rFonts w:eastAsia="Calibri"/>
          <w:b/>
          <w:noProof/>
        </w:rPr>
        <w:t>different interpretations</w:t>
      </w:r>
      <w:r w:rsidRPr="00542EB9" w:rsidDel="002C1F8A">
        <w:rPr>
          <w:rFonts w:eastAsia="Calibri"/>
          <w:noProof/>
        </w:rPr>
        <w:t xml:space="preserve"> among national legislators and courts, as each Member State has different rules in the same policy area. This contributes to the fragmentation of the </w:t>
      </w:r>
      <w:r w:rsidR="005459CC" w:rsidRPr="00542EB9">
        <w:rPr>
          <w:rFonts w:eastAsia="Calibri"/>
          <w:noProof/>
        </w:rPr>
        <w:t>single market</w:t>
      </w:r>
      <w:r w:rsidR="00D1664A" w:rsidRPr="00542EB9" w:rsidDel="002C1F8A">
        <w:rPr>
          <w:rFonts w:eastAsia="Calibri"/>
          <w:noProof/>
        </w:rPr>
        <w:t>.</w:t>
      </w:r>
      <w:r w:rsidRPr="00542EB9" w:rsidDel="002C1F8A">
        <w:rPr>
          <w:rFonts w:eastAsia="Calibri"/>
          <w:noProof/>
        </w:rPr>
        <w:t xml:space="preserve">  </w:t>
      </w:r>
    </w:p>
    <w:p w14:paraId="6825D005" w14:textId="750255B0" w:rsidR="00E611D1" w:rsidRPr="00542EB9" w:rsidDel="002C1F8A" w:rsidRDefault="2DAFEC3C" w:rsidP="5FF04DAF">
      <w:pPr>
        <w:rPr>
          <w:rFonts w:eastAsia="Calibri"/>
          <w:noProof/>
        </w:rPr>
      </w:pPr>
      <w:r w:rsidRPr="00542EB9" w:rsidDel="002C1F8A">
        <w:rPr>
          <w:rFonts w:eastAsia="Calibri"/>
          <w:noProof/>
        </w:rPr>
        <w:t>Applying a digital-ready policy-making approach, s</w:t>
      </w:r>
      <w:r w:rsidR="4C1202B1" w:rsidRPr="00542EB9" w:rsidDel="002C1F8A">
        <w:rPr>
          <w:rFonts w:eastAsia="Calibri"/>
          <w:noProof/>
        </w:rPr>
        <w:t xml:space="preserve">implifying the regulatory framework, harmonising and uniformly implementing laws across Member States and more consistently enforcing </w:t>
      </w:r>
      <w:r w:rsidR="0241EA7C" w:rsidRPr="00542EB9" w:rsidDel="002C1F8A">
        <w:rPr>
          <w:rFonts w:eastAsia="Calibri"/>
          <w:noProof/>
        </w:rPr>
        <w:t>single m</w:t>
      </w:r>
      <w:r w:rsidR="4D58A1C3" w:rsidRPr="00542EB9" w:rsidDel="002C1F8A">
        <w:rPr>
          <w:rFonts w:eastAsia="Calibri"/>
          <w:noProof/>
        </w:rPr>
        <w:t>arket</w:t>
      </w:r>
      <w:r w:rsidR="4C1202B1" w:rsidRPr="00542EB9" w:rsidDel="002C1F8A">
        <w:rPr>
          <w:rFonts w:eastAsia="Calibri"/>
          <w:noProof/>
        </w:rPr>
        <w:t xml:space="preserve"> rules are essential to ensure a well-functioning </w:t>
      </w:r>
      <w:r w:rsidR="2FA248E1" w:rsidRPr="00542EB9" w:rsidDel="002C1F8A">
        <w:rPr>
          <w:rFonts w:eastAsia="Calibri"/>
          <w:noProof/>
        </w:rPr>
        <w:t>and</w:t>
      </w:r>
      <w:r w:rsidR="4C1202B1" w:rsidRPr="00542EB9" w:rsidDel="002C1F8A">
        <w:rPr>
          <w:rFonts w:eastAsia="Calibri"/>
          <w:noProof/>
        </w:rPr>
        <w:t xml:space="preserve"> strong </w:t>
      </w:r>
      <w:r w:rsidR="005459CC" w:rsidRPr="00542EB9">
        <w:rPr>
          <w:rFonts w:eastAsia="Calibri"/>
          <w:noProof/>
        </w:rPr>
        <w:t>single market</w:t>
      </w:r>
      <w:r w:rsidR="708F2D25" w:rsidRPr="00542EB9" w:rsidDel="002C1F8A">
        <w:rPr>
          <w:rFonts w:eastAsia="Calibri"/>
          <w:noProof/>
        </w:rPr>
        <w:t>.</w:t>
      </w:r>
      <w:r w:rsidR="23573BEB" w:rsidRPr="00542EB9" w:rsidDel="002C1F8A">
        <w:rPr>
          <w:rFonts w:eastAsia="Calibri"/>
          <w:noProof/>
        </w:rPr>
        <w:t xml:space="preserve"> </w:t>
      </w:r>
      <w:r w:rsidR="280305D9" w:rsidRPr="00542EB9">
        <w:rPr>
          <w:rFonts w:eastAsia="Calibri"/>
          <w:noProof/>
        </w:rPr>
        <w:t>In the area of competition, profound changes in the economy have increased competition risks: the Draghi Report</w:t>
      </w:r>
      <w:r w:rsidR="001276DF" w:rsidRPr="00542EB9">
        <w:rPr>
          <w:rFonts w:eastAsia="Calibri"/>
          <w:noProof/>
          <w:sz w:val="20"/>
          <w:szCs w:val="20"/>
          <w:vertAlign w:val="superscript"/>
        </w:rPr>
        <w:footnoteReference w:id="67"/>
      </w:r>
      <w:r w:rsidR="280305D9" w:rsidRPr="00542EB9">
        <w:rPr>
          <w:rFonts w:eastAsia="Calibri"/>
          <w:noProof/>
        </w:rPr>
        <w:t xml:space="preserve"> recommends that competition authorities should become </w:t>
      </w:r>
      <w:r w:rsidR="23573BEB" w:rsidRPr="00542EB9" w:rsidDel="002C1F8A">
        <w:rPr>
          <w:rFonts w:eastAsia="Calibri"/>
          <w:noProof/>
        </w:rPr>
        <w:t xml:space="preserve">more forward-looking and </w:t>
      </w:r>
      <w:r w:rsidR="280305D9" w:rsidRPr="00542EB9">
        <w:rPr>
          <w:rFonts w:eastAsia="Calibri"/>
          <w:noProof/>
        </w:rPr>
        <w:t>agile:</w:t>
      </w:r>
      <w:r w:rsidR="23573BEB" w:rsidRPr="00542EB9" w:rsidDel="002C1F8A">
        <w:rPr>
          <w:rFonts w:eastAsia="Calibri"/>
          <w:noProof/>
        </w:rPr>
        <w:t xml:space="preserve"> </w:t>
      </w:r>
      <w:r w:rsidR="19141DF7" w:rsidRPr="00542EB9" w:rsidDel="002C1F8A">
        <w:rPr>
          <w:rFonts w:eastAsia="Calibri"/>
          <w:noProof/>
        </w:rPr>
        <w:t xml:space="preserve">in other words, there is a need </w:t>
      </w:r>
      <w:r w:rsidR="280305D9" w:rsidRPr="00542EB9">
        <w:rPr>
          <w:rFonts w:eastAsia="Calibri"/>
          <w:noProof/>
        </w:rPr>
        <w:t xml:space="preserve">to </w:t>
      </w:r>
      <w:r w:rsidR="23573BEB" w:rsidRPr="00542EB9" w:rsidDel="002C1F8A">
        <w:rPr>
          <w:rFonts w:eastAsia="Calibri"/>
          <w:noProof/>
        </w:rPr>
        <w:t xml:space="preserve">(i) investigate more complex cases and (ii) at the same time </w:t>
      </w:r>
      <w:r w:rsidR="280305D9" w:rsidRPr="00542EB9">
        <w:rPr>
          <w:rFonts w:eastAsia="Calibri"/>
          <w:noProof/>
        </w:rPr>
        <w:t xml:space="preserve">to </w:t>
      </w:r>
      <w:r w:rsidR="23573BEB" w:rsidRPr="00542EB9" w:rsidDel="002C1F8A">
        <w:rPr>
          <w:rFonts w:eastAsia="Calibri"/>
          <w:noProof/>
        </w:rPr>
        <w:t xml:space="preserve">conclude those cases faster than in the past. </w:t>
      </w:r>
      <w:r w:rsidR="280305D9" w:rsidRPr="00542EB9">
        <w:rPr>
          <w:rFonts w:eastAsia="Calibri"/>
          <w:noProof/>
        </w:rPr>
        <w:t>To achieve this dual objective, the Draghi report states that more resources are also needed.</w:t>
      </w:r>
      <w:r w:rsidR="580D7AF5" w:rsidRPr="00542EB9" w:rsidDel="002C1F8A">
        <w:rPr>
          <w:rFonts w:eastAsia="Calibri"/>
          <w:noProof/>
        </w:rPr>
        <w:t xml:space="preserve">  </w:t>
      </w:r>
    </w:p>
    <w:p w14:paraId="0DAA4A1A" w14:textId="23A7D800" w:rsidR="00E611D1" w:rsidRPr="00542EB9" w:rsidDel="002C1F8A" w:rsidRDefault="7B0F9152" w:rsidP="5DD21FD3">
      <w:pPr>
        <w:rPr>
          <w:rFonts w:eastAsia="Calibri"/>
          <w:noProof/>
        </w:rPr>
      </w:pPr>
      <w:r w:rsidRPr="00542EB9" w:rsidDel="002C1F8A">
        <w:rPr>
          <w:rFonts w:eastAsia="Calibri"/>
          <w:noProof/>
        </w:rPr>
        <w:t>Recent cris</w:t>
      </w:r>
      <w:r w:rsidR="55B51540" w:rsidRPr="00542EB9" w:rsidDel="002C1F8A">
        <w:rPr>
          <w:rFonts w:eastAsia="Calibri"/>
          <w:noProof/>
        </w:rPr>
        <w:t>e</w:t>
      </w:r>
      <w:r w:rsidRPr="00542EB9" w:rsidDel="002C1F8A">
        <w:rPr>
          <w:rFonts w:eastAsia="Calibri"/>
          <w:noProof/>
        </w:rPr>
        <w:t>s</w:t>
      </w:r>
      <w:r w:rsidR="42A9FDD1" w:rsidRPr="00542EB9" w:rsidDel="002C1F8A">
        <w:rPr>
          <w:rFonts w:eastAsia="Calibri"/>
          <w:noProof/>
        </w:rPr>
        <w:t xml:space="preserve"> </w:t>
      </w:r>
      <w:r w:rsidRPr="00542EB9" w:rsidDel="002C1F8A">
        <w:rPr>
          <w:rFonts w:eastAsia="Calibri"/>
          <w:noProof/>
        </w:rPr>
        <w:t xml:space="preserve">have shown the increasing need to ensure swift reactions to address unforeseen events (e.g. domains of </w:t>
      </w:r>
      <w:r w:rsidR="05BF9C39" w:rsidRPr="00542EB9" w:rsidDel="002C1F8A">
        <w:rPr>
          <w:rFonts w:eastAsia="Calibri"/>
          <w:noProof/>
        </w:rPr>
        <w:t>product safety,</w:t>
      </w:r>
      <w:r w:rsidRPr="00542EB9" w:rsidDel="002C1F8A">
        <w:rPr>
          <w:rFonts w:eastAsia="Calibri"/>
          <w:noProof/>
        </w:rPr>
        <w:t xml:space="preserve"> </w:t>
      </w:r>
      <w:r w:rsidR="215AD96C" w:rsidRPr="00542EB9" w:rsidDel="002C1F8A">
        <w:rPr>
          <w:rFonts w:eastAsia="Calibri"/>
          <w:noProof/>
        </w:rPr>
        <w:t>s</w:t>
      </w:r>
      <w:r w:rsidR="55B51540" w:rsidRPr="00542EB9" w:rsidDel="002C1F8A">
        <w:rPr>
          <w:rFonts w:eastAsia="Calibri"/>
          <w:noProof/>
        </w:rPr>
        <w:t>tatistics</w:t>
      </w:r>
      <w:r w:rsidRPr="00542EB9" w:rsidDel="002C1F8A">
        <w:rPr>
          <w:rFonts w:eastAsia="Calibri"/>
          <w:noProof/>
        </w:rPr>
        <w:t xml:space="preserve">). Some degree of adaptability is embedded in funding programmes, such as the SMP, however more flexibility will likely be required in light of potentially numerous upcoming emerging needs (linked with climate change and related natural disasters, unstable geopolitical landscape). These needs may well concern consumers and businesses, </w:t>
      </w:r>
      <w:r w:rsidR="41300A2A" w:rsidRPr="00542EB9" w:rsidDel="002C1F8A">
        <w:rPr>
          <w:rFonts w:eastAsia="Calibri"/>
          <w:noProof/>
        </w:rPr>
        <w:t xml:space="preserve">Member States </w:t>
      </w:r>
      <w:r w:rsidRPr="00542EB9" w:rsidDel="002C1F8A">
        <w:rPr>
          <w:rFonts w:eastAsia="Calibri"/>
          <w:noProof/>
        </w:rPr>
        <w:t xml:space="preserve">and the </w:t>
      </w:r>
      <w:r w:rsidR="005459CC" w:rsidRPr="00542EB9">
        <w:rPr>
          <w:rFonts w:eastAsia="Calibri"/>
          <w:noProof/>
        </w:rPr>
        <w:t>single market</w:t>
      </w:r>
      <w:r w:rsidRPr="00542EB9" w:rsidDel="002C1F8A">
        <w:rPr>
          <w:rFonts w:eastAsia="Calibri"/>
          <w:noProof/>
        </w:rPr>
        <w:t xml:space="preserve"> overall.</w:t>
      </w:r>
    </w:p>
    <w:p w14:paraId="58E98BB4" w14:textId="77777777" w:rsidR="0007600A" w:rsidRPr="00542EB9" w:rsidDel="002C1F8A" w:rsidRDefault="0007600A" w:rsidP="5DD21FD3">
      <w:pPr>
        <w:rPr>
          <w:noProof/>
        </w:rPr>
      </w:pPr>
      <w:r w:rsidRPr="00542EB9" w:rsidDel="002C1F8A">
        <w:rPr>
          <w:b/>
          <w:noProof/>
        </w:rPr>
        <w:t>Effective rulemaking and enforcement</w:t>
      </w:r>
      <w:r w:rsidRPr="00542EB9" w:rsidDel="002C1F8A">
        <w:rPr>
          <w:noProof/>
        </w:rPr>
        <w:t xml:space="preserve"> rely on robust data collection, studies, and assessments. Gaps in data collection, production, and distribution hinder the ability of policymakers and enforcement authorities to make informed decisions.</w:t>
      </w:r>
      <w:r w:rsidR="00670F79" w:rsidRPr="00542EB9" w:rsidDel="002C1F8A">
        <w:rPr>
          <w:noProof/>
        </w:rPr>
        <w:t xml:space="preserve"> This could be addressed via data collection, production and dissemination, and analysis activities, </w:t>
      </w:r>
      <w:r w:rsidR="008F30EA" w:rsidRPr="00542EB9" w:rsidDel="002C1F8A">
        <w:rPr>
          <w:noProof/>
        </w:rPr>
        <w:t>Digital tools</w:t>
      </w:r>
      <w:r w:rsidR="00670F79" w:rsidRPr="00542EB9" w:rsidDel="002C1F8A">
        <w:rPr>
          <w:noProof/>
        </w:rPr>
        <w:t>, the provision of assistance services to authorities, support to standard-setting efforts, as well as joint/coordinated actions. This would allow to ensure and enhance authorities and bodies’ ability to effectively apply tailored and agile rules produced by the EU.</w:t>
      </w:r>
    </w:p>
    <w:p w14:paraId="12A16471" w14:textId="77777777" w:rsidR="003D4798" w:rsidRPr="00542EB9" w:rsidDel="002C1F8A" w:rsidRDefault="00AD7F7A" w:rsidP="5DD21FD3">
      <w:pPr>
        <w:rPr>
          <w:noProof/>
        </w:rPr>
      </w:pPr>
      <w:r w:rsidRPr="00542EB9" w:rsidDel="002C1F8A">
        <w:rPr>
          <w:noProof/>
        </w:rPr>
        <w:t>Furthermore</w:t>
      </w:r>
      <w:r w:rsidR="003D4798" w:rsidRPr="00542EB9" w:rsidDel="002C1F8A">
        <w:rPr>
          <w:noProof/>
        </w:rPr>
        <w:t xml:space="preserve">, in areas where a coordinated approach exists, there is a continued need to maintain </w:t>
      </w:r>
      <w:r w:rsidR="0042053A" w:rsidRPr="00542EB9" w:rsidDel="002C1F8A">
        <w:rPr>
          <w:noProof/>
        </w:rPr>
        <w:t>and reinforce</w:t>
      </w:r>
      <w:r w:rsidR="003D4798" w:rsidRPr="00542EB9" w:rsidDel="002C1F8A">
        <w:rPr>
          <w:noProof/>
        </w:rPr>
        <w:t xml:space="preserve"> the coordination efforts. </w:t>
      </w:r>
      <w:r w:rsidR="008711D1" w:rsidRPr="00542EB9" w:rsidDel="002C1F8A">
        <w:rPr>
          <w:noProof/>
        </w:rPr>
        <w:t>Where the</w:t>
      </w:r>
      <w:r w:rsidR="003D4798" w:rsidRPr="00542EB9" w:rsidDel="002C1F8A">
        <w:rPr>
          <w:noProof/>
        </w:rPr>
        <w:t xml:space="preserve"> rules </w:t>
      </w:r>
      <w:r w:rsidR="008711D1" w:rsidRPr="00542EB9" w:rsidDel="002C1F8A">
        <w:rPr>
          <w:noProof/>
        </w:rPr>
        <w:t xml:space="preserve">are </w:t>
      </w:r>
      <w:r w:rsidR="003D4798" w:rsidRPr="00542EB9" w:rsidDel="002C1F8A">
        <w:rPr>
          <w:noProof/>
        </w:rPr>
        <w:t>enforced by the national authorities</w:t>
      </w:r>
      <w:r w:rsidR="008711D1" w:rsidRPr="00542EB9" w:rsidDel="002C1F8A">
        <w:rPr>
          <w:noProof/>
        </w:rPr>
        <w:t xml:space="preserve">, </w:t>
      </w:r>
      <w:r w:rsidR="003D4798" w:rsidRPr="00542EB9" w:rsidDel="002C1F8A">
        <w:rPr>
          <w:noProof/>
        </w:rPr>
        <w:t xml:space="preserve">the Commission </w:t>
      </w:r>
      <w:r w:rsidR="008711D1" w:rsidRPr="00542EB9" w:rsidDel="002C1F8A">
        <w:rPr>
          <w:noProof/>
        </w:rPr>
        <w:t>may take</w:t>
      </w:r>
      <w:r w:rsidR="003D4798" w:rsidRPr="00542EB9" w:rsidDel="002C1F8A">
        <w:rPr>
          <w:noProof/>
        </w:rPr>
        <w:t xml:space="preserve"> an active role in ensuring coherence by coordinating horizonta</w:t>
      </w:r>
      <w:r w:rsidR="008711D1" w:rsidRPr="00542EB9" w:rsidDel="002C1F8A">
        <w:rPr>
          <w:noProof/>
        </w:rPr>
        <w:t>l</w:t>
      </w:r>
      <w:r w:rsidR="003D4798" w:rsidRPr="00542EB9" w:rsidDel="002C1F8A">
        <w:rPr>
          <w:noProof/>
        </w:rPr>
        <w:t>l</w:t>
      </w:r>
      <w:r w:rsidR="008711D1" w:rsidRPr="00542EB9" w:rsidDel="002C1F8A">
        <w:rPr>
          <w:noProof/>
        </w:rPr>
        <w:t xml:space="preserve">y, </w:t>
      </w:r>
      <w:r w:rsidR="0042053A" w:rsidRPr="00542EB9" w:rsidDel="002C1F8A">
        <w:rPr>
          <w:noProof/>
        </w:rPr>
        <w:t>without interfering</w:t>
      </w:r>
      <w:r w:rsidR="008F40E1" w:rsidRPr="00542EB9" w:rsidDel="002C1F8A">
        <w:rPr>
          <w:noProof/>
        </w:rPr>
        <w:t xml:space="preserve"> the Member States’ sovereignty, to </w:t>
      </w:r>
      <w:r w:rsidR="003D4798" w:rsidRPr="00542EB9" w:rsidDel="002C1F8A">
        <w:rPr>
          <w:noProof/>
        </w:rPr>
        <w:t>reduce inherent risks of divergent outcomes in the internal market due to incoherent enforcement.</w:t>
      </w:r>
    </w:p>
    <w:p w14:paraId="5496F3AE" w14:textId="5C4E5483" w:rsidR="00612C0D" w:rsidRPr="00542EB9" w:rsidDel="002C1F8A" w:rsidRDefault="4560894D" w:rsidP="00612C0D">
      <w:pPr>
        <w:rPr>
          <w:rFonts w:eastAsia="Times New Roman"/>
          <w:noProof/>
        </w:rPr>
      </w:pPr>
      <w:r w:rsidRPr="00542EB9" w:rsidDel="002C1F8A">
        <w:rPr>
          <w:rFonts w:eastAsia="Times New Roman"/>
          <w:noProof/>
        </w:rPr>
        <w:t xml:space="preserve">Enforcement of existing EU law is necessary to ensure the effective functioning of the </w:t>
      </w:r>
      <w:r w:rsidR="005459CC" w:rsidRPr="00542EB9">
        <w:rPr>
          <w:rFonts w:eastAsia="Times New Roman"/>
          <w:noProof/>
        </w:rPr>
        <w:t>single market</w:t>
      </w:r>
      <w:r w:rsidR="4BC15307" w:rsidRPr="00542EB9" w:rsidDel="002C1F8A">
        <w:rPr>
          <w:rFonts w:eastAsia="Times New Roman"/>
          <w:noProof/>
        </w:rPr>
        <w:t>.</w:t>
      </w:r>
      <w:r w:rsidRPr="00542EB9" w:rsidDel="002C1F8A">
        <w:rPr>
          <w:rFonts w:eastAsia="Times New Roman"/>
          <w:noProof/>
        </w:rPr>
        <w:t xml:space="preserve"> Enforcers</w:t>
      </w:r>
      <w:r w:rsidR="01AC3A80" w:rsidRPr="00542EB9" w:rsidDel="002C1F8A">
        <w:rPr>
          <w:rFonts w:eastAsia="Times New Roman"/>
          <w:noProof/>
        </w:rPr>
        <w:t>, for example in the area of competition law,</w:t>
      </w:r>
      <w:r w:rsidRPr="00542EB9" w:rsidDel="002C1F8A">
        <w:rPr>
          <w:rFonts w:eastAsia="Times New Roman"/>
          <w:noProof/>
        </w:rPr>
        <w:t xml:space="preserve"> are confronted with increasingly sophisticated IT tools used by economic operators</w:t>
      </w:r>
      <w:r w:rsidR="3F763ED7" w:rsidRPr="00542EB9" w:rsidDel="002C1F8A">
        <w:rPr>
          <w:rFonts w:eastAsia="Times New Roman"/>
          <w:noProof/>
        </w:rPr>
        <w:t xml:space="preserve"> and other non-state stakeholders</w:t>
      </w:r>
      <w:r w:rsidRPr="00542EB9" w:rsidDel="002C1F8A">
        <w:rPr>
          <w:rFonts w:eastAsia="Times New Roman"/>
          <w:noProof/>
        </w:rPr>
        <w:t xml:space="preserve">, an exponential increase in electronic communications, a rapidly growing use of algorithms and artificial intelligence: this results in increasing difficulties in detecting infringements and collecting evidence. </w:t>
      </w:r>
    </w:p>
    <w:p w14:paraId="3E0F2FA1" w14:textId="77777777" w:rsidR="00612C0D" w:rsidRPr="00542EB9" w:rsidDel="002C1F8A" w:rsidRDefault="00612C0D" w:rsidP="00612C0D">
      <w:pPr>
        <w:rPr>
          <w:rFonts w:eastAsia="Times New Roman"/>
          <w:noProof/>
        </w:rPr>
      </w:pPr>
      <w:r w:rsidRPr="00542EB9" w:rsidDel="002C1F8A">
        <w:rPr>
          <w:rFonts w:eastAsia="Times New Roman"/>
          <w:noProof/>
        </w:rPr>
        <w:t>The rapid digital transition is also reshaping industries, creating new challenges that demand agile and effective enforcement.</w:t>
      </w:r>
      <w:r w:rsidRPr="00542EB9" w:rsidDel="002C1F8A">
        <w:rPr>
          <w:rFonts w:eastAsia="Aptos"/>
          <w:noProof/>
        </w:rPr>
        <w:t xml:space="preserve"> Those challenges require the Commission to </w:t>
      </w:r>
      <w:r w:rsidRPr="00542EB9" w:rsidDel="002C1F8A">
        <w:rPr>
          <w:rFonts w:eastAsia="Times New Roman"/>
          <w:noProof/>
        </w:rPr>
        <w:t>modernise its legislation</w:t>
      </w:r>
      <w:r w:rsidR="00C6494C" w:rsidRPr="00542EB9" w:rsidDel="002C1F8A">
        <w:rPr>
          <w:rFonts w:eastAsia="Times New Roman"/>
          <w:noProof/>
        </w:rPr>
        <w:t>,</w:t>
      </w:r>
      <w:r w:rsidRPr="00542EB9" w:rsidDel="002C1F8A">
        <w:rPr>
          <w:rFonts w:eastAsia="Times New Roman"/>
          <w:noProof/>
        </w:rPr>
        <w:t xml:space="preserve"> to make sure it remains effective and efficient</w:t>
      </w:r>
      <w:r w:rsidRPr="00542EB9" w:rsidDel="002C1F8A">
        <w:rPr>
          <w:rFonts w:eastAsia="Times New Roman"/>
          <w:b/>
          <w:bCs/>
          <w:noProof/>
        </w:rPr>
        <w:t>.</w:t>
      </w:r>
    </w:p>
    <w:p w14:paraId="67A31006" w14:textId="77777777" w:rsidR="0007600A" w:rsidRPr="00542EB9" w:rsidDel="002C1F8A" w:rsidRDefault="17F2C2BC" w:rsidP="5DD21FD3">
      <w:pPr>
        <w:rPr>
          <w:noProof/>
        </w:rPr>
      </w:pPr>
      <w:r w:rsidRPr="00542EB9" w:rsidDel="002C1F8A">
        <w:rPr>
          <w:noProof/>
        </w:rPr>
        <w:t>Citizens</w:t>
      </w:r>
      <w:r w:rsidR="7DDFC7AE" w:rsidRPr="00542EB9" w:rsidDel="002C1F8A">
        <w:rPr>
          <w:noProof/>
        </w:rPr>
        <w:t>, consumers</w:t>
      </w:r>
      <w:r w:rsidRPr="00542EB9" w:rsidDel="002C1F8A">
        <w:rPr>
          <w:noProof/>
        </w:rPr>
        <w:t xml:space="preserve"> and businesses can fully benefit from the </w:t>
      </w:r>
      <w:r w:rsidR="4D8C0B90" w:rsidRPr="00542EB9" w:rsidDel="002C1F8A">
        <w:rPr>
          <w:noProof/>
        </w:rPr>
        <w:t>single m</w:t>
      </w:r>
      <w:r w:rsidR="6FB07D56" w:rsidRPr="00542EB9" w:rsidDel="002C1F8A">
        <w:rPr>
          <w:noProof/>
        </w:rPr>
        <w:t>arket</w:t>
      </w:r>
      <w:r w:rsidRPr="00542EB9" w:rsidDel="002C1F8A">
        <w:rPr>
          <w:noProof/>
        </w:rPr>
        <w:t xml:space="preserve"> only when EU rules are correctly implemented and enforced. Ensuring the correct day-to</w:t>
      </w:r>
      <w:r w:rsidR="001D1C47" w:rsidRPr="00542EB9" w:rsidDel="002C1F8A">
        <w:rPr>
          <w:noProof/>
        </w:rPr>
        <w:t>-</w:t>
      </w:r>
      <w:r w:rsidRPr="00542EB9" w:rsidDel="002C1F8A">
        <w:rPr>
          <w:noProof/>
        </w:rPr>
        <w:t xml:space="preserve">day implementation of </w:t>
      </w:r>
      <w:r w:rsidR="744A75B6" w:rsidRPr="00542EB9" w:rsidDel="002C1F8A">
        <w:rPr>
          <w:noProof/>
        </w:rPr>
        <w:t>single</w:t>
      </w:r>
      <w:r w:rsidRPr="00542EB9" w:rsidDel="002C1F8A">
        <w:rPr>
          <w:noProof/>
        </w:rPr>
        <w:t xml:space="preserve"> </w:t>
      </w:r>
      <w:r w:rsidR="6FB07D56" w:rsidRPr="00542EB9" w:rsidDel="002C1F8A">
        <w:rPr>
          <w:noProof/>
        </w:rPr>
        <w:t>market</w:t>
      </w:r>
      <w:r w:rsidRPr="00542EB9" w:rsidDel="002C1F8A">
        <w:rPr>
          <w:noProof/>
        </w:rPr>
        <w:t xml:space="preserve"> rules is the collective responsibility of the Commission and the Member States. In particular, a correct application of regulations relies on the work of national authorities to give full effect to them. There</w:t>
      </w:r>
      <w:r w:rsidR="00356389" w:rsidRPr="00542EB9" w:rsidDel="002C1F8A">
        <w:rPr>
          <w:noProof/>
        </w:rPr>
        <w:t xml:space="preserve"> i</w:t>
      </w:r>
      <w:r w:rsidRPr="00542EB9" w:rsidDel="002C1F8A">
        <w:rPr>
          <w:noProof/>
        </w:rPr>
        <w:t xml:space="preserve">s a clear need to address the deficits related to transposition and implementation of EU rules, reducing administrative barriers and improving the business environment. Correct and timely transposition of EU law is of critical importance to ensure that </w:t>
      </w:r>
      <w:r w:rsidR="4D8C0B90" w:rsidRPr="00542EB9" w:rsidDel="002C1F8A">
        <w:rPr>
          <w:noProof/>
        </w:rPr>
        <w:t>single m</w:t>
      </w:r>
      <w:r w:rsidR="6FB07D56" w:rsidRPr="00542EB9" w:rsidDel="002C1F8A">
        <w:rPr>
          <w:noProof/>
        </w:rPr>
        <w:t>arket</w:t>
      </w:r>
      <w:r w:rsidRPr="00542EB9" w:rsidDel="002C1F8A">
        <w:rPr>
          <w:noProof/>
        </w:rPr>
        <w:t xml:space="preserve"> legislation achieves its intended effects. </w:t>
      </w:r>
    </w:p>
    <w:p w14:paraId="75AA9C87" w14:textId="77777777" w:rsidR="002131AD" w:rsidRPr="00542EB9" w:rsidDel="002C1F8A" w:rsidRDefault="00655F5A" w:rsidP="5DD21FD3">
      <w:pPr>
        <w:rPr>
          <w:noProof/>
        </w:rPr>
      </w:pPr>
      <w:r w:rsidRPr="00542EB9" w:rsidDel="002C1F8A">
        <w:rPr>
          <w:noProof/>
        </w:rPr>
        <w:t xml:space="preserve">It will also be vital to continue developing, producing and disseminating relevant official European statistics in an efficient manner while reducing administrative burden, in support to policy making in this domain. This could lead to a gradual construction of a single market for data, with safeguards, to the benefit of stakeholders and policymakers. </w:t>
      </w:r>
    </w:p>
    <w:p w14:paraId="2D43EBE4" w14:textId="0D49151F" w:rsidR="00740876" w:rsidRPr="00542EB9" w:rsidDel="002C1F8A" w:rsidRDefault="00740876" w:rsidP="5DD21FD3">
      <w:pPr>
        <w:rPr>
          <w:noProof/>
        </w:rPr>
      </w:pPr>
      <w:r w:rsidRPr="00542EB9" w:rsidDel="002C1F8A">
        <w:rPr>
          <w:noProof/>
        </w:rPr>
        <w:t xml:space="preserve">The </w:t>
      </w:r>
      <w:r w:rsidR="003A271F" w:rsidRPr="00542EB9" w:rsidDel="002C1F8A">
        <w:rPr>
          <w:b/>
          <w:noProof/>
        </w:rPr>
        <w:t>C</w:t>
      </w:r>
      <w:r w:rsidRPr="00542EB9" w:rsidDel="002C1F8A">
        <w:rPr>
          <w:b/>
          <w:noProof/>
        </w:rPr>
        <w:t xml:space="preserve">ustoms </w:t>
      </w:r>
      <w:r w:rsidR="003A271F" w:rsidRPr="00542EB9" w:rsidDel="002C1F8A">
        <w:rPr>
          <w:b/>
          <w:noProof/>
        </w:rPr>
        <w:t>U</w:t>
      </w:r>
      <w:r w:rsidRPr="00542EB9" w:rsidDel="002C1F8A">
        <w:rPr>
          <w:b/>
          <w:noProof/>
        </w:rPr>
        <w:t>nion</w:t>
      </w:r>
      <w:r w:rsidRPr="00542EB9" w:rsidDel="002C1F8A">
        <w:rPr>
          <w:noProof/>
        </w:rPr>
        <w:t xml:space="preserve"> is </w:t>
      </w:r>
      <w:r w:rsidR="00673F9A" w:rsidRPr="00542EB9">
        <w:rPr>
          <w:noProof/>
        </w:rPr>
        <w:t xml:space="preserve">an </w:t>
      </w:r>
      <w:r w:rsidR="00673F9A" w:rsidRPr="00581B34">
        <w:rPr>
          <w:noProof/>
        </w:rPr>
        <w:t xml:space="preserve">exclusive competence </w:t>
      </w:r>
      <w:r w:rsidR="00287410" w:rsidRPr="00581B34">
        <w:rPr>
          <w:noProof/>
        </w:rPr>
        <w:t>of the EU and is stipulated by the UCC</w:t>
      </w:r>
      <w:r w:rsidR="00767104" w:rsidRPr="00581B34">
        <w:rPr>
          <w:noProof/>
        </w:rPr>
        <w:t xml:space="preserve"> and the UCC-related EU legislative landscape. However</w:t>
      </w:r>
      <w:r w:rsidR="004F6DB9" w:rsidRPr="00581B34">
        <w:rPr>
          <w:noProof/>
        </w:rPr>
        <w:t xml:space="preserve">, the </w:t>
      </w:r>
      <w:r w:rsidRPr="00581B34" w:rsidDel="002C1F8A">
        <w:rPr>
          <w:noProof/>
        </w:rPr>
        <w:t xml:space="preserve">Member </w:t>
      </w:r>
      <w:r w:rsidRPr="00581B34">
        <w:rPr>
          <w:noProof/>
        </w:rPr>
        <w:t>State</w:t>
      </w:r>
      <w:r w:rsidR="00EC2E2A" w:rsidRPr="00581B34">
        <w:rPr>
          <w:noProof/>
        </w:rPr>
        <w:t>s’</w:t>
      </w:r>
      <w:r w:rsidRPr="00581B34" w:rsidDel="002C1F8A">
        <w:rPr>
          <w:noProof/>
        </w:rPr>
        <w:t xml:space="preserve"> customs authorities </w:t>
      </w:r>
      <w:r w:rsidR="004F6DB9" w:rsidRPr="00581B34">
        <w:rPr>
          <w:noProof/>
        </w:rPr>
        <w:t xml:space="preserve">are </w:t>
      </w:r>
      <w:r w:rsidRPr="00581B34" w:rsidDel="002C1F8A">
        <w:rPr>
          <w:noProof/>
        </w:rPr>
        <w:t xml:space="preserve">responsible for its implementation. </w:t>
      </w:r>
      <w:r w:rsidR="00EC2E2A" w:rsidRPr="00581B34">
        <w:rPr>
          <w:noProof/>
        </w:rPr>
        <w:t>The legislative landscape</w:t>
      </w:r>
      <w:r w:rsidR="002C7132" w:rsidRPr="00581B34">
        <w:rPr>
          <w:noProof/>
        </w:rPr>
        <w:t xml:space="preserve"> for customs</w:t>
      </w:r>
      <w:r w:rsidR="00EC2E2A" w:rsidRPr="00581B34">
        <w:rPr>
          <w:noProof/>
        </w:rPr>
        <w:t xml:space="preserve"> and the burden on the national authorities both in terms of implementation and enforcement is </w:t>
      </w:r>
      <w:r w:rsidR="00963046" w:rsidRPr="00581B34">
        <w:rPr>
          <w:noProof/>
        </w:rPr>
        <w:t>increased by the fact that national customs auth</w:t>
      </w:r>
      <w:r w:rsidR="008E4C35" w:rsidRPr="00581B34">
        <w:rPr>
          <w:noProof/>
        </w:rPr>
        <w:t>orities are</w:t>
      </w:r>
      <w:r w:rsidR="00EC2E2A" w:rsidRPr="00581B34">
        <w:rPr>
          <w:noProof/>
        </w:rPr>
        <w:t xml:space="preserve"> </w:t>
      </w:r>
      <w:r w:rsidR="00D83DD0" w:rsidRPr="00581B34" w:rsidDel="002C1F8A">
        <w:rPr>
          <w:noProof/>
        </w:rPr>
        <w:t xml:space="preserve">best positioned </w:t>
      </w:r>
      <w:r w:rsidR="00640D26" w:rsidRPr="00581B34">
        <w:rPr>
          <w:noProof/>
        </w:rPr>
        <w:t>to control</w:t>
      </w:r>
      <w:r w:rsidR="00D83DD0" w:rsidRPr="00581B34" w:rsidDel="002C1F8A">
        <w:rPr>
          <w:noProof/>
        </w:rPr>
        <w:t xml:space="preserve"> the </w:t>
      </w:r>
      <w:r w:rsidR="00D6328A" w:rsidRPr="00581B34">
        <w:rPr>
          <w:noProof/>
        </w:rPr>
        <w:t>overall</w:t>
      </w:r>
      <w:r w:rsidR="00D83DD0" w:rsidRPr="00581B34" w:rsidDel="002C1F8A">
        <w:rPr>
          <w:noProof/>
        </w:rPr>
        <w:t xml:space="preserve"> movement of goods at the external borders </w:t>
      </w:r>
      <w:r w:rsidR="00271DF4" w:rsidRPr="00581B34" w:rsidDel="002C1F8A">
        <w:rPr>
          <w:noProof/>
        </w:rPr>
        <w:t>–</w:t>
      </w:r>
      <w:r w:rsidR="00D83DD0" w:rsidRPr="00581B34" w:rsidDel="002C1F8A">
        <w:rPr>
          <w:noProof/>
        </w:rPr>
        <w:t xml:space="preserve"> </w:t>
      </w:r>
      <w:r w:rsidR="00271DF4" w:rsidRPr="00581B34" w:rsidDel="002C1F8A">
        <w:rPr>
          <w:noProof/>
        </w:rPr>
        <w:t xml:space="preserve">also </w:t>
      </w:r>
      <w:r w:rsidR="00830648" w:rsidRPr="00581B34" w:rsidDel="002C1F8A">
        <w:rPr>
          <w:noProof/>
        </w:rPr>
        <w:t>contribut</w:t>
      </w:r>
      <w:r w:rsidR="00830648" w:rsidRPr="00581B34">
        <w:rPr>
          <w:noProof/>
        </w:rPr>
        <w:t>ing</w:t>
      </w:r>
      <w:r w:rsidR="00830648" w:rsidRPr="00581B34" w:rsidDel="002C1F8A">
        <w:rPr>
          <w:noProof/>
        </w:rPr>
        <w:t xml:space="preserve"> </w:t>
      </w:r>
      <w:r w:rsidR="00271DF4" w:rsidRPr="00581B34" w:rsidDel="002C1F8A">
        <w:rPr>
          <w:noProof/>
        </w:rPr>
        <w:t xml:space="preserve">to the </w:t>
      </w:r>
      <w:r w:rsidR="00860D0B" w:rsidRPr="00581B34" w:rsidDel="002C1F8A">
        <w:rPr>
          <w:noProof/>
        </w:rPr>
        <w:t xml:space="preserve">protection of the </w:t>
      </w:r>
      <w:r w:rsidR="005459CC" w:rsidRPr="00581B34">
        <w:rPr>
          <w:noProof/>
        </w:rPr>
        <w:t>single market</w:t>
      </w:r>
      <w:r w:rsidR="00860D0B" w:rsidRPr="00581B34" w:rsidDel="002C1F8A">
        <w:rPr>
          <w:noProof/>
        </w:rPr>
        <w:t xml:space="preserve"> by</w:t>
      </w:r>
      <w:r w:rsidR="00271DF4" w:rsidRPr="00581B34" w:rsidDel="002C1F8A">
        <w:rPr>
          <w:noProof/>
        </w:rPr>
        <w:t xml:space="preserve"> </w:t>
      </w:r>
      <w:r w:rsidR="00BC3547" w:rsidRPr="00581B34" w:rsidDel="002C1F8A">
        <w:rPr>
          <w:noProof/>
        </w:rPr>
        <w:t>contro</w:t>
      </w:r>
      <w:r w:rsidR="00860D0B" w:rsidRPr="00581B34" w:rsidDel="002C1F8A">
        <w:rPr>
          <w:noProof/>
        </w:rPr>
        <w:t>l</w:t>
      </w:r>
      <w:r w:rsidR="00BC3547" w:rsidRPr="00581B34" w:rsidDel="002C1F8A">
        <w:rPr>
          <w:noProof/>
        </w:rPr>
        <w:t>l</w:t>
      </w:r>
      <w:r w:rsidR="00860D0B" w:rsidRPr="00581B34" w:rsidDel="002C1F8A">
        <w:rPr>
          <w:noProof/>
        </w:rPr>
        <w:t>ing</w:t>
      </w:r>
      <w:r w:rsidR="00BC3547" w:rsidRPr="00581B34" w:rsidDel="002C1F8A">
        <w:rPr>
          <w:noProof/>
        </w:rPr>
        <w:t xml:space="preserve"> compliance with product requirements, monitor drug precursors, enforce intellectual property rights, food, health and environmental rules, contribute to human rights and sustainability, and much more</w:t>
      </w:r>
      <w:r w:rsidR="007961D1" w:rsidRPr="00581B34" w:rsidDel="002C1F8A">
        <w:rPr>
          <w:noProof/>
        </w:rPr>
        <w:t xml:space="preserve"> to ensure the protection of the EU’s external borders</w:t>
      </w:r>
      <w:r w:rsidR="00BC3547" w:rsidRPr="00581B34" w:rsidDel="002C1F8A">
        <w:rPr>
          <w:noProof/>
        </w:rPr>
        <w:t xml:space="preserve">. All these sectoral rules to be enforced by customs at EU external borders are called “Prohibitions and Restrictions” (P&amp;R). </w:t>
      </w:r>
      <w:r w:rsidR="007961D1" w:rsidRPr="00581B34" w:rsidDel="002C1F8A">
        <w:rPr>
          <w:noProof/>
        </w:rPr>
        <w:t>According to the latest calculations</w:t>
      </w:r>
      <w:r w:rsidR="00BC3547" w:rsidRPr="00581B34" w:rsidDel="002C1F8A">
        <w:rPr>
          <w:noProof/>
        </w:rPr>
        <w:t xml:space="preserve">, there are more than 350 EU </w:t>
      </w:r>
      <w:r w:rsidR="007961D1" w:rsidRPr="00581B34" w:rsidDel="002C1F8A">
        <w:rPr>
          <w:noProof/>
        </w:rPr>
        <w:t>legislations</w:t>
      </w:r>
      <w:r w:rsidR="00BC3547" w:rsidRPr="00581B34" w:rsidDel="002C1F8A">
        <w:rPr>
          <w:noProof/>
        </w:rPr>
        <w:t>, and customs authorities struggle to cope with such a wide range of specialised and often complex rules.</w:t>
      </w:r>
      <w:r w:rsidR="00BC3547" w:rsidRPr="00542EB9" w:rsidDel="002C1F8A">
        <w:rPr>
          <w:noProof/>
        </w:rPr>
        <w:t xml:space="preserve">  </w:t>
      </w:r>
    </w:p>
    <w:p w14:paraId="64576DEB" w14:textId="4EAA8A0F" w:rsidR="00AB2012" w:rsidRPr="00542EB9" w:rsidRDefault="3A3FDB62" w:rsidP="5DD21FD3">
      <w:pPr>
        <w:rPr>
          <w:noProof/>
        </w:rPr>
      </w:pPr>
      <w:r w:rsidRPr="00542EB9" w:rsidDel="002C1F8A">
        <w:rPr>
          <w:b/>
          <w:noProof/>
        </w:rPr>
        <w:t>EU tax policy</w:t>
      </w:r>
      <w:r w:rsidRPr="00542EB9" w:rsidDel="002C1F8A">
        <w:rPr>
          <w:noProof/>
        </w:rPr>
        <w:t xml:space="preserve"> supports revenue collection for the EU and Member States' budgets. While initially focuss</w:t>
      </w:r>
      <w:r w:rsidR="1464ED00" w:rsidRPr="00542EB9" w:rsidDel="002C1F8A">
        <w:rPr>
          <w:noProof/>
        </w:rPr>
        <w:t>ing</w:t>
      </w:r>
      <w:r w:rsidRPr="00542EB9" w:rsidDel="002C1F8A">
        <w:rPr>
          <w:noProof/>
        </w:rPr>
        <w:t xml:space="preserve"> on putting in place harmonising legislation mainly for indirect taxes, it has over the years widened its focus more on coordination on tax matters amongst Member States and the fight against tax fraud, tax evasion and tax avoidance. EU tax policy is a key element for ensuring the proper functioning of the single market</w:t>
      </w:r>
      <w:r w:rsidR="0A9C96DF" w:rsidRPr="00542EB9" w:rsidDel="002C1F8A">
        <w:rPr>
          <w:noProof/>
        </w:rPr>
        <w:t>,</w:t>
      </w:r>
      <w:r w:rsidRPr="00542EB9" w:rsidDel="002C1F8A">
        <w:rPr>
          <w:noProof/>
        </w:rPr>
        <w:t xml:space="preserve"> including by avoiding distortions of competition through taxation. There is still insufficient level flexibility in rulemaking and enforcement. The unanimity has its drawbacks</w:t>
      </w:r>
      <w:r w:rsidR="00124163" w:rsidRPr="00542EB9" w:rsidDel="002C1F8A">
        <w:rPr>
          <w:noProof/>
          <w:sz w:val="20"/>
          <w:szCs w:val="20"/>
          <w:vertAlign w:val="superscript"/>
        </w:rPr>
        <w:footnoteReference w:id="68"/>
      </w:r>
      <w:r w:rsidRPr="00542EB9" w:rsidDel="002C1F8A">
        <w:rPr>
          <w:noProof/>
        </w:rPr>
        <w:t xml:space="preserve"> and limits the potential of an EU tax policy to support a well-functioning competitive </w:t>
      </w:r>
      <w:r w:rsidR="005459CC" w:rsidRPr="00542EB9">
        <w:rPr>
          <w:noProof/>
        </w:rPr>
        <w:t>single market</w:t>
      </w:r>
      <w:r w:rsidR="4D7C051E" w:rsidRPr="00542EB9" w:rsidDel="002C1F8A">
        <w:rPr>
          <w:noProof/>
        </w:rPr>
        <w:t xml:space="preserve"> </w:t>
      </w:r>
      <w:r w:rsidR="5CDC5283" w:rsidRPr="00542EB9" w:rsidDel="002C1F8A">
        <w:rPr>
          <w:noProof/>
        </w:rPr>
        <w:t xml:space="preserve">by </w:t>
      </w:r>
      <w:r w:rsidR="4D7C051E" w:rsidRPr="00542EB9" w:rsidDel="002C1F8A">
        <w:rPr>
          <w:noProof/>
        </w:rPr>
        <w:t>generating a rigi</w:t>
      </w:r>
      <w:r w:rsidR="6838ACC6" w:rsidRPr="00542EB9" w:rsidDel="002C1F8A">
        <w:rPr>
          <w:noProof/>
        </w:rPr>
        <w:t>d</w:t>
      </w:r>
      <w:r w:rsidR="4D7C051E" w:rsidRPr="00542EB9" w:rsidDel="002C1F8A">
        <w:rPr>
          <w:noProof/>
        </w:rPr>
        <w:t xml:space="preserve"> and non-agile legal</w:t>
      </w:r>
      <w:r w:rsidR="6838ACC6" w:rsidRPr="00542EB9" w:rsidDel="002C1F8A">
        <w:rPr>
          <w:noProof/>
        </w:rPr>
        <w:t xml:space="preserve"> </w:t>
      </w:r>
      <w:r w:rsidR="4A086C6A" w:rsidRPr="00542EB9" w:rsidDel="002C1F8A">
        <w:rPr>
          <w:noProof/>
        </w:rPr>
        <w:t>environment</w:t>
      </w:r>
      <w:r w:rsidRPr="00542EB9" w:rsidDel="002C1F8A">
        <w:rPr>
          <w:noProof/>
        </w:rPr>
        <w:t>.</w:t>
      </w:r>
      <w:r w:rsidR="6838ACC6" w:rsidRPr="00542EB9" w:rsidDel="002C1F8A">
        <w:rPr>
          <w:noProof/>
        </w:rPr>
        <w:t xml:space="preserve"> Slow reaction and even slower realisation </w:t>
      </w:r>
      <w:r w:rsidR="5CDC5283" w:rsidRPr="00542EB9" w:rsidDel="002C1F8A">
        <w:rPr>
          <w:noProof/>
        </w:rPr>
        <w:t>have</w:t>
      </w:r>
      <w:r w:rsidR="58E485B5" w:rsidRPr="00542EB9" w:rsidDel="002C1F8A">
        <w:rPr>
          <w:noProof/>
        </w:rPr>
        <w:t xml:space="preserve"> a negative impact on the uniform playing field in the E</w:t>
      </w:r>
      <w:r w:rsidR="5CDC5283" w:rsidRPr="00542EB9" w:rsidDel="002C1F8A">
        <w:rPr>
          <w:noProof/>
        </w:rPr>
        <w:t>U</w:t>
      </w:r>
      <w:r w:rsidR="58E485B5" w:rsidRPr="00542EB9" w:rsidDel="002C1F8A">
        <w:rPr>
          <w:noProof/>
        </w:rPr>
        <w:t xml:space="preserve"> and reflects also negatively on the EU </w:t>
      </w:r>
      <w:r w:rsidR="4A086C6A" w:rsidRPr="00542EB9" w:rsidDel="002C1F8A">
        <w:rPr>
          <w:noProof/>
        </w:rPr>
        <w:t>in the global context.</w:t>
      </w:r>
      <w:r w:rsidRPr="00542EB9" w:rsidDel="002C1F8A">
        <w:rPr>
          <w:noProof/>
        </w:rPr>
        <w:t xml:space="preserve"> Sovereignty reflexes are stronger among the Member States because tax policy is and has been used by </w:t>
      </w:r>
      <w:r w:rsidR="4DF38895" w:rsidRPr="00542EB9" w:rsidDel="002C1F8A">
        <w:rPr>
          <w:noProof/>
        </w:rPr>
        <w:t xml:space="preserve">Member </w:t>
      </w:r>
      <w:r w:rsidRPr="00542EB9" w:rsidDel="002C1F8A">
        <w:rPr>
          <w:noProof/>
        </w:rPr>
        <w:t xml:space="preserve">States to justify protecting specific national interests or build business models around the concept of tax to attract certain economic activities or consumers and to protect certain competitive advantages. At the same time, even when EU legislation has been agreed, its effectiveness is not guaranteed due to its dependence on the interpretation, implementation and enforcement on national level. </w:t>
      </w:r>
      <w:r w:rsidR="7191FE6E" w:rsidRPr="00542EB9" w:rsidDel="002C1F8A">
        <w:rPr>
          <w:noProof/>
        </w:rPr>
        <w:t xml:space="preserve">New </w:t>
      </w:r>
      <w:r w:rsidR="53477C84" w:rsidRPr="00542EB9" w:rsidDel="002C1F8A">
        <w:rPr>
          <w:noProof/>
        </w:rPr>
        <w:t>strands of EU initiatives in the domain of taxation</w:t>
      </w:r>
      <w:r w:rsidR="202F5882" w:rsidRPr="00542EB9" w:rsidDel="002C1F8A">
        <w:rPr>
          <w:noProof/>
        </w:rPr>
        <w:t>,</w:t>
      </w:r>
      <w:r w:rsidR="53477C84" w:rsidRPr="00542EB9" w:rsidDel="002C1F8A">
        <w:rPr>
          <w:noProof/>
        </w:rPr>
        <w:t xml:space="preserve"> such as </w:t>
      </w:r>
      <w:r w:rsidR="53B9D5E8" w:rsidRPr="00542EB9" w:rsidDel="002C1F8A">
        <w:rPr>
          <w:noProof/>
        </w:rPr>
        <w:t>behavioural</w:t>
      </w:r>
      <w:r w:rsidR="53477C84" w:rsidRPr="00542EB9" w:rsidDel="002C1F8A">
        <w:rPr>
          <w:noProof/>
        </w:rPr>
        <w:t xml:space="preserve"> taxes</w:t>
      </w:r>
      <w:r w:rsidR="00962809">
        <w:rPr>
          <w:noProof/>
        </w:rPr>
        <w:t xml:space="preserve"> or the phasing out of fossil fuel subsidies</w:t>
      </w:r>
      <w:r w:rsidR="202F5882" w:rsidRPr="00542EB9" w:rsidDel="002C1F8A">
        <w:rPr>
          <w:noProof/>
        </w:rPr>
        <w:t>,</w:t>
      </w:r>
      <w:r w:rsidR="7FA2C077" w:rsidRPr="00542EB9" w:rsidDel="002C1F8A">
        <w:rPr>
          <w:noProof/>
        </w:rPr>
        <w:t xml:space="preserve"> </w:t>
      </w:r>
      <w:r w:rsidR="260EFAD4" w:rsidRPr="00542EB9" w:rsidDel="002C1F8A">
        <w:rPr>
          <w:noProof/>
        </w:rPr>
        <w:t>also req</w:t>
      </w:r>
      <w:r w:rsidR="2847ACD7" w:rsidRPr="00542EB9" w:rsidDel="002C1F8A">
        <w:rPr>
          <w:noProof/>
        </w:rPr>
        <w:t xml:space="preserve">uire strong coordination </w:t>
      </w:r>
      <w:r w:rsidR="259C181C" w:rsidRPr="00542EB9" w:rsidDel="002C1F8A">
        <w:rPr>
          <w:noProof/>
        </w:rPr>
        <w:t>a</w:t>
      </w:r>
      <w:r w:rsidR="53B9D5E8" w:rsidRPr="00542EB9" w:rsidDel="002C1F8A">
        <w:rPr>
          <w:noProof/>
        </w:rPr>
        <w:t>t t</w:t>
      </w:r>
      <w:r w:rsidR="259C181C" w:rsidRPr="00542EB9" w:rsidDel="002C1F8A">
        <w:rPr>
          <w:noProof/>
        </w:rPr>
        <w:t>he</w:t>
      </w:r>
      <w:r w:rsidR="2847ACD7" w:rsidRPr="00542EB9" w:rsidDel="002C1F8A">
        <w:rPr>
          <w:noProof/>
        </w:rPr>
        <w:t xml:space="preserve"> earliest stages</w:t>
      </w:r>
      <w:r w:rsidR="1E8A478A" w:rsidRPr="00542EB9" w:rsidDel="002C1F8A">
        <w:rPr>
          <w:noProof/>
        </w:rPr>
        <w:t xml:space="preserve"> in the legislative preparations</w:t>
      </w:r>
      <w:r w:rsidR="7FA2C077" w:rsidRPr="00542EB9" w:rsidDel="002C1F8A">
        <w:rPr>
          <w:noProof/>
        </w:rPr>
        <w:t xml:space="preserve">. </w:t>
      </w:r>
    </w:p>
    <w:p w14:paraId="4B44082D" w14:textId="35B59675" w:rsidR="00AB2012" w:rsidRPr="00542EB9" w:rsidRDefault="54B87603" w:rsidP="00306B02">
      <w:pPr>
        <w:pStyle w:val="Heading4"/>
        <w:rPr>
          <w:rFonts w:eastAsia="Calibri"/>
          <w:noProof/>
        </w:rPr>
      </w:pPr>
      <w:r w:rsidRPr="00542EB9">
        <w:rPr>
          <w:rFonts w:eastAsia="Calibri"/>
          <w:noProof/>
        </w:rPr>
        <w:t xml:space="preserve"> </w:t>
      </w:r>
      <w:r w:rsidR="44E2E28D" w:rsidRPr="00542EB9">
        <w:rPr>
          <w:rFonts w:eastAsia="Calibri"/>
          <w:noProof/>
        </w:rPr>
        <w:t>Lessons learnt from previous programmes</w:t>
      </w:r>
    </w:p>
    <w:p w14:paraId="0BFA8848" w14:textId="03166B48" w:rsidR="00AB2012" w:rsidRPr="00542EB9" w:rsidRDefault="00AB2012" w:rsidP="00AB2012">
      <w:pPr>
        <w:rPr>
          <w:rFonts w:eastAsia="Calibri"/>
          <w:noProof/>
        </w:rPr>
      </w:pPr>
      <w:r w:rsidRPr="00542EB9">
        <w:rPr>
          <w:rFonts w:eastAsia="Calibri"/>
          <w:noProof/>
        </w:rPr>
        <w:t>The effective development, implementation, and enforcement of EU competition policy, which has a significant positive impact on customer savings and on the EU economy overall</w:t>
      </w:r>
      <w:r w:rsidRPr="00542EB9">
        <w:rPr>
          <w:rFonts w:eastAsiaTheme="minorEastAsia"/>
          <w:noProof/>
          <w:sz w:val="20"/>
          <w:szCs w:val="20"/>
          <w:vertAlign w:val="superscript"/>
        </w:rPr>
        <w:footnoteReference w:id="69"/>
      </w:r>
      <w:r w:rsidRPr="00542EB9">
        <w:rPr>
          <w:rFonts w:eastAsia="Calibri"/>
          <w:noProof/>
        </w:rPr>
        <w:t>, requires the Commission to have the necessary expertise and digital tools to support its enforcement activities. The necessary expertise</w:t>
      </w:r>
      <w:r w:rsidR="001858D6" w:rsidRPr="00542EB9">
        <w:rPr>
          <w:rFonts w:eastAsia="Calibri"/>
          <w:noProof/>
        </w:rPr>
        <w:t>, such as external data to support case work, or studies supporting the review of guidelines,</w:t>
      </w:r>
      <w:r w:rsidRPr="00542EB9">
        <w:rPr>
          <w:rFonts w:eastAsia="Calibri"/>
          <w:noProof/>
        </w:rPr>
        <w:t xml:space="preserve"> is necessary to modernise the EU's competition policy to ensure it supports European companies to innovate, compete and lead world-wide. In addition, digital solutions serve various purposes such as case management, document review, tools that facilitate secure data exchange with stakeholders.  The potential benefits in strengthening the enforcement of competition rules and the impact on the single market has been analysed in detail</w:t>
      </w:r>
      <w:r w:rsidRPr="00542EB9">
        <w:rPr>
          <w:rFonts w:eastAsiaTheme="minorEastAsia"/>
          <w:noProof/>
          <w:sz w:val="20"/>
          <w:szCs w:val="20"/>
          <w:vertAlign w:val="superscript"/>
        </w:rPr>
        <w:footnoteReference w:id="70"/>
      </w:r>
      <w:r w:rsidRPr="00542EB9">
        <w:rPr>
          <w:rFonts w:eastAsia="Calibri"/>
          <w:noProof/>
        </w:rPr>
        <w:t>: measures aimed at limiting the market power of the most profitable companies and at tackling the lack of competition in lagging countries each promise to increase GDP by around 4% after ten years. In order to strengthen and speed up enforcement of competition rules (in close cooperation with the national competition authorities in the Member States), the development and improvements of digital tools need to be substantially increased, together with the support to existing infrastructure. For example, the usage of Artificial Intelligence such as technology-assisted document review in competition cases can substantially increase the efficiency and relevance of investigations and cases analysis.</w:t>
      </w:r>
    </w:p>
    <w:p w14:paraId="254AF525" w14:textId="3B67A076" w:rsidR="00AB2012" w:rsidRPr="00542EB9" w:rsidRDefault="00AB2012" w:rsidP="00AB2012">
      <w:pPr>
        <w:tabs>
          <w:tab w:val="left" w:pos="960"/>
        </w:tabs>
        <w:rPr>
          <w:noProof/>
        </w:rPr>
      </w:pPr>
      <w:r w:rsidRPr="00542EB9">
        <w:rPr>
          <w:rFonts w:eastAsia="Calibri"/>
          <w:noProof/>
        </w:rPr>
        <w:t xml:space="preserve">Effective rulemaking, standard-setting and enforcement in the single market also requires other bodies to be supported, so that they can fulfil their roles and responsibilities. For example, the setting of </w:t>
      </w:r>
      <w:r w:rsidRPr="00542EB9">
        <w:rPr>
          <w:rFonts w:eastAsia="Calibri"/>
          <w:b/>
          <w:bCs/>
          <w:noProof/>
        </w:rPr>
        <w:t>standards</w:t>
      </w:r>
      <w:r w:rsidRPr="00542EB9">
        <w:rPr>
          <w:rFonts w:eastAsia="Calibri"/>
          <w:noProof/>
        </w:rPr>
        <w:t xml:space="preserve"> necessitates support for European Standardisation Organisations (ESOs).</w:t>
      </w:r>
      <w:r w:rsidRPr="00542EB9">
        <w:rPr>
          <w:i/>
          <w:iCs/>
          <w:noProof/>
        </w:rPr>
        <w:t xml:space="preserve"> </w:t>
      </w:r>
      <w:r w:rsidRPr="00542EB9">
        <w:rPr>
          <w:noProof/>
        </w:rPr>
        <w:t xml:space="preserve">Harmonised </w:t>
      </w:r>
      <w:r w:rsidRPr="00581B34">
        <w:rPr>
          <w:noProof/>
        </w:rPr>
        <w:t xml:space="preserve">European standards allow economic operators to demonstrate compliance with EU law with one standard across the single market. As underpinned by the </w:t>
      </w:r>
      <w:r w:rsidR="00824F7E" w:rsidRPr="00581B34">
        <w:rPr>
          <w:noProof/>
        </w:rPr>
        <w:t>2022</w:t>
      </w:r>
      <w:r w:rsidRPr="00581B34">
        <w:rPr>
          <w:noProof/>
        </w:rPr>
        <w:t xml:space="preserve"> EU Standardisation Strategy</w:t>
      </w:r>
      <w:r w:rsidRPr="00581B34">
        <w:rPr>
          <w:noProof/>
          <w:sz w:val="20"/>
          <w:szCs w:val="20"/>
          <w:vertAlign w:val="superscript"/>
        </w:rPr>
        <w:footnoteReference w:id="71"/>
      </w:r>
      <w:r w:rsidRPr="00581B34">
        <w:rPr>
          <w:noProof/>
        </w:rPr>
        <w:t xml:space="preserve">, standards play an important role for the digital and green transition and can give the EU a global leadership role. Standard-setting efforts are undertaken by European standardisation organisations and bodies involved in financial and non-financial reporting and auditing. The involvement of diverse stakeholders, such as businesses and consumer representatives, is essential in </w:t>
      </w:r>
      <w:r w:rsidRPr="00581B34">
        <w:rPr>
          <w:b/>
          <w:bCs/>
          <w:noProof/>
        </w:rPr>
        <w:t>European standardisation</w:t>
      </w:r>
      <w:r w:rsidRPr="00542EB9">
        <w:rPr>
          <w:noProof/>
        </w:rPr>
        <w:t xml:space="preserve"> processes. However, ensuring adequate representation and influence at the international level remains a challenge and still requires supporting activities ensuring that EU views and interests are considered.</w:t>
      </w:r>
    </w:p>
    <w:p w14:paraId="47AB4EC1" w14:textId="1183A0B1" w:rsidR="00AB2012" w:rsidRPr="00542EB9" w:rsidRDefault="00AB2012" w:rsidP="00AB2012">
      <w:pPr>
        <w:rPr>
          <w:noProof/>
          <w:color w:val="000000" w:themeColor="text1"/>
        </w:rPr>
      </w:pPr>
      <w:r w:rsidRPr="00542EB9">
        <w:rPr>
          <w:noProof/>
          <w:color w:val="000000" w:themeColor="text1"/>
        </w:rPr>
        <w:t>The start of the</w:t>
      </w:r>
      <w:r w:rsidR="00E01021" w:rsidRPr="00542EB9">
        <w:rPr>
          <w:noProof/>
          <w:color w:val="000000" w:themeColor="text1"/>
        </w:rPr>
        <w:t xml:space="preserve"> Russian invasion of</w:t>
      </w:r>
      <w:r w:rsidRPr="00542EB9">
        <w:rPr>
          <w:noProof/>
          <w:color w:val="000000" w:themeColor="text1"/>
        </w:rPr>
        <w:t xml:space="preserve"> Ukraine prompted an unpredictable need for a rapid increase in the production of timely European Statistics, in particular, energy-related following the evolving priorities of the EU. European statistics show a strong EU added-value, due to their impartiality, reliability, and comprehensive coverage, cost-effectiveness, as well as to their significantly improved comparability and harmonisation across Member States. The</w:t>
      </w:r>
      <w:r w:rsidR="00B84BBE" w:rsidRPr="00542EB9">
        <w:rPr>
          <w:noProof/>
          <w:color w:val="000000" w:themeColor="text1"/>
        </w:rPr>
        <w:t xml:space="preserve"> SMP’s statistica</w:t>
      </w:r>
      <w:r w:rsidR="00DF53E3" w:rsidRPr="00542EB9">
        <w:rPr>
          <w:noProof/>
          <w:color w:val="000000" w:themeColor="text1"/>
        </w:rPr>
        <w:t>l pillar, the</w:t>
      </w:r>
      <w:r w:rsidRPr="00542EB9">
        <w:rPr>
          <w:noProof/>
          <w:color w:val="000000" w:themeColor="text1"/>
        </w:rPr>
        <w:t xml:space="preserve"> European Statistical Programme (ESP)</w:t>
      </w:r>
      <w:r w:rsidR="00DF53E3" w:rsidRPr="00542EB9">
        <w:rPr>
          <w:noProof/>
          <w:color w:val="000000" w:themeColor="text1"/>
        </w:rPr>
        <w:t>,</w:t>
      </w:r>
      <w:r w:rsidRPr="00542EB9">
        <w:rPr>
          <w:noProof/>
          <w:color w:val="000000" w:themeColor="text1"/>
        </w:rPr>
        <w:t xml:space="preserve"> general objectives were well-aligned with the users’ expectations and ensuing needs of the European Statistical System (ESS) to adapt to them, ensuring that the ESP remained relevant and responsive to changing policy priorities and data requirements. Additionally, the ESP’s ability to address emerging issues and crises underscored its commitment to serving the ESS and the broader stakeholder community. Despite the overall positive alignment with stakeholder needs, data gaps remain in certain areas, highlighting the need for continuous improvement and innovation.</w:t>
      </w:r>
    </w:p>
    <w:p w14:paraId="11F91271" w14:textId="38D3B225" w:rsidR="00AB2012" w:rsidRPr="00542EB9" w:rsidRDefault="00AB2012" w:rsidP="00AB2012">
      <w:pPr>
        <w:rPr>
          <w:noProof/>
          <w:color w:val="000000" w:themeColor="text1"/>
        </w:rPr>
      </w:pPr>
      <w:r w:rsidRPr="00542EB9">
        <w:rPr>
          <w:noProof/>
          <w:color w:val="000000" w:themeColor="text1"/>
        </w:rPr>
        <w:t>With regards to cooperation between enforcement authorities, stronger coordination within customs and related enforcement actions to tackle the challenge of e-commerce has already been identified as a priority</w:t>
      </w:r>
      <w:r w:rsidRPr="00542EB9">
        <w:rPr>
          <w:noProof/>
          <w:color w:val="000000" w:themeColor="text1"/>
          <w:sz w:val="20"/>
          <w:szCs w:val="20"/>
          <w:vertAlign w:val="superscript"/>
        </w:rPr>
        <w:footnoteReference w:id="72"/>
      </w:r>
      <w:r w:rsidRPr="00542EB9">
        <w:rPr>
          <w:noProof/>
          <w:color w:val="000000" w:themeColor="text1"/>
        </w:rPr>
        <w:t xml:space="preserve">. This was affirmed in the public consultation accompanying the Customs Reform proposal, where enhancing co-operation between customs and non-customs authorities (notably </w:t>
      </w:r>
      <w:r w:rsidR="00B57FC8" w:rsidRPr="00542EB9">
        <w:rPr>
          <w:noProof/>
          <w:color w:val="000000" w:themeColor="text1"/>
        </w:rPr>
        <w:t>market surveillance authorities, law enforcement authorities, tax agencies</w:t>
      </w:r>
      <w:r w:rsidRPr="00542EB9">
        <w:rPr>
          <w:noProof/>
          <w:color w:val="000000" w:themeColor="text1"/>
        </w:rPr>
        <w:t>) was among the most supported elements of the reform options with 106 (55%) strongly agreeing and 47 (24%) tending to agree</w:t>
      </w:r>
      <w:r w:rsidRPr="00542EB9">
        <w:rPr>
          <w:noProof/>
          <w:color w:val="000000" w:themeColor="text1"/>
          <w:sz w:val="20"/>
          <w:szCs w:val="20"/>
          <w:vertAlign w:val="superscript"/>
        </w:rPr>
        <w:footnoteReference w:id="73"/>
      </w:r>
      <w:r w:rsidRPr="00542EB9">
        <w:rPr>
          <w:noProof/>
          <w:color w:val="000000" w:themeColor="text1"/>
        </w:rPr>
        <w:t xml:space="preserve">. </w:t>
      </w:r>
    </w:p>
    <w:p w14:paraId="15719049" w14:textId="2A1A867F" w:rsidR="00AB2012" w:rsidRPr="00542EB9" w:rsidDel="002C1F8A" w:rsidRDefault="00AB2012" w:rsidP="5DD21FD3">
      <w:pPr>
        <w:rPr>
          <w:noProof/>
          <w:color w:val="000000" w:themeColor="text1"/>
        </w:rPr>
      </w:pPr>
      <w:r w:rsidRPr="00542EB9">
        <w:rPr>
          <w:noProof/>
          <w:color w:val="000000" w:themeColor="text1"/>
        </w:rPr>
        <w:t>In the area of taxation, the need for cooperation is demonstrated by the fact that a large part of the collaborative activities financed under the Fiscalis programme are focused on cooperation between tax authorities. For example, in 2024, out of the total of 171 collaborative actions, those aiming at fostering cooperation between tax authorities, including exchange of tax information, represented the most significant part of activities with 121 actions. Worthwhile to mention as well is that the Advanced International Administrative Cooperation (EU AIAC) Community</w:t>
      </w:r>
      <w:r w:rsidRPr="00542EB9">
        <w:rPr>
          <w:noProof/>
          <w:color w:val="000000" w:themeColor="text1"/>
          <w:vertAlign w:val="superscript"/>
        </w:rPr>
        <w:footnoteReference w:id="74"/>
      </w:r>
      <w:r w:rsidRPr="00542EB9">
        <w:rPr>
          <w:noProof/>
          <w:color w:val="000000" w:themeColor="text1"/>
        </w:rPr>
        <w:t xml:space="preserve"> is year after year the community that produces the highest number of guidelines and recommendations in taxation.</w:t>
      </w:r>
    </w:p>
    <w:p w14:paraId="3C7F763E" w14:textId="277B9D0D" w:rsidR="503582F0" w:rsidRPr="00542EB9" w:rsidRDefault="503582F0" w:rsidP="658819FF">
      <w:pPr>
        <w:pStyle w:val="Heading2"/>
        <w:rPr>
          <w:noProof/>
        </w:rPr>
      </w:pPr>
      <w:bookmarkStart w:id="17" w:name="_Toc198549039"/>
      <w:r w:rsidRPr="00542EB9">
        <w:rPr>
          <w:noProof/>
        </w:rPr>
        <w:t>How likely is the problem to persist?</w:t>
      </w:r>
      <w:bookmarkEnd w:id="17"/>
    </w:p>
    <w:p w14:paraId="6FE29F14" w14:textId="727ECE8A" w:rsidR="00634126" w:rsidRPr="00542EB9" w:rsidRDefault="009B66E4">
      <w:pPr>
        <w:rPr>
          <w:noProof/>
        </w:rPr>
      </w:pPr>
      <w:r w:rsidRPr="00542EB9">
        <w:rPr>
          <w:noProof/>
          <w:color w:val="000000" w:themeColor="text1"/>
        </w:rPr>
        <w:t>In the absence of EU action</w:t>
      </w:r>
      <w:r w:rsidR="00707272" w:rsidRPr="00542EB9">
        <w:rPr>
          <w:noProof/>
          <w:color w:val="000000" w:themeColor="text1"/>
        </w:rPr>
        <w:t xml:space="preserve"> ensuring</w:t>
      </w:r>
      <w:r w:rsidR="009F6B9B" w:rsidRPr="00542EB9">
        <w:rPr>
          <w:noProof/>
          <w:color w:val="000000" w:themeColor="text1"/>
        </w:rPr>
        <w:t xml:space="preserve"> </w:t>
      </w:r>
      <w:r w:rsidR="006D239E" w:rsidRPr="00542EB9">
        <w:rPr>
          <w:noProof/>
          <w:color w:val="000000" w:themeColor="text1"/>
        </w:rPr>
        <w:t xml:space="preserve">coordinated </w:t>
      </w:r>
      <w:r w:rsidR="009F6B9B" w:rsidRPr="00542EB9">
        <w:rPr>
          <w:noProof/>
          <w:color w:val="000000" w:themeColor="text1"/>
        </w:rPr>
        <w:t xml:space="preserve">funding in the area of </w:t>
      </w:r>
      <w:r w:rsidR="005459CC" w:rsidRPr="00542EB9">
        <w:rPr>
          <w:noProof/>
        </w:rPr>
        <w:t>single market</w:t>
      </w:r>
      <w:r w:rsidR="00377672" w:rsidRPr="00542EB9">
        <w:rPr>
          <w:noProof/>
        </w:rPr>
        <w:t>, Customs Union, taxation, and anti-fraud policies,</w:t>
      </w:r>
      <w:r w:rsidR="009C2A2F" w:rsidRPr="00542EB9">
        <w:rPr>
          <w:noProof/>
        </w:rPr>
        <w:t xml:space="preserve"> </w:t>
      </w:r>
      <w:r w:rsidR="00634126" w:rsidRPr="00542EB9">
        <w:rPr>
          <w:noProof/>
          <w:color w:val="000000" w:themeColor="text1"/>
        </w:rPr>
        <w:t>the identified issues causing the problems</w:t>
      </w:r>
      <w:r w:rsidR="00952C58" w:rsidRPr="00542EB9">
        <w:rPr>
          <w:noProof/>
          <w:color w:val="000000" w:themeColor="text1"/>
        </w:rPr>
        <w:t>,</w:t>
      </w:r>
      <w:r w:rsidR="00634126" w:rsidRPr="00542EB9">
        <w:rPr>
          <w:noProof/>
          <w:color w:val="000000" w:themeColor="text1"/>
        </w:rPr>
        <w:t xml:space="preserve"> and their roots identified would persist.  </w:t>
      </w:r>
    </w:p>
    <w:p w14:paraId="3484B5EF" w14:textId="4B785432" w:rsidR="002B0E78" w:rsidRPr="00542EB9" w:rsidRDefault="00030A08" w:rsidP="00A71DD8">
      <w:pPr>
        <w:rPr>
          <w:noProof/>
          <w:color w:val="000000" w:themeColor="text1"/>
        </w:rPr>
      </w:pPr>
      <w:r w:rsidRPr="00542EB9">
        <w:rPr>
          <w:noProof/>
        </w:rPr>
        <w:t>In an unchanged funding landscape</w:t>
      </w:r>
      <w:r w:rsidR="00507680" w:rsidRPr="00542EB9">
        <w:rPr>
          <w:noProof/>
          <w:color w:val="000000" w:themeColor="text1"/>
        </w:rPr>
        <w:t xml:space="preserve">, </w:t>
      </w:r>
      <w:r w:rsidR="00700E41" w:rsidRPr="00542EB9">
        <w:rPr>
          <w:noProof/>
          <w:color w:val="000000" w:themeColor="text1"/>
        </w:rPr>
        <w:t>t</w:t>
      </w:r>
      <w:r w:rsidR="008A7E9B" w:rsidRPr="00542EB9">
        <w:rPr>
          <w:noProof/>
          <w:color w:val="000000" w:themeColor="text1"/>
        </w:rPr>
        <w:t xml:space="preserve">he capacity of the </w:t>
      </w:r>
      <w:r w:rsidR="00EB3F70" w:rsidRPr="00542EB9">
        <w:rPr>
          <w:noProof/>
          <w:color w:val="000000" w:themeColor="text1"/>
        </w:rPr>
        <w:t xml:space="preserve">Commission to </w:t>
      </w:r>
      <w:r w:rsidR="00854FA4" w:rsidRPr="00542EB9">
        <w:rPr>
          <w:noProof/>
          <w:color w:val="000000" w:themeColor="text1"/>
        </w:rPr>
        <w:t>s</w:t>
      </w:r>
      <w:r w:rsidR="00FC52C9" w:rsidRPr="00542EB9">
        <w:rPr>
          <w:noProof/>
          <w:color w:val="000000" w:themeColor="text1"/>
        </w:rPr>
        <w:t>ustain activitie</w:t>
      </w:r>
      <w:r w:rsidR="008B05E5" w:rsidRPr="00542EB9">
        <w:rPr>
          <w:noProof/>
          <w:color w:val="000000" w:themeColor="text1"/>
        </w:rPr>
        <w:t xml:space="preserve">s corresponding to </w:t>
      </w:r>
      <w:r w:rsidR="00854FA4" w:rsidRPr="00542EB9">
        <w:rPr>
          <w:noProof/>
          <w:color w:val="000000" w:themeColor="text1"/>
        </w:rPr>
        <w:t xml:space="preserve">legal obligations and </w:t>
      </w:r>
      <w:r w:rsidR="00E40003" w:rsidRPr="00542EB9">
        <w:rPr>
          <w:noProof/>
          <w:color w:val="000000" w:themeColor="text1"/>
        </w:rPr>
        <w:t xml:space="preserve">fully </w:t>
      </w:r>
      <w:r w:rsidR="00EB3F70" w:rsidRPr="00542EB9">
        <w:rPr>
          <w:noProof/>
          <w:color w:val="000000" w:themeColor="text1"/>
        </w:rPr>
        <w:t>assess the enforcement of EU law</w:t>
      </w:r>
      <w:r w:rsidR="00CB1194" w:rsidRPr="00542EB9">
        <w:rPr>
          <w:noProof/>
          <w:color w:val="000000" w:themeColor="text1"/>
        </w:rPr>
        <w:t xml:space="preserve"> </w:t>
      </w:r>
      <w:r w:rsidR="00C3579A" w:rsidRPr="00542EB9">
        <w:rPr>
          <w:noProof/>
          <w:color w:val="000000" w:themeColor="text1"/>
        </w:rPr>
        <w:t>c</w:t>
      </w:r>
      <w:r w:rsidR="00854FA4" w:rsidRPr="00542EB9">
        <w:rPr>
          <w:noProof/>
          <w:color w:val="000000" w:themeColor="text1"/>
        </w:rPr>
        <w:t xml:space="preserve">ould be limited. </w:t>
      </w:r>
      <w:r w:rsidR="00E11633" w:rsidRPr="00542EB9">
        <w:rPr>
          <w:noProof/>
          <w:color w:val="000000" w:themeColor="text1"/>
        </w:rPr>
        <w:t>Efforts to</w:t>
      </w:r>
      <w:r w:rsidR="00854FA4" w:rsidRPr="00542EB9">
        <w:rPr>
          <w:noProof/>
          <w:color w:val="000000" w:themeColor="text1"/>
        </w:rPr>
        <w:t xml:space="preserve"> further</w:t>
      </w:r>
      <w:r w:rsidR="00E11633" w:rsidRPr="00542EB9">
        <w:rPr>
          <w:noProof/>
          <w:color w:val="000000" w:themeColor="text1"/>
        </w:rPr>
        <w:t xml:space="preserve"> improve and complete the functioning of the single market </w:t>
      </w:r>
      <w:r w:rsidR="00C3579A" w:rsidRPr="00542EB9">
        <w:rPr>
          <w:noProof/>
          <w:color w:val="000000" w:themeColor="text1"/>
        </w:rPr>
        <w:t>w</w:t>
      </w:r>
      <w:r w:rsidR="00E11633" w:rsidRPr="00542EB9">
        <w:rPr>
          <w:noProof/>
          <w:color w:val="000000" w:themeColor="text1"/>
        </w:rPr>
        <w:t>ould be hindered.</w:t>
      </w:r>
      <w:r w:rsidR="00A71DD8" w:rsidRPr="00542EB9">
        <w:rPr>
          <w:noProof/>
        </w:rPr>
        <w:t xml:space="preserve"> </w:t>
      </w:r>
      <w:r w:rsidR="00A71DD8" w:rsidRPr="00542EB9">
        <w:rPr>
          <w:noProof/>
          <w:color w:val="000000" w:themeColor="text1"/>
        </w:rPr>
        <w:t xml:space="preserve"> </w:t>
      </w:r>
    </w:p>
    <w:p w14:paraId="0829C5BD" w14:textId="14A1BACC" w:rsidR="00F038D3" w:rsidRPr="00542EB9" w:rsidRDefault="00A71DD8" w:rsidP="00E11633">
      <w:pPr>
        <w:rPr>
          <w:iCs/>
          <w:noProof/>
          <w:color w:val="000000" w:themeColor="text1"/>
        </w:rPr>
      </w:pPr>
      <w:r w:rsidRPr="00542EB9">
        <w:rPr>
          <w:noProof/>
          <w:color w:val="000000" w:themeColor="text1"/>
        </w:rPr>
        <w:t>As evidenced in the interim evaluation of the SMP, legal obligations deriving from EU legislation and related to the single market may be difficult to fulfil without a certain level of resources</w:t>
      </w:r>
      <w:r w:rsidR="00974F63" w:rsidRPr="00542EB9">
        <w:rPr>
          <w:noProof/>
          <w:color w:val="000000" w:themeColor="text1"/>
        </w:rPr>
        <w:t xml:space="preserve">, e.g. for </w:t>
      </w:r>
      <w:r w:rsidR="00E11633" w:rsidRPr="00542EB9">
        <w:rPr>
          <w:noProof/>
          <w:color w:val="000000" w:themeColor="text1"/>
        </w:rPr>
        <w:t>the competition, internal market (goods, services and finance)</w:t>
      </w:r>
      <w:r w:rsidR="00E45CDC" w:rsidRPr="00542EB9">
        <w:rPr>
          <w:noProof/>
          <w:color w:val="000000" w:themeColor="text1"/>
        </w:rPr>
        <w:t xml:space="preserve"> or</w:t>
      </w:r>
      <w:r w:rsidR="00E11633" w:rsidRPr="00542EB9">
        <w:rPr>
          <w:noProof/>
          <w:color w:val="000000" w:themeColor="text1"/>
        </w:rPr>
        <w:t xml:space="preserve"> consumer protection</w:t>
      </w:r>
      <w:r w:rsidR="00974F63" w:rsidRPr="00542EB9">
        <w:rPr>
          <w:noProof/>
          <w:color w:val="000000" w:themeColor="text1"/>
        </w:rPr>
        <w:t xml:space="preserve"> policies</w:t>
      </w:r>
      <w:r w:rsidR="00E11633" w:rsidRPr="00542EB9">
        <w:rPr>
          <w:noProof/>
          <w:color w:val="000000" w:themeColor="text1"/>
        </w:rPr>
        <w:t xml:space="preserve">. </w:t>
      </w:r>
      <w:r w:rsidR="00E45CDC" w:rsidRPr="00542EB9">
        <w:rPr>
          <w:noProof/>
          <w:color w:val="000000" w:themeColor="text1"/>
        </w:rPr>
        <w:t>As an example, t</w:t>
      </w:r>
      <w:r w:rsidR="00E11633" w:rsidRPr="00542EB9">
        <w:rPr>
          <w:noProof/>
          <w:color w:val="000000" w:themeColor="text1"/>
        </w:rPr>
        <w:t>he</w:t>
      </w:r>
      <w:r w:rsidR="00E11633" w:rsidRPr="00542EB9">
        <w:rPr>
          <w:i/>
          <w:noProof/>
          <w:color w:val="000000" w:themeColor="text1"/>
        </w:rPr>
        <w:t xml:space="preserve"> </w:t>
      </w:r>
      <w:r w:rsidR="00E11633" w:rsidRPr="00542EB9">
        <w:rPr>
          <w:iCs/>
          <w:noProof/>
          <w:color w:val="000000" w:themeColor="text1"/>
        </w:rPr>
        <w:t xml:space="preserve">Commission would </w:t>
      </w:r>
      <w:r w:rsidR="00E11633" w:rsidRPr="00542EB9">
        <w:rPr>
          <w:iCs/>
          <w:noProof/>
          <w:color w:val="000000" w:themeColor="text1"/>
          <w:lang w:val="en-IE"/>
        </w:rPr>
        <w:t>not be able to deliver on its Treaty-based obligations to effectively enforce competition policy across all instruments (e.g. risking the customer savings of 14-23 billion per year from interventions in competition cases and risking the overall positive impact on real GDP in the range of 0.6% - 1.1%).</w:t>
      </w:r>
      <w:r w:rsidR="00E11633" w:rsidRPr="00542EB9">
        <w:rPr>
          <w:iCs/>
          <w:noProof/>
          <w:color w:val="000000" w:themeColor="text1"/>
        </w:rPr>
        <w:t xml:space="preserve"> </w:t>
      </w:r>
    </w:p>
    <w:p w14:paraId="287CE7E1" w14:textId="77777777" w:rsidR="00485B4A" w:rsidRPr="00542EB9" w:rsidRDefault="00485B4A" w:rsidP="00485B4A">
      <w:pPr>
        <w:rPr>
          <w:iCs/>
          <w:noProof/>
          <w:color w:val="000000" w:themeColor="text1"/>
        </w:rPr>
      </w:pPr>
      <w:r w:rsidRPr="00542EB9">
        <w:rPr>
          <w:iCs/>
          <w:noProof/>
          <w:color w:val="000000" w:themeColor="text1"/>
        </w:rPr>
        <w:t xml:space="preserve">The Commission might have issues to maintain essential subsidies to European organisations or authorities benefitting from EU funding at an acceptable level (e.g. consumers, standardisation organisations, statistics) or impact </w:t>
      </w:r>
      <w:r w:rsidRPr="00542EB9">
        <w:rPr>
          <w:noProof/>
          <w:color w:val="000000" w:themeColor="text1"/>
        </w:rPr>
        <w:t xml:space="preserve">the coordination and collaboration thereof. </w:t>
      </w:r>
    </w:p>
    <w:p w14:paraId="66105317" w14:textId="47BC0BA5" w:rsidR="00E11633" w:rsidRPr="00542EB9" w:rsidRDefault="00E11633" w:rsidP="00E11633">
      <w:pPr>
        <w:rPr>
          <w:iCs/>
          <w:noProof/>
          <w:color w:val="000000" w:themeColor="text1"/>
        </w:rPr>
      </w:pPr>
      <w:r w:rsidRPr="00542EB9">
        <w:rPr>
          <w:iCs/>
          <w:noProof/>
          <w:color w:val="000000" w:themeColor="text1"/>
        </w:rPr>
        <w:t xml:space="preserve">It would </w:t>
      </w:r>
      <w:r w:rsidR="00176B22" w:rsidRPr="00542EB9">
        <w:rPr>
          <w:iCs/>
          <w:noProof/>
          <w:color w:val="000000" w:themeColor="text1"/>
        </w:rPr>
        <w:t xml:space="preserve">not </w:t>
      </w:r>
      <w:r w:rsidR="00BE6F49" w:rsidRPr="00542EB9">
        <w:rPr>
          <w:iCs/>
          <w:noProof/>
          <w:color w:val="000000" w:themeColor="text1"/>
        </w:rPr>
        <w:t xml:space="preserve">facilitate </w:t>
      </w:r>
      <w:r w:rsidRPr="00542EB9">
        <w:rPr>
          <w:iCs/>
          <w:noProof/>
          <w:color w:val="000000" w:themeColor="text1"/>
        </w:rPr>
        <w:t xml:space="preserve">the Commission </w:t>
      </w:r>
      <w:r w:rsidR="00176B22" w:rsidRPr="00542EB9">
        <w:rPr>
          <w:iCs/>
          <w:noProof/>
          <w:color w:val="000000" w:themeColor="text1"/>
        </w:rPr>
        <w:t>to</w:t>
      </w:r>
      <w:r w:rsidRPr="00542EB9">
        <w:rPr>
          <w:iCs/>
          <w:noProof/>
          <w:color w:val="000000" w:themeColor="text1"/>
        </w:rPr>
        <w:t xml:space="preserve"> adapt to new technological developments or respond to quickly emerging policy needs. It could </w:t>
      </w:r>
      <w:r w:rsidR="001839F2" w:rsidRPr="00542EB9">
        <w:rPr>
          <w:iCs/>
          <w:noProof/>
          <w:color w:val="000000" w:themeColor="text1"/>
        </w:rPr>
        <w:t>remain</w:t>
      </w:r>
      <w:r w:rsidRPr="00542EB9">
        <w:rPr>
          <w:iCs/>
          <w:noProof/>
          <w:color w:val="000000" w:themeColor="text1"/>
        </w:rPr>
        <w:t xml:space="preserve"> </w:t>
      </w:r>
      <w:r w:rsidR="00A33790" w:rsidRPr="00542EB9">
        <w:rPr>
          <w:iCs/>
          <w:noProof/>
          <w:color w:val="000000" w:themeColor="text1"/>
        </w:rPr>
        <w:t>difficult t</w:t>
      </w:r>
      <w:r w:rsidRPr="00542EB9">
        <w:rPr>
          <w:iCs/>
          <w:noProof/>
          <w:color w:val="000000" w:themeColor="text1"/>
        </w:rPr>
        <w:t xml:space="preserve">o </w:t>
      </w:r>
      <w:r w:rsidR="0026617D" w:rsidRPr="00542EB9">
        <w:rPr>
          <w:iCs/>
          <w:noProof/>
          <w:color w:val="000000" w:themeColor="text1"/>
        </w:rPr>
        <w:t xml:space="preserve">properly </w:t>
      </w:r>
      <w:r w:rsidRPr="00542EB9">
        <w:rPr>
          <w:iCs/>
          <w:noProof/>
          <w:color w:val="000000" w:themeColor="text1"/>
        </w:rPr>
        <w:t xml:space="preserve">face crisis situations </w:t>
      </w:r>
      <w:r w:rsidR="00A33790" w:rsidRPr="00542EB9">
        <w:rPr>
          <w:iCs/>
          <w:noProof/>
          <w:color w:val="000000" w:themeColor="text1"/>
        </w:rPr>
        <w:t>or</w:t>
      </w:r>
      <w:r w:rsidRPr="00542EB9">
        <w:rPr>
          <w:iCs/>
          <w:noProof/>
          <w:color w:val="000000" w:themeColor="text1"/>
        </w:rPr>
        <w:t xml:space="preserve"> keep up with technological developments (</w:t>
      </w:r>
      <w:r w:rsidR="00DA7744" w:rsidRPr="00542EB9">
        <w:rPr>
          <w:iCs/>
          <w:noProof/>
          <w:color w:val="000000" w:themeColor="text1"/>
        </w:rPr>
        <w:t xml:space="preserve">such as in the context of </w:t>
      </w:r>
      <w:r w:rsidRPr="00542EB9">
        <w:rPr>
          <w:iCs/>
          <w:noProof/>
          <w:color w:val="000000" w:themeColor="text1"/>
        </w:rPr>
        <w:t>artificial intelligence</w:t>
      </w:r>
      <w:r w:rsidR="00B41BFF" w:rsidRPr="00542EB9">
        <w:rPr>
          <w:iCs/>
          <w:noProof/>
          <w:color w:val="000000" w:themeColor="text1"/>
        </w:rPr>
        <w:t>)</w:t>
      </w:r>
      <w:r w:rsidR="00DA7744" w:rsidRPr="00542EB9">
        <w:rPr>
          <w:iCs/>
          <w:noProof/>
          <w:color w:val="000000" w:themeColor="text1"/>
        </w:rPr>
        <w:t xml:space="preserve"> or</w:t>
      </w:r>
      <w:r w:rsidRPr="00542EB9">
        <w:rPr>
          <w:iCs/>
          <w:noProof/>
          <w:color w:val="000000" w:themeColor="text1"/>
        </w:rPr>
        <w:t xml:space="preserve"> EU enlargement.</w:t>
      </w:r>
    </w:p>
    <w:p w14:paraId="59140ACA" w14:textId="30C495E5" w:rsidR="006B087E" w:rsidRPr="00542EB9" w:rsidRDefault="006B087E" w:rsidP="5DD21FD3">
      <w:pPr>
        <w:pStyle w:val="Heading1"/>
        <w:rPr>
          <w:noProof/>
          <w:color w:val="000000" w:themeColor="text1"/>
        </w:rPr>
      </w:pPr>
      <w:bookmarkStart w:id="18" w:name="_Toc191909110"/>
      <w:bookmarkStart w:id="19" w:name="_Toc198549040"/>
      <w:r w:rsidRPr="00542EB9">
        <w:rPr>
          <w:noProof/>
          <w:color w:val="000000" w:themeColor="text1"/>
        </w:rPr>
        <w:t>Why should the EU act?</w:t>
      </w:r>
      <w:bookmarkEnd w:id="18"/>
      <w:bookmarkEnd w:id="19"/>
    </w:p>
    <w:p w14:paraId="70EEDAD8" w14:textId="78839F33" w:rsidR="006B087E" w:rsidRPr="00542EB9" w:rsidRDefault="006B087E" w:rsidP="5DD21FD3">
      <w:pPr>
        <w:pStyle w:val="Heading2"/>
        <w:rPr>
          <w:noProof/>
        </w:rPr>
      </w:pPr>
      <w:bookmarkStart w:id="20" w:name="_Toc191909111"/>
      <w:bookmarkStart w:id="21" w:name="_Toc198549041"/>
      <w:r w:rsidRPr="00542EB9">
        <w:rPr>
          <w:noProof/>
        </w:rPr>
        <w:t>Legal basis</w:t>
      </w:r>
      <w:bookmarkEnd w:id="20"/>
      <w:bookmarkEnd w:id="21"/>
    </w:p>
    <w:p w14:paraId="677DDB0C" w14:textId="0D77739A" w:rsidR="0029150D" w:rsidRPr="00542EB9" w:rsidRDefault="0029150D" w:rsidP="5DD21FD3">
      <w:pPr>
        <w:rPr>
          <w:noProof/>
          <w:color w:val="000000" w:themeColor="text1"/>
        </w:rPr>
      </w:pPr>
      <w:r w:rsidRPr="00542EB9">
        <w:rPr>
          <w:noProof/>
          <w:color w:val="000000" w:themeColor="text1"/>
        </w:rPr>
        <w:t xml:space="preserve">The </w:t>
      </w:r>
      <w:r w:rsidR="00B74CE1" w:rsidRPr="00542EB9">
        <w:rPr>
          <w:noProof/>
          <w:color w:val="000000" w:themeColor="text1"/>
        </w:rPr>
        <w:t xml:space="preserve">choice of the legal basis must be </w:t>
      </w:r>
      <w:r w:rsidR="00374485" w:rsidRPr="00542EB9">
        <w:rPr>
          <w:noProof/>
          <w:color w:val="000000" w:themeColor="text1"/>
        </w:rPr>
        <w:t>supported by</w:t>
      </w:r>
      <w:r w:rsidR="00B74CE1" w:rsidRPr="00542EB9">
        <w:rPr>
          <w:noProof/>
          <w:color w:val="000000" w:themeColor="text1"/>
        </w:rPr>
        <w:t xml:space="preserve"> objective fa</w:t>
      </w:r>
      <w:r w:rsidR="00FF766A" w:rsidRPr="00542EB9">
        <w:rPr>
          <w:noProof/>
          <w:color w:val="000000" w:themeColor="text1"/>
        </w:rPr>
        <w:t>c</w:t>
      </w:r>
      <w:r w:rsidR="00B74CE1" w:rsidRPr="00542EB9">
        <w:rPr>
          <w:noProof/>
          <w:color w:val="000000" w:themeColor="text1"/>
        </w:rPr>
        <w:t xml:space="preserve">tors </w:t>
      </w:r>
      <w:r w:rsidR="00EB2356" w:rsidRPr="00542EB9">
        <w:rPr>
          <w:noProof/>
          <w:color w:val="000000" w:themeColor="text1"/>
        </w:rPr>
        <w:t>open</w:t>
      </w:r>
      <w:r w:rsidR="00B74CE1" w:rsidRPr="00542EB9">
        <w:rPr>
          <w:noProof/>
          <w:color w:val="000000" w:themeColor="text1"/>
        </w:rPr>
        <w:t xml:space="preserve"> to judicial review, which include the aim and content of the EU measure</w:t>
      </w:r>
      <w:r w:rsidR="00AF5B09" w:rsidRPr="00542EB9">
        <w:rPr>
          <w:noProof/>
          <w:color w:val="000000" w:themeColor="text1"/>
        </w:rPr>
        <w:t>.</w:t>
      </w:r>
    </w:p>
    <w:p w14:paraId="115D393C" w14:textId="30477040" w:rsidR="00B17900" w:rsidRPr="00542EB9" w:rsidRDefault="620DDC08" w:rsidP="5DD21FD3">
      <w:pPr>
        <w:rPr>
          <w:noProof/>
          <w:color w:val="000000" w:themeColor="text1"/>
        </w:rPr>
      </w:pPr>
      <w:r w:rsidRPr="00542EB9">
        <w:rPr>
          <w:noProof/>
          <w:color w:val="000000" w:themeColor="text1"/>
        </w:rPr>
        <w:t xml:space="preserve">Article 114 TFEU </w:t>
      </w:r>
      <w:r w:rsidR="0F83CA21" w:rsidRPr="00542EB9">
        <w:rPr>
          <w:noProof/>
          <w:color w:val="000000" w:themeColor="text1"/>
        </w:rPr>
        <w:t xml:space="preserve">on </w:t>
      </w:r>
      <w:r w:rsidR="03F257E4" w:rsidRPr="00542EB9">
        <w:rPr>
          <w:noProof/>
          <w:color w:val="000000" w:themeColor="text1"/>
        </w:rPr>
        <w:t>achieving the objectives of the</w:t>
      </w:r>
      <w:r w:rsidRPr="00542EB9">
        <w:rPr>
          <w:noProof/>
          <w:color w:val="000000" w:themeColor="text1"/>
        </w:rPr>
        <w:t xml:space="preserve"> internal </w:t>
      </w:r>
      <w:r w:rsidR="46943363" w:rsidRPr="00542EB9">
        <w:rPr>
          <w:noProof/>
          <w:color w:val="000000" w:themeColor="text1"/>
        </w:rPr>
        <w:t>market</w:t>
      </w:r>
      <w:r w:rsidRPr="00542EB9">
        <w:rPr>
          <w:noProof/>
          <w:color w:val="000000" w:themeColor="text1"/>
        </w:rPr>
        <w:t>, Article 169 TFEU and Article 169 (2) (b) TFEU concerning consumer protection</w:t>
      </w:r>
      <w:r w:rsidR="00B17900" w:rsidRPr="00542EB9">
        <w:rPr>
          <w:noProof/>
          <w:color w:val="000000" w:themeColor="text1"/>
          <w:sz w:val="20"/>
          <w:szCs w:val="20"/>
          <w:vertAlign w:val="superscript"/>
        </w:rPr>
        <w:footnoteReference w:id="75"/>
      </w:r>
      <w:r w:rsidRPr="00542EB9">
        <w:rPr>
          <w:noProof/>
          <w:color w:val="000000" w:themeColor="text1"/>
        </w:rPr>
        <w:t>,</w:t>
      </w:r>
      <w:r w:rsidR="43BE5088" w:rsidRPr="00542EB9">
        <w:rPr>
          <w:noProof/>
          <w:color w:val="000000" w:themeColor="text1"/>
        </w:rPr>
        <w:t xml:space="preserve"> </w:t>
      </w:r>
      <w:r w:rsidRPr="00542EB9">
        <w:rPr>
          <w:noProof/>
          <w:color w:val="000000" w:themeColor="text1"/>
        </w:rPr>
        <w:t>Article 197 TFEU on administrative cooperation</w:t>
      </w:r>
      <w:r w:rsidR="65841900" w:rsidRPr="00542EB9">
        <w:rPr>
          <w:noProof/>
          <w:color w:val="000000" w:themeColor="text1"/>
        </w:rPr>
        <w:t>,</w:t>
      </w:r>
      <w:r w:rsidRPr="00542EB9">
        <w:rPr>
          <w:noProof/>
          <w:color w:val="000000" w:themeColor="text1"/>
        </w:rPr>
        <w:t xml:space="preserve"> and Article 338 TFEU on statistics</w:t>
      </w:r>
      <w:r w:rsidR="134EEEDF" w:rsidRPr="00542EB9">
        <w:rPr>
          <w:noProof/>
          <w:color w:val="000000" w:themeColor="text1"/>
        </w:rPr>
        <w:t>,</w:t>
      </w:r>
      <w:r w:rsidR="1CB7FFAB" w:rsidRPr="00542EB9">
        <w:rPr>
          <w:noProof/>
          <w:color w:val="000000" w:themeColor="text1"/>
        </w:rPr>
        <w:t xml:space="preserve"> Article</w:t>
      </w:r>
      <w:r w:rsidR="385A6C62" w:rsidRPr="00542EB9">
        <w:rPr>
          <w:noProof/>
          <w:color w:val="000000" w:themeColor="text1"/>
        </w:rPr>
        <w:t xml:space="preserve"> 33 TFEU on c</w:t>
      </w:r>
      <w:r w:rsidR="4E6006BD" w:rsidRPr="00542EB9">
        <w:rPr>
          <w:noProof/>
          <w:color w:val="000000" w:themeColor="text1"/>
        </w:rPr>
        <w:t>u</w:t>
      </w:r>
      <w:r w:rsidR="385A6C62" w:rsidRPr="00542EB9">
        <w:rPr>
          <w:noProof/>
          <w:color w:val="000000" w:themeColor="text1"/>
        </w:rPr>
        <w:t>stoms cooperation</w:t>
      </w:r>
      <w:r w:rsidR="4E6006BD" w:rsidRPr="00542EB9">
        <w:rPr>
          <w:noProof/>
          <w:color w:val="000000" w:themeColor="text1"/>
        </w:rPr>
        <w:t xml:space="preserve"> in the Custo</w:t>
      </w:r>
      <w:r w:rsidR="7950D7FE" w:rsidRPr="00542EB9">
        <w:rPr>
          <w:noProof/>
          <w:color w:val="000000" w:themeColor="text1"/>
        </w:rPr>
        <w:t>m</w:t>
      </w:r>
      <w:r w:rsidR="4E6006BD" w:rsidRPr="00542EB9">
        <w:rPr>
          <w:noProof/>
          <w:color w:val="000000" w:themeColor="text1"/>
        </w:rPr>
        <w:t>s Union</w:t>
      </w:r>
      <w:r w:rsidR="134EEEDF" w:rsidRPr="00542EB9">
        <w:rPr>
          <w:noProof/>
          <w:color w:val="000000" w:themeColor="text1"/>
        </w:rPr>
        <w:t>,</w:t>
      </w:r>
      <w:r w:rsidR="385A6C62" w:rsidRPr="00542EB9">
        <w:rPr>
          <w:noProof/>
          <w:color w:val="000000" w:themeColor="text1"/>
        </w:rPr>
        <w:t xml:space="preserve"> </w:t>
      </w:r>
      <w:r w:rsidR="65841900" w:rsidRPr="00542EB9">
        <w:rPr>
          <w:noProof/>
          <w:color w:val="000000" w:themeColor="text1"/>
        </w:rPr>
        <w:t xml:space="preserve">Article </w:t>
      </w:r>
      <w:r w:rsidR="743152A2" w:rsidRPr="00542EB9">
        <w:rPr>
          <w:noProof/>
          <w:color w:val="000000" w:themeColor="text1"/>
        </w:rPr>
        <w:t>207 TFEU on common commercial policy</w:t>
      </w:r>
      <w:r w:rsidR="134EEEDF" w:rsidRPr="00542EB9">
        <w:rPr>
          <w:noProof/>
          <w:color w:val="000000" w:themeColor="text1"/>
        </w:rPr>
        <w:t>,</w:t>
      </w:r>
      <w:r w:rsidR="743152A2" w:rsidRPr="00542EB9">
        <w:rPr>
          <w:noProof/>
          <w:color w:val="000000" w:themeColor="text1"/>
        </w:rPr>
        <w:t xml:space="preserve"> </w:t>
      </w:r>
      <w:r w:rsidR="385A6C62" w:rsidRPr="00542EB9">
        <w:rPr>
          <w:noProof/>
        </w:rPr>
        <w:t xml:space="preserve">Article 325 </w:t>
      </w:r>
      <w:r w:rsidR="2016004F" w:rsidRPr="00542EB9">
        <w:rPr>
          <w:noProof/>
        </w:rPr>
        <w:t xml:space="preserve">TFEU </w:t>
      </w:r>
      <w:r w:rsidR="385A6C62" w:rsidRPr="00542EB9">
        <w:rPr>
          <w:noProof/>
        </w:rPr>
        <w:t xml:space="preserve">on </w:t>
      </w:r>
      <w:r w:rsidR="45F52D52" w:rsidRPr="00542EB9">
        <w:rPr>
          <w:noProof/>
        </w:rPr>
        <w:t>protecting the</w:t>
      </w:r>
      <w:r w:rsidR="2016004F" w:rsidRPr="00542EB9">
        <w:rPr>
          <w:noProof/>
        </w:rPr>
        <w:t xml:space="preserve"> financial interests of the Union</w:t>
      </w:r>
      <w:r w:rsidR="71954951" w:rsidRPr="00542EB9">
        <w:rPr>
          <w:noProof/>
        </w:rPr>
        <w:t xml:space="preserve"> constitute</w:t>
      </w:r>
      <w:r w:rsidR="6DF39872" w:rsidRPr="00542EB9">
        <w:rPr>
          <w:noProof/>
        </w:rPr>
        <w:t xml:space="preserve"> the</w:t>
      </w:r>
      <w:r w:rsidR="71954951" w:rsidRPr="00542EB9">
        <w:rPr>
          <w:noProof/>
        </w:rPr>
        <w:t xml:space="preserve"> legal bases</w:t>
      </w:r>
      <w:r w:rsidR="6DF39872" w:rsidRPr="00542EB9">
        <w:rPr>
          <w:noProof/>
        </w:rPr>
        <w:t xml:space="preserve">. </w:t>
      </w:r>
      <w:r w:rsidR="71954951" w:rsidRPr="00542EB9">
        <w:rPr>
          <w:noProof/>
        </w:rPr>
        <w:t xml:space="preserve"> </w:t>
      </w:r>
    </w:p>
    <w:p w14:paraId="5E89CE3C" w14:textId="390974EB" w:rsidR="006B087E" w:rsidRPr="00542EB9" w:rsidRDefault="0FC32D14" w:rsidP="5DD21FD3">
      <w:pPr>
        <w:pStyle w:val="Heading2"/>
        <w:rPr>
          <w:noProof/>
        </w:rPr>
      </w:pPr>
      <w:bookmarkStart w:id="22" w:name="_Toc191909112"/>
      <w:bookmarkStart w:id="23" w:name="_Toc198549042"/>
      <w:r w:rsidRPr="00542EB9">
        <w:rPr>
          <w:noProof/>
        </w:rPr>
        <w:t>Subsidiarity: Necessity of EU action</w:t>
      </w:r>
      <w:bookmarkEnd w:id="22"/>
      <w:bookmarkEnd w:id="23"/>
    </w:p>
    <w:p w14:paraId="6DCF9130" w14:textId="77777777" w:rsidR="00D075F7" w:rsidRPr="00542EB9" w:rsidRDefault="00D075F7" w:rsidP="5DD21FD3">
      <w:pPr>
        <w:rPr>
          <w:rFonts w:eastAsia="Calibri"/>
          <w:noProof/>
          <w:color w:val="000000" w:themeColor="text1"/>
        </w:rPr>
      </w:pPr>
      <w:r w:rsidRPr="00542EB9">
        <w:rPr>
          <w:rFonts w:eastAsia="Calibri"/>
          <w:noProof/>
          <w:color w:val="000000" w:themeColor="text1"/>
        </w:rPr>
        <w:t>The EU faces global competition from other major economic blocs and needs to ensure that the single market remains competitive, performing, accessible and innovative and ensures a level playing field for stakeholders. A more flexible funding system — where programmes are easier to navigate and adapt to different needs — can foster and boost the single market’s global competitiveness and level playing field.</w:t>
      </w:r>
    </w:p>
    <w:p w14:paraId="4F01DAF8" w14:textId="72B8B785" w:rsidR="00D075F7" w:rsidRPr="00542EB9" w:rsidRDefault="00D075F7" w:rsidP="5DD21FD3">
      <w:pPr>
        <w:rPr>
          <w:rFonts w:eastAsia="Calibri"/>
          <w:b/>
          <w:bCs/>
          <w:noProof/>
          <w:color w:val="000000" w:themeColor="text1"/>
        </w:rPr>
      </w:pPr>
      <w:r w:rsidRPr="00542EB9">
        <w:rPr>
          <w:rFonts w:eastAsia="Calibri"/>
          <w:b/>
          <w:bCs/>
          <w:noProof/>
          <w:color w:val="000000" w:themeColor="text1"/>
        </w:rPr>
        <w:t>Boosting collaboration and cross-border projects</w:t>
      </w:r>
    </w:p>
    <w:p w14:paraId="153A31BD" w14:textId="55476C5C" w:rsidR="00D075F7" w:rsidRPr="00542EB9" w:rsidRDefault="00D075F7" w:rsidP="5DD21FD3">
      <w:pPr>
        <w:rPr>
          <w:rFonts w:eastAsia="Calibri"/>
          <w:noProof/>
          <w:color w:val="000000" w:themeColor="text1"/>
        </w:rPr>
      </w:pPr>
      <w:r w:rsidRPr="00542EB9">
        <w:rPr>
          <w:rFonts w:eastAsia="Calibri"/>
          <w:noProof/>
          <w:color w:val="000000" w:themeColor="text1"/>
        </w:rPr>
        <w:t>Flexible funding structures make it easier for organizations to collaborate across borders. Streamlined rules and faster approval processes can help consortia form quickly, share knowledge, and co-develop solutions to challenges such as continuously evolving trade patterns, climate change, and digital transformation.</w:t>
      </w:r>
    </w:p>
    <w:p w14:paraId="7492EABC" w14:textId="3A157795" w:rsidR="00D075F7" w:rsidRPr="00542EB9" w:rsidRDefault="00D075F7" w:rsidP="5DD21FD3">
      <w:pPr>
        <w:rPr>
          <w:rFonts w:eastAsia="Calibri"/>
          <w:b/>
          <w:bCs/>
          <w:noProof/>
          <w:color w:val="000000" w:themeColor="text1"/>
        </w:rPr>
      </w:pPr>
      <w:r w:rsidRPr="00542EB9">
        <w:rPr>
          <w:rFonts w:eastAsia="Calibri"/>
          <w:b/>
          <w:bCs/>
          <w:noProof/>
          <w:color w:val="000000" w:themeColor="text1"/>
        </w:rPr>
        <w:t>Addressing emerging and rapidly changing needs</w:t>
      </w:r>
    </w:p>
    <w:p w14:paraId="4AF78B04" w14:textId="18FEAC3F" w:rsidR="00531F6B" w:rsidRPr="00542EB9" w:rsidRDefault="00D075F7" w:rsidP="5DD21FD3">
      <w:pPr>
        <w:rPr>
          <w:rFonts w:eastAsia="Calibri"/>
          <w:noProof/>
          <w:color w:val="000000" w:themeColor="text1"/>
        </w:rPr>
      </w:pPr>
      <w:r w:rsidRPr="00542EB9">
        <w:rPr>
          <w:rFonts w:eastAsia="Calibri"/>
          <w:noProof/>
          <w:color w:val="000000" w:themeColor="text1"/>
        </w:rPr>
        <w:t xml:space="preserve">The EU’s funding landscape needs to display resilience and agility to respond to emerging crises situations — such as recently witnessed like pandemics or energy shocks—and to be equipped to adapt to digital transition and rapid technological change. </w:t>
      </w:r>
      <w:r w:rsidR="00802F81" w:rsidRPr="00542EB9">
        <w:rPr>
          <w:rFonts w:eastAsia="Calibri"/>
          <w:noProof/>
          <w:color w:val="000000" w:themeColor="text1"/>
        </w:rPr>
        <w:t>Rigid</w:t>
      </w:r>
      <w:r w:rsidRPr="00542EB9">
        <w:rPr>
          <w:rFonts w:eastAsia="Calibri"/>
          <w:noProof/>
          <w:color w:val="000000" w:themeColor="text1"/>
        </w:rPr>
        <w:t xml:space="preserve"> rules </w:t>
      </w:r>
      <w:r w:rsidR="00BA51FE" w:rsidRPr="00542EB9">
        <w:rPr>
          <w:rFonts w:eastAsia="Calibri"/>
          <w:noProof/>
          <w:color w:val="000000" w:themeColor="text1"/>
        </w:rPr>
        <w:t>make</w:t>
      </w:r>
      <w:r w:rsidRPr="00542EB9">
        <w:rPr>
          <w:rFonts w:eastAsia="Calibri"/>
          <w:noProof/>
          <w:color w:val="000000" w:themeColor="text1"/>
        </w:rPr>
        <w:t xml:space="preserve"> it difficult to redirect funds quickly or pivot to new priorities, slowing the EU’s ability to tackle urgent issues.</w:t>
      </w:r>
    </w:p>
    <w:p w14:paraId="57E1A010" w14:textId="537D9A75" w:rsidR="00260AB1" w:rsidRPr="00542EB9" w:rsidRDefault="00424412" w:rsidP="5DD21FD3">
      <w:pPr>
        <w:rPr>
          <w:rFonts w:eastAsia="Calibri"/>
          <w:noProof/>
          <w:color w:val="000000" w:themeColor="text1"/>
        </w:rPr>
      </w:pPr>
      <w:r w:rsidRPr="00542EB9">
        <w:rPr>
          <w:rFonts w:eastAsia="Calibri"/>
          <w:noProof/>
          <w:color w:val="000000" w:themeColor="text1"/>
        </w:rPr>
        <w:t xml:space="preserve">Today’s challenges require a </w:t>
      </w:r>
      <w:r w:rsidRPr="00542EB9">
        <w:rPr>
          <w:rFonts w:eastAsia="Calibri"/>
          <w:b/>
          <w:bCs/>
          <w:noProof/>
          <w:color w:val="000000" w:themeColor="text1"/>
        </w:rPr>
        <w:t>collective and coordinated EU response</w:t>
      </w:r>
      <w:r w:rsidRPr="00542EB9">
        <w:rPr>
          <w:rFonts w:eastAsia="Calibri"/>
          <w:noProof/>
          <w:color w:val="000000" w:themeColor="text1"/>
        </w:rPr>
        <w:t xml:space="preserve"> considering their global nature and the high levels of interdependence between Member States and to avoid fragmentation across the Union. The high levels of interdependence of Member States and of economic integration in the </w:t>
      </w:r>
      <w:r w:rsidR="0010672B" w:rsidRPr="00542EB9">
        <w:rPr>
          <w:rFonts w:eastAsia="Calibri"/>
          <w:noProof/>
          <w:color w:val="000000" w:themeColor="text1"/>
        </w:rPr>
        <w:t>single m</w:t>
      </w:r>
      <w:r w:rsidR="00E83D7A" w:rsidRPr="00542EB9">
        <w:rPr>
          <w:rFonts w:eastAsia="Calibri"/>
          <w:noProof/>
          <w:color w:val="000000" w:themeColor="text1"/>
        </w:rPr>
        <w:t>arket</w:t>
      </w:r>
      <w:r w:rsidRPr="00542EB9">
        <w:rPr>
          <w:rFonts w:eastAsia="Calibri"/>
          <w:noProof/>
          <w:color w:val="000000" w:themeColor="text1"/>
        </w:rPr>
        <w:t xml:space="preserve"> mean that policy action in one Member State can have significant spillover effects on other Member States. </w:t>
      </w:r>
    </w:p>
    <w:p w14:paraId="0F25B204" w14:textId="176D6ABB" w:rsidR="002F2FB2" w:rsidRPr="00542EB9" w:rsidRDefault="29C31DFE" w:rsidP="5DD21FD3">
      <w:pPr>
        <w:rPr>
          <w:noProof/>
        </w:rPr>
      </w:pPr>
      <w:r w:rsidRPr="00542EB9">
        <w:rPr>
          <w:rFonts w:eastAsia="Calibri"/>
          <w:noProof/>
          <w:color w:val="000000" w:themeColor="text1"/>
        </w:rPr>
        <w:t xml:space="preserve">In addition, due to </w:t>
      </w:r>
      <w:r w:rsidR="71A631EF" w:rsidRPr="00542EB9">
        <w:rPr>
          <w:noProof/>
        </w:rPr>
        <w:t xml:space="preserve">the nature of the challenges, </w:t>
      </w:r>
      <w:r w:rsidRPr="00542EB9">
        <w:rPr>
          <w:noProof/>
        </w:rPr>
        <w:t xml:space="preserve">intervention at EU level </w:t>
      </w:r>
      <w:r w:rsidR="71A631EF" w:rsidRPr="00542EB9">
        <w:rPr>
          <w:noProof/>
        </w:rPr>
        <w:t>provide</w:t>
      </w:r>
      <w:r w:rsidRPr="00542EB9">
        <w:rPr>
          <w:noProof/>
        </w:rPr>
        <w:t>s</w:t>
      </w:r>
      <w:r w:rsidR="71A631EF" w:rsidRPr="00542EB9">
        <w:rPr>
          <w:noProof/>
        </w:rPr>
        <w:t xml:space="preserve"> cooperation and harmonisation, and offer</w:t>
      </w:r>
      <w:r w:rsidR="2439EEB0" w:rsidRPr="00542EB9">
        <w:rPr>
          <w:noProof/>
        </w:rPr>
        <w:t>s</w:t>
      </w:r>
      <w:r w:rsidR="71A631EF" w:rsidRPr="00542EB9">
        <w:rPr>
          <w:noProof/>
        </w:rPr>
        <w:t xml:space="preserve"> transnational and cross-border </w:t>
      </w:r>
      <w:r w:rsidR="2439EEB0" w:rsidRPr="00542EB9">
        <w:rPr>
          <w:noProof/>
        </w:rPr>
        <w:t xml:space="preserve">relevant </w:t>
      </w:r>
      <w:r w:rsidR="71A631EF" w:rsidRPr="00542EB9">
        <w:rPr>
          <w:noProof/>
        </w:rPr>
        <w:t>benefits and economies of scale for businesses, consumers and citizens</w:t>
      </w:r>
      <w:r w:rsidR="4DFE8067" w:rsidRPr="00542EB9">
        <w:rPr>
          <w:noProof/>
        </w:rPr>
        <w:t>, as well as national authorities</w:t>
      </w:r>
      <w:r w:rsidR="008F0C1B" w:rsidRPr="00542EB9">
        <w:rPr>
          <w:noProof/>
        </w:rPr>
        <w:t>.</w:t>
      </w:r>
    </w:p>
    <w:p w14:paraId="6D0CEEB1" w14:textId="08602AE2" w:rsidR="00D64D45" w:rsidRPr="00542EB9" w:rsidRDefault="1ED773E4" w:rsidP="5DD21FD3">
      <w:pPr>
        <w:rPr>
          <w:noProof/>
          <w:lang w:eastAsia="en-GB"/>
        </w:rPr>
      </w:pPr>
      <w:r w:rsidRPr="00542EB9">
        <w:rPr>
          <w:noProof/>
        </w:rPr>
        <w:t>EU level f</w:t>
      </w:r>
      <w:r w:rsidR="1445055D" w:rsidRPr="00542EB9">
        <w:rPr>
          <w:noProof/>
        </w:rPr>
        <w:t xml:space="preserve">unding is </w:t>
      </w:r>
      <w:r w:rsidR="005FA629" w:rsidRPr="00542EB9">
        <w:rPr>
          <w:noProof/>
        </w:rPr>
        <w:t xml:space="preserve">also </w:t>
      </w:r>
      <w:r w:rsidR="1445055D" w:rsidRPr="00542EB9">
        <w:rPr>
          <w:noProof/>
        </w:rPr>
        <w:t xml:space="preserve">needed </w:t>
      </w:r>
      <w:r w:rsidRPr="00542EB9">
        <w:rPr>
          <w:b/>
          <w:bCs/>
          <w:noProof/>
        </w:rPr>
        <w:t>to enable</w:t>
      </w:r>
      <w:r w:rsidR="478E6096" w:rsidRPr="00542EB9">
        <w:rPr>
          <w:b/>
          <w:bCs/>
          <w:noProof/>
        </w:rPr>
        <w:t xml:space="preserve"> the Commission to fulfil its legal obligations</w:t>
      </w:r>
      <w:r w:rsidR="478E6096" w:rsidRPr="00542EB9">
        <w:rPr>
          <w:noProof/>
        </w:rPr>
        <w:t xml:space="preserve"> (TFEU and related legislation) </w:t>
      </w:r>
      <w:r w:rsidR="14BAF256" w:rsidRPr="00542EB9">
        <w:rPr>
          <w:noProof/>
        </w:rPr>
        <w:t xml:space="preserve">and </w:t>
      </w:r>
      <w:r w:rsidR="478E6096" w:rsidRPr="00542EB9">
        <w:rPr>
          <w:noProof/>
        </w:rPr>
        <w:t>address</w:t>
      </w:r>
      <w:r w:rsidR="01CD758D" w:rsidRPr="00542EB9">
        <w:rPr>
          <w:noProof/>
        </w:rPr>
        <w:t xml:space="preserve"> single market</w:t>
      </w:r>
      <w:r w:rsidR="478E6096" w:rsidRPr="00542EB9">
        <w:rPr>
          <w:noProof/>
        </w:rPr>
        <w:t xml:space="preserve"> issues falling in its competence.</w:t>
      </w:r>
      <w:r w:rsidR="6C57608E" w:rsidRPr="00542EB9">
        <w:rPr>
          <w:noProof/>
        </w:rPr>
        <w:t xml:space="preserve"> </w:t>
      </w:r>
      <w:r w:rsidR="00D64D45" w:rsidRPr="00542EB9">
        <w:rPr>
          <w:noProof/>
          <w:lang w:eastAsia="en-GB"/>
        </w:rPr>
        <w:t xml:space="preserve">Although the Customs Union is an area of exclusive competence with a high degree of harmonised EU legislation, the implementation of this legislation remains entirely with the individual Member States. The </w:t>
      </w:r>
      <w:r w:rsidR="00770AD9" w:rsidRPr="00542EB9">
        <w:rPr>
          <w:noProof/>
          <w:lang w:eastAsia="en-GB"/>
        </w:rPr>
        <w:t>C</w:t>
      </w:r>
      <w:r w:rsidR="00D64D45" w:rsidRPr="00542EB9">
        <w:rPr>
          <w:noProof/>
          <w:lang w:eastAsia="en-GB"/>
        </w:rPr>
        <w:t xml:space="preserve">ustoms </w:t>
      </w:r>
      <w:r w:rsidR="00770AD9" w:rsidRPr="00542EB9">
        <w:rPr>
          <w:noProof/>
          <w:lang w:eastAsia="en-GB"/>
        </w:rPr>
        <w:t>U</w:t>
      </w:r>
      <w:r w:rsidR="00D64D45" w:rsidRPr="00542EB9">
        <w:rPr>
          <w:noProof/>
          <w:lang w:eastAsia="en-GB"/>
        </w:rPr>
        <w:t xml:space="preserve">nion can therefore only be as strong as its weakest link. Strong cooperation is essential to reach a </w:t>
      </w:r>
      <w:r w:rsidR="00D64D45" w:rsidRPr="00542EB9">
        <w:rPr>
          <w:b/>
          <w:bCs/>
          <w:noProof/>
          <w:lang w:eastAsia="en-GB"/>
        </w:rPr>
        <w:t>deeper operational</w:t>
      </w:r>
      <w:r w:rsidR="00CD61A2" w:rsidRPr="00542EB9">
        <w:rPr>
          <w:b/>
          <w:bCs/>
          <w:noProof/>
          <w:lang w:eastAsia="en-GB"/>
        </w:rPr>
        <w:t>,</w:t>
      </w:r>
      <w:r w:rsidR="00D64D45" w:rsidRPr="00542EB9">
        <w:rPr>
          <w:b/>
          <w:bCs/>
          <w:noProof/>
          <w:lang w:eastAsia="en-GB"/>
        </w:rPr>
        <w:t xml:space="preserve"> </w:t>
      </w:r>
      <w:r w:rsidR="00BD1930" w:rsidRPr="00542EB9">
        <w:rPr>
          <w:b/>
          <w:bCs/>
          <w:noProof/>
          <w:lang w:eastAsia="en-GB"/>
        </w:rPr>
        <w:t>including digital</w:t>
      </w:r>
      <w:r w:rsidR="00CD61A2" w:rsidRPr="00542EB9">
        <w:rPr>
          <w:b/>
          <w:bCs/>
          <w:noProof/>
          <w:lang w:eastAsia="en-GB"/>
        </w:rPr>
        <w:t>,</w:t>
      </w:r>
      <w:r w:rsidR="00BD1930" w:rsidRPr="00542EB9">
        <w:rPr>
          <w:b/>
          <w:bCs/>
          <w:noProof/>
          <w:lang w:eastAsia="en-GB"/>
        </w:rPr>
        <w:t xml:space="preserve"> </w:t>
      </w:r>
      <w:r w:rsidR="00D64D45" w:rsidRPr="00542EB9">
        <w:rPr>
          <w:b/>
          <w:bCs/>
          <w:noProof/>
          <w:lang w:eastAsia="en-GB"/>
        </w:rPr>
        <w:t>integration</w:t>
      </w:r>
      <w:r w:rsidR="00D64D45" w:rsidRPr="00542EB9">
        <w:rPr>
          <w:noProof/>
          <w:lang w:eastAsia="en-GB"/>
        </w:rPr>
        <w:t xml:space="preserve"> and to enable customs authorities in the different Member States to act as if they were one, as well as to ensure correct collection of customs duties as well as import Value Added Tax and excise</w:t>
      </w:r>
      <w:r w:rsidR="00770AD9" w:rsidRPr="00542EB9">
        <w:rPr>
          <w:noProof/>
          <w:lang w:eastAsia="en-GB"/>
        </w:rPr>
        <w:t xml:space="preserve"> and other</w:t>
      </w:r>
      <w:r w:rsidR="00D64D45" w:rsidRPr="00542EB9">
        <w:rPr>
          <w:noProof/>
          <w:lang w:eastAsia="en-GB"/>
        </w:rPr>
        <w:t xml:space="preserve"> duties</w:t>
      </w:r>
      <w:r w:rsidR="00770AD9" w:rsidRPr="00542EB9">
        <w:rPr>
          <w:noProof/>
          <w:lang w:eastAsia="en-GB"/>
        </w:rPr>
        <w:t xml:space="preserve"> and levies</w:t>
      </w:r>
      <w:r w:rsidR="00D64D45" w:rsidRPr="00542EB9">
        <w:rPr>
          <w:noProof/>
          <w:lang w:eastAsia="en-GB"/>
        </w:rPr>
        <w:t xml:space="preserve">. </w:t>
      </w:r>
    </w:p>
    <w:p w14:paraId="242DEDE5" w14:textId="2D01CF21" w:rsidR="00D64D45" w:rsidRPr="00542EB9" w:rsidRDefault="00D64D45" w:rsidP="5DD21FD3">
      <w:pPr>
        <w:rPr>
          <w:noProof/>
          <w:lang w:eastAsia="en-GB"/>
        </w:rPr>
      </w:pPr>
      <w:r w:rsidRPr="00542EB9">
        <w:rPr>
          <w:noProof/>
          <w:lang w:eastAsia="en-GB"/>
        </w:rPr>
        <w:t xml:space="preserve">As the activities in the customs area are of a </w:t>
      </w:r>
      <w:r w:rsidRPr="00542EB9">
        <w:rPr>
          <w:b/>
          <w:bCs/>
          <w:noProof/>
          <w:lang w:eastAsia="en-GB"/>
        </w:rPr>
        <w:t>cross-border nature</w:t>
      </w:r>
      <w:r w:rsidRPr="00542EB9">
        <w:rPr>
          <w:noProof/>
          <w:lang w:eastAsia="en-GB"/>
        </w:rPr>
        <w:t xml:space="preserve">, facing global and trans-European challenges </w:t>
      </w:r>
      <w:r w:rsidR="00503F34" w:rsidRPr="00542EB9">
        <w:rPr>
          <w:noProof/>
          <w:lang w:eastAsia="en-GB"/>
        </w:rPr>
        <w:t xml:space="preserve">directly or indirectly </w:t>
      </w:r>
      <w:r w:rsidR="00322BEC" w:rsidRPr="00542EB9">
        <w:rPr>
          <w:noProof/>
          <w:lang w:eastAsia="en-GB"/>
        </w:rPr>
        <w:t>linked with the flow of goods</w:t>
      </w:r>
      <w:r w:rsidR="009B7D79" w:rsidRPr="00542EB9">
        <w:rPr>
          <w:noProof/>
          <w:lang w:eastAsia="en-GB"/>
        </w:rPr>
        <w:t xml:space="preserve"> at </w:t>
      </w:r>
      <w:r w:rsidR="79598A57" w:rsidRPr="00542EB9">
        <w:rPr>
          <w:noProof/>
          <w:lang w:eastAsia="en-GB"/>
        </w:rPr>
        <w:t>t</w:t>
      </w:r>
      <w:r w:rsidR="009B7D79" w:rsidRPr="00542EB9">
        <w:rPr>
          <w:noProof/>
          <w:lang w:eastAsia="en-GB"/>
        </w:rPr>
        <w:t xml:space="preserve">he external customs borders, </w:t>
      </w:r>
      <w:r w:rsidRPr="00542EB9">
        <w:rPr>
          <w:noProof/>
          <w:lang w:eastAsia="en-GB"/>
        </w:rPr>
        <w:t xml:space="preserve">such as </w:t>
      </w:r>
      <w:r w:rsidR="009B7D79" w:rsidRPr="00542EB9">
        <w:rPr>
          <w:noProof/>
          <w:lang w:eastAsia="en-GB"/>
        </w:rPr>
        <w:t>organised crime</w:t>
      </w:r>
      <w:r w:rsidR="002808CD" w:rsidRPr="00542EB9">
        <w:rPr>
          <w:noProof/>
          <w:lang w:eastAsia="en-GB"/>
        </w:rPr>
        <w:t xml:space="preserve"> and terrorism</w:t>
      </w:r>
      <w:r w:rsidRPr="00542EB9">
        <w:rPr>
          <w:noProof/>
          <w:lang w:eastAsia="en-GB"/>
        </w:rPr>
        <w:t xml:space="preserve">, globalisation and e-commerce in an efficient and coherent way across Europe cannot be achieved by the </w:t>
      </w:r>
      <w:r w:rsidR="002808CD" w:rsidRPr="00542EB9">
        <w:rPr>
          <w:noProof/>
          <w:lang w:eastAsia="en-GB"/>
        </w:rPr>
        <w:t xml:space="preserve">Union </w:t>
      </w:r>
      <w:r w:rsidRPr="00542EB9">
        <w:rPr>
          <w:noProof/>
          <w:lang w:eastAsia="en-GB"/>
        </w:rPr>
        <w:t>or Member States individually.</w:t>
      </w:r>
      <w:r w:rsidR="0035588A" w:rsidRPr="00542EB9">
        <w:rPr>
          <w:noProof/>
          <w:lang w:eastAsia="en-GB"/>
        </w:rPr>
        <w:t xml:space="preserve"> </w:t>
      </w:r>
      <w:r w:rsidRPr="00542EB9">
        <w:rPr>
          <w:noProof/>
          <w:lang w:eastAsia="en-GB"/>
        </w:rPr>
        <w:t xml:space="preserve">Cooperation and operational integration between national customs administrations are needed to enable participating countries to jointly work out </w:t>
      </w:r>
      <w:r w:rsidRPr="00542EB9">
        <w:rPr>
          <w:b/>
          <w:bCs/>
          <w:noProof/>
          <w:lang w:eastAsia="en-GB"/>
        </w:rPr>
        <w:t xml:space="preserve">common solutions and best practices </w:t>
      </w:r>
      <w:r w:rsidRPr="00542EB9">
        <w:rPr>
          <w:noProof/>
          <w:lang w:eastAsia="en-GB"/>
        </w:rPr>
        <w:t xml:space="preserve">at operational level to deliver on these objectives and face all related challenges. </w:t>
      </w:r>
    </w:p>
    <w:p w14:paraId="110C2BC2" w14:textId="07853302" w:rsidR="00D64D45" w:rsidRPr="00542EB9" w:rsidRDefault="00D64D45" w:rsidP="5DD21FD3">
      <w:pPr>
        <w:rPr>
          <w:noProof/>
          <w:lang w:eastAsia="en-GB"/>
        </w:rPr>
      </w:pPr>
      <w:r w:rsidRPr="00542EB9">
        <w:rPr>
          <w:noProof/>
          <w:lang w:eastAsia="en-GB"/>
        </w:rPr>
        <w:t>Such</w:t>
      </w:r>
      <w:r w:rsidR="260E8040" w:rsidRPr="00542EB9">
        <w:rPr>
          <w:noProof/>
          <w:lang w:eastAsia="en-GB"/>
        </w:rPr>
        <w:t xml:space="preserve"> </w:t>
      </w:r>
      <w:r w:rsidRPr="00542EB9">
        <w:rPr>
          <w:noProof/>
          <w:lang w:eastAsia="en-GB"/>
        </w:rPr>
        <w:t xml:space="preserve">high degree of cooperation and coordination can only be achieved with a </w:t>
      </w:r>
      <w:r w:rsidRPr="00542EB9">
        <w:rPr>
          <w:b/>
          <w:bCs/>
          <w:noProof/>
          <w:lang w:eastAsia="en-GB"/>
        </w:rPr>
        <w:t>centralised approach, ideally at Union level</w:t>
      </w:r>
      <w:r w:rsidRPr="00542EB9">
        <w:rPr>
          <w:noProof/>
          <w:lang w:eastAsia="en-GB"/>
        </w:rPr>
        <w:t xml:space="preserve">. </w:t>
      </w:r>
      <w:r w:rsidR="00163C98" w:rsidRPr="00542EB9">
        <w:rPr>
          <w:noProof/>
          <w:lang w:eastAsia="en-GB"/>
        </w:rPr>
        <w:t>A</w:t>
      </w:r>
      <w:r w:rsidRPr="00542EB9">
        <w:rPr>
          <w:noProof/>
          <w:lang w:eastAsia="en-GB"/>
        </w:rPr>
        <w:t xml:space="preserve"> </w:t>
      </w:r>
      <w:r w:rsidRPr="00542EB9">
        <w:rPr>
          <w:b/>
          <w:bCs/>
          <w:noProof/>
          <w:lang w:eastAsia="en-GB"/>
        </w:rPr>
        <w:t>Union framework for cooperation</w:t>
      </w:r>
      <w:r w:rsidRPr="00542EB9">
        <w:rPr>
          <w:noProof/>
          <w:lang w:eastAsia="en-GB"/>
        </w:rPr>
        <w:t xml:space="preserve"> </w:t>
      </w:r>
      <w:r w:rsidR="003B7ED1" w:rsidRPr="00542EB9">
        <w:rPr>
          <w:noProof/>
          <w:lang w:eastAsia="en-GB"/>
        </w:rPr>
        <w:t xml:space="preserve">as indicated by the </w:t>
      </w:r>
      <w:r w:rsidR="009E5810" w:rsidRPr="00542EB9">
        <w:rPr>
          <w:noProof/>
          <w:lang w:eastAsia="en-GB"/>
        </w:rPr>
        <w:t>Commission’s</w:t>
      </w:r>
      <w:r w:rsidR="0055093C" w:rsidRPr="00542EB9">
        <w:rPr>
          <w:noProof/>
          <w:lang w:eastAsia="en-GB"/>
        </w:rPr>
        <w:t xml:space="preserve"> proposal on the EU Customs Reform would address the</w:t>
      </w:r>
      <w:r w:rsidR="003B7ED1" w:rsidRPr="00542EB9">
        <w:rPr>
          <w:noProof/>
          <w:lang w:eastAsia="en-GB"/>
        </w:rPr>
        <w:t xml:space="preserve"> encountered problems in terms of uniform implementation and harmonisation, generating a fragmentation of processes, practices and approaches that puts the Customs Union at risk. </w:t>
      </w:r>
      <w:r w:rsidRPr="00542EB9">
        <w:rPr>
          <w:noProof/>
          <w:lang w:eastAsia="en-GB"/>
        </w:rPr>
        <w:t>The resulting set-up is substantially more cost efficient than if each Member State were to set up its individual cooperation framework on a bilateral or multilateral basis.</w:t>
      </w:r>
      <w:r w:rsidR="00770C44" w:rsidRPr="00542EB9">
        <w:rPr>
          <w:noProof/>
          <w:lang w:eastAsia="en-GB"/>
        </w:rPr>
        <w:t xml:space="preserve"> This is also confirmed by the preliminary findings of the currently ongoing interim evaluation of the Customs programme, which refers to the Programme “achieving efficiencies of scale and efficiency gains in IT capacity building, while the collaborative activities </w:t>
      </w:r>
      <w:r w:rsidR="00026B0B" w:rsidRPr="00542EB9">
        <w:rPr>
          <w:noProof/>
          <w:lang w:eastAsia="en-GB"/>
        </w:rPr>
        <w:t>provide</w:t>
      </w:r>
      <w:r w:rsidR="00770C44" w:rsidRPr="00542EB9">
        <w:rPr>
          <w:noProof/>
          <w:lang w:eastAsia="en-GB"/>
        </w:rPr>
        <w:t xml:space="preserve"> opportunities for cooperation, communication and networking across the EU that could not be achieved without the involvement of the EU and are essential to ensure harmonisation</w:t>
      </w:r>
    </w:p>
    <w:p w14:paraId="42CD1188" w14:textId="20CF3764" w:rsidR="00BC3D58" w:rsidRPr="00542EB9" w:rsidRDefault="5B88B8C8" w:rsidP="0ECBCB6D">
      <w:pPr>
        <w:rPr>
          <w:noProof/>
          <w:lang w:eastAsia="en-GB"/>
        </w:rPr>
      </w:pPr>
      <w:r w:rsidRPr="00542EB9">
        <w:rPr>
          <w:noProof/>
          <w:lang w:eastAsia="en-GB"/>
        </w:rPr>
        <w:t>I</w:t>
      </w:r>
      <w:r w:rsidR="5E34E994" w:rsidRPr="00542EB9">
        <w:rPr>
          <w:noProof/>
          <w:lang w:eastAsia="en-GB"/>
        </w:rPr>
        <w:t xml:space="preserve">n the tax area, </w:t>
      </w:r>
      <w:r w:rsidR="6ED039D3" w:rsidRPr="00542EB9">
        <w:rPr>
          <w:noProof/>
          <w:lang w:eastAsia="en-GB"/>
        </w:rPr>
        <w:t xml:space="preserve">a versatile and complex </w:t>
      </w:r>
      <w:r w:rsidR="4E862141" w:rsidRPr="00542EB9">
        <w:rPr>
          <w:noProof/>
          <w:lang w:eastAsia="en-GB"/>
        </w:rPr>
        <w:t xml:space="preserve">legal </w:t>
      </w:r>
      <w:r w:rsidRPr="00542EB9">
        <w:rPr>
          <w:noProof/>
          <w:lang w:eastAsia="en-GB"/>
        </w:rPr>
        <w:t xml:space="preserve">and digital </w:t>
      </w:r>
      <w:r w:rsidR="6ED039D3" w:rsidRPr="00542EB9">
        <w:rPr>
          <w:noProof/>
          <w:lang w:eastAsia="en-GB"/>
        </w:rPr>
        <w:t>landscape</w:t>
      </w:r>
      <w:r w:rsidR="5089AD34" w:rsidRPr="00542EB9">
        <w:rPr>
          <w:noProof/>
          <w:lang w:eastAsia="en-GB"/>
        </w:rPr>
        <w:t>, efforts on harmonisation and approximation of tax law and administrative actions, as well as</w:t>
      </w:r>
      <w:r w:rsidR="6E46EEB5" w:rsidRPr="00542EB9">
        <w:rPr>
          <w:noProof/>
          <w:lang w:eastAsia="en-GB"/>
        </w:rPr>
        <w:t xml:space="preserve"> rapidly emerging </w:t>
      </w:r>
      <w:r w:rsidR="03637A95" w:rsidRPr="00542EB9">
        <w:rPr>
          <w:noProof/>
          <w:lang w:eastAsia="en-GB"/>
        </w:rPr>
        <w:t xml:space="preserve">needs prompt the </w:t>
      </w:r>
      <w:r w:rsidR="5089AD34" w:rsidRPr="00542EB9">
        <w:rPr>
          <w:noProof/>
          <w:lang w:eastAsia="en-GB"/>
        </w:rPr>
        <w:t xml:space="preserve">demand for </w:t>
      </w:r>
      <w:r w:rsidR="4E862141" w:rsidRPr="00542EB9">
        <w:rPr>
          <w:noProof/>
          <w:lang w:eastAsia="en-GB"/>
        </w:rPr>
        <w:t>EU interventions</w:t>
      </w:r>
      <w:r w:rsidR="5089AD34" w:rsidRPr="00542EB9">
        <w:rPr>
          <w:noProof/>
          <w:lang w:eastAsia="en-GB"/>
        </w:rPr>
        <w:t xml:space="preserve">, inviting </w:t>
      </w:r>
      <w:r w:rsidR="1FC301F6" w:rsidRPr="00542EB9">
        <w:rPr>
          <w:noProof/>
          <w:lang w:eastAsia="en-GB"/>
        </w:rPr>
        <w:t xml:space="preserve">for </w:t>
      </w:r>
      <w:r w:rsidR="5E34E994" w:rsidRPr="00542EB9">
        <w:rPr>
          <w:noProof/>
          <w:lang w:eastAsia="en-GB"/>
        </w:rPr>
        <w:t xml:space="preserve">support Member States in their effort and responsibility to implement Union law. </w:t>
      </w:r>
      <w:r w:rsidR="00F41F72" w:rsidRPr="00542EB9">
        <w:rPr>
          <w:noProof/>
          <w:lang w:eastAsia="en-GB"/>
        </w:rPr>
        <w:t>EU intervention via funding programmes</w:t>
      </w:r>
      <w:r w:rsidR="780D651A" w:rsidRPr="00542EB9">
        <w:rPr>
          <w:noProof/>
          <w:lang w:eastAsia="en-GB"/>
        </w:rPr>
        <w:t xml:space="preserve"> </w:t>
      </w:r>
      <w:r w:rsidR="0DE5F7AF" w:rsidRPr="00542EB9">
        <w:rPr>
          <w:noProof/>
          <w:lang w:eastAsia="en-GB"/>
        </w:rPr>
        <w:t xml:space="preserve">has </w:t>
      </w:r>
      <w:r w:rsidR="20443040" w:rsidRPr="00542EB9">
        <w:rPr>
          <w:noProof/>
          <w:lang w:eastAsia="en-GB"/>
        </w:rPr>
        <w:t>assist</w:t>
      </w:r>
      <w:r w:rsidR="7E68B5F6" w:rsidRPr="00542EB9">
        <w:rPr>
          <w:noProof/>
          <w:lang w:eastAsia="en-GB"/>
        </w:rPr>
        <w:t>ed</w:t>
      </w:r>
      <w:r w:rsidR="628599A8" w:rsidRPr="00542EB9">
        <w:rPr>
          <w:noProof/>
          <w:lang w:eastAsia="en-GB"/>
        </w:rPr>
        <w:t xml:space="preserve"> </w:t>
      </w:r>
      <w:r w:rsidR="1F40F21B" w:rsidRPr="00542EB9">
        <w:rPr>
          <w:noProof/>
          <w:lang w:eastAsia="en-GB"/>
        </w:rPr>
        <w:t>EU tax policy</w:t>
      </w:r>
      <w:r w:rsidR="780D651A" w:rsidRPr="00542EB9">
        <w:rPr>
          <w:noProof/>
          <w:lang w:eastAsia="en-GB"/>
        </w:rPr>
        <w:t xml:space="preserve"> </w:t>
      </w:r>
      <w:r w:rsidR="70B2C2C0" w:rsidRPr="00542EB9">
        <w:rPr>
          <w:noProof/>
          <w:lang w:eastAsia="en-GB"/>
        </w:rPr>
        <w:t xml:space="preserve">for more than </w:t>
      </w:r>
      <w:r w:rsidR="007552C9" w:rsidRPr="00542EB9">
        <w:rPr>
          <w:noProof/>
          <w:lang w:eastAsia="en-GB"/>
        </w:rPr>
        <w:t>three</w:t>
      </w:r>
      <w:r w:rsidR="70B2C2C0" w:rsidRPr="00542EB9">
        <w:rPr>
          <w:noProof/>
          <w:lang w:eastAsia="en-GB"/>
        </w:rPr>
        <w:t xml:space="preserve"> decades</w:t>
      </w:r>
      <w:r w:rsidR="780D651A" w:rsidRPr="00542EB9">
        <w:rPr>
          <w:noProof/>
          <w:lang w:eastAsia="en-GB"/>
        </w:rPr>
        <w:t xml:space="preserve"> </w:t>
      </w:r>
      <w:r w:rsidR="1F40F21B" w:rsidRPr="00542EB9">
        <w:rPr>
          <w:noProof/>
          <w:lang w:eastAsia="en-GB"/>
        </w:rPr>
        <w:t xml:space="preserve">– with proven </w:t>
      </w:r>
      <w:r w:rsidR="5E34E994" w:rsidRPr="00542EB9">
        <w:rPr>
          <w:noProof/>
          <w:lang w:eastAsia="en-GB"/>
        </w:rPr>
        <w:t>added value</w:t>
      </w:r>
      <w:r w:rsidR="1F40F21B" w:rsidRPr="00542EB9">
        <w:rPr>
          <w:noProof/>
          <w:lang w:eastAsia="en-GB"/>
        </w:rPr>
        <w:t xml:space="preserve"> –</w:t>
      </w:r>
      <w:r w:rsidR="5E34E994" w:rsidRPr="00542EB9">
        <w:rPr>
          <w:noProof/>
          <w:lang w:eastAsia="en-GB"/>
        </w:rPr>
        <w:t xml:space="preserve"> by</w:t>
      </w:r>
      <w:r w:rsidR="1F40F21B" w:rsidRPr="00542EB9">
        <w:rPr>
          <w:noProof/>
          <w:lang w:eastAsia="en-GB"/>
        </w:rPr>
        <w:t xml:space="preserve"> </w:t>
      </w:r>
      <w:r w:rsidR="5E34E994" w:rsidRPr="00542EB9">
        <w:rPr>
          <w:noProof/>
          <w:lang w:eastAsia="en-GB"/>
        </w:rPr>
        <w:t xml:space="preserve">providing financial means to work out common and shared implementation mechanisms for EU tax legislation. Indeed, a significant part of the EU tax legislation requires </w:t>
      </w:r>
      <w:r w:rsidR="076AC412" w:rsidRPr="00542EB9">
        <w:rPr>
          <w:noProof/>
          <w:lang w:eastAsia="en-GB"/>
        </w:rPr>
        <w:t>modern digital solutions</w:t>
      </w:r>
      <w:r w:rsidR="5E34E994" w:rsidRPr="00542EB9">
        <w:rPr>
          <w:noProof/>
          <w:lang w:eastAsia="en-GB"/>
        </w:rPr>
        <w:t xml:space="preserve"> to be put in place for allowing exchanging information in relation to </w:t>
      </w:r>
      <w:r w:rsidR="23213E39" w:rsidRPr="00542EB9">
        <w:rPr>
          <w:noProof/>
          <w:lang w:eastAsia="en-GB"/>
        </w:rPr>
        <w:t>taxpayers</w:t>
      </w:r>
      <w:r w:rsidR="5E34E994" w:rsidRPr="00542EB9">
        <w:rPr>
          <w:noProof/>
          <w:lang w:eastAsia="en-GB"/>
        </w:rPr>
        <w:t xml:space="preserve"> (citizens or businesses) or cross-border transactions. This exchange of information amongst Member States takes place because </w:t>
      </w:r>
      <w:r w:rsidR="00F41F72" w:rsidRPr="00542EB9">
        <w:rPr>
          <w:noProof/>
          <w:lang w:eastAsia="en-GB"/>
        </w:rPr>
        <w:t>EU fundin</w:t>
      </w:r>
      <w:r w:rsidR="006706BA" w:rsidRPr="00542EB9">
        <w:rPr>
          <w:noProof/>
          <w:lang w:eastAsia="en-GB"/>
        </w:rPr>
        <w:t>g</w:t>
      </w:r>
      <w:r w:rsidR="00F41F72" w:rsidRPr="00542EB9">
        <w:rPr>
          <w:noProof/>
          <w:lang w:eastAsia="en-GB"/>
        </w:rPr>
        <w:t xml:space="preserve"> </w:t>
      </w:r>
      <w:r w:rsidR="5E34E994" w:rsidRPr="00542EB9">
        <w:rPr>
          <w:noProof/>
          <w:lang w:eastAsia="en-GB"/>
        </w:rPr>
        <w:t xml:space="preserve">allows financing </w:t>
      </w:r>
      <w:r w:rsidR="2FBB5B71" w:rsidRPr="00542EB9">
        <w:rPr>
          <w:noProof/>
          <w:lang w:eastAsia="en-GB"/>
        </w:rPr>
        <w:t xml:space="preserve">EU-level </w:t>
      </w:r>
      <w:r w:rsidR="5E34E994" w:rsidRPr="00542EB9">
        <w:rPr>
          <w:noProof/>
          <w:lang w:eastAsia="en-GB"/>
        </w:rPr>
        <w:t>electronic systems</w:t>
      </w:r>
      <w:r w:rsidR="2FBB5B71" w:rsidRPr="00542EB9">
        <w:rPr>
          <w:noProof/>
          <w:lang w:eastAsia="en-GB"/>
        </w:rPr>
        <w:t>,</w:t>
      </w:r>
      <w:r w:rsidR="5E34E994" w:rsidRPr="00542EB9">
        <w:rPr>
          <w:noProof/>
          <w:lang w:eastAsia="en-GB"/>
        </w:rPr>
        <w:t xml:space="preserve"> or their common components. Without </w:t>
      </w:r>
      <w:r w:rsidR="006706BA" w:rsidRPr="00542EB9">
        <w:rPr>
          <w:noProof/>
          <w:lang w:eastAsia="en-GB"/>
        </w:rPr>
        <w:t xml:space="preserve">such financial support </w:t>
      </w:r>
      <w:r w:rsidR="5E34E994" w:rsidRPr="00542EB9">
        <w:rPr>
          <w:noProof/>
          <w:lang w:eastAsia="en-GB"/>
        </w:rPr>
        <w:t>no common electronic systems would be developed</w:t>
      </w:r>
      <w:r w:rsidR="0089666B" w:rsidRPr="00542EB9">
        <w:rPr>
          <w:noProof/>
          <w:lang w:eastAsia="en-GB"/>
        </w:rPr>
        <w:t>,</w:t>
      </w:r>
      <w:r w:rsidR="5E34E994" w:rsidRPr="00542EB9">
        <w:rPr>
          <w:noProof/>
          <w:lang w:eastAsia="en-GB"/>
        </w:rPr>
        <w:t xml:space="preserve"> and many EU legislative acts would remain </w:t>
      </w:r>
      <w:r w:rsidR="3191C34F" w:rsidRPr="00542EB9">
        <w:rPr>
          <w:noProof/>
          <w:lang w:eastAsia="en-GB"/>
        </w:rPr>
        <w:t>unimplemented,</w:t>
      </w:r>
      <w:r w:rsidR="5E34E994" w:rsidRPr="00542EB9">
        <w:rPr>
          <w:noProof/>
          <w:lang w:eastAsia="en-GB"/>
        </w:rPr>
        <w:t xml:space="preserve"> or their implementation would suffer from important delays and technical obstacles. </w:t>
      </w:r>
    </w:p>
    <w:p w14:paraId="369B480C" w14:textId="081FFE2E" w:rsidR="41392644" w:rsidRPr="00542EB9" w:rsidRDefault="3648AB03">
      <w:pPr>
        <w:rPr>
          <w:noProof/>
          <w:lang w:eastAsia="en-GB"/>
        </w:rPr>
      </w:pPr>
      <w:r w:rsidRPr="00542EB9">
        <w:rPr>
          <w:noProof/>
          <w:lang w:eastAsia="en-GB"/>
        </w:rPr>
        <w:t>G</w:t>
      </w:r>
      <w:r w:rsidR="2BBFDB68" w:rsidRPr="00542EB9">
        <w:rPr>
          <w:noProof/>
          <w:lang w:eastAsia="en-GB"/>
        </w:rPr>
        <w:t xml:space="preserve">iven that most policy areas </w:t>
      </w:r>
      <w:r w:rsidR="4B03C808" w:rsidRPr="00542EB9">
        <w:rPr>
          <w:noProof/>
          <w:lang w:eastAsia="en-GB"/>
        </w:rPr>
        <w:t>have a strong digital dimension</w:t>
      </w:r>
      <w:r w:rsidR="64C10F95" w:rsidRPr="00542EB9">
        <w:rPr>
          <w:noProof/>
          <w:lang w:eastAsia="en-GB"/>
        </w:rPr>
        <w:t xml:space="preserve">, </w:t>
      </w:r>
      <w:r w:rsidR="48229848" w:rsidRPr="00542EB9">
        <w:rPr>
          <w:noProof/>
          <w:lang w:eastAsia="en-GB"/>
        </w:rPr>
        <w:t xml:space="preserve">strengthened </w:t>
      </w:r>
      <w:r w:rsidR="171187D1" w:rsidRPr="00542EB9">
        <w:rPr>
          <w:noProof/>
          <w:lang w:eastAsia="en-GB"/>
        </w:rPr>
        <w:t>collaboration between public sector organisations</w:t>
      </w:r>
      <w:r w:rsidR="71F5AB24" w:rsidRPr="00542EB9">
        <w:rPr>
          <w:noProof/>
          <w:lang w:eastAsia="en-GB"/>
        </w:rPr>
        <w:t xml:space="preserve"> at </w:t>
      </w:r>
      <w:r w:rsidR="0F72BB34" w:rsidRPr="00542EB9">
        <w:rPr>
          <w:noProof/>
          <w:lang w:eastAsia="en-GB"/>
        </w:rPr>
        <w:t xml:space="preserve">EU, </w:t>
      </w:r>
      <w:r w:rsidR="71F5AB24" w:rsidRPr="00542EB9">
        <w:rPr>
          <w:noProof/>
          <w:lang w:eastAsia="en-GB"/>
        </w:rPr>
        <w:t>national, regional and local level</w:t>
      </w:r>
      <w:r w:rsidR="171187D1" w:rsidRPr="00542EB9">
        <w:rPr>
          <w:noProof/>
          <w:lang w:eastAsia="en-GB"/>
        </w:rPr>
        <w:t xml:space="preserve"> across the EU </w:t>
      </w:r>
      <w:r w:rsidR="19F47EF0" w:rsidRPr="00542EB9">
        <w:rPr>
          <w:noProof/>
          <w:lang w:eastAsia="en-GB"/>
        </w:rPr>
        <w:t>is necessary to</w:t>
      </w:r>
      <w:r w:rsidR="78862E7A" w:rsidRPr="00542EB9">
        <w:rPr>
          <w:noProof/>
          <w:lang w:eastAsia="en-GB"/>
        </w:rPr>
        <w:t xml:space="preserve"> </w:t>
      </w:r>
      <w:r w:rsidR="69184FB4" w:rsidRPr="00542EB9">
        <w:rPr>
          <w:noProof/>
          <w:lang w:eastAsia="en-GB"/>
        </w:rPr>
        <w:t xml:space="preserve">enhance interoperability and </w:t>
      </w:r>
      <w:r w:rsidR="48DA7E18" w:rsidRPr="00542EB9">
        <w:rPr>
          <w:noProof/>
          <w:lang w:eastAsia="en-GB"/>
        </w:rPr>
        <w:t xml:space="preserve">facilitate seamless data exchanges </w:t>
      </w:r>
      <w:r w:rsidR="7CCCB4ED" w:rsidRPr="00542EB9">
        <w:rPr>
          <w:noProof/>
          <w:lang w:eastAsia="en-GB"/>
        </w:rPr>
        <w:t>for</w:t>
      </w:r>
      <w:r w:rsidR="5E340813" w:rsidRPr="00542EB9">
        <w:rPr>
          <w:noProof/>
          <w:lang w:eastAsia="en-GB"/>
        </w:rPr>
        <w:t xml:space="preserve"> better policy implementation</w:t>
      </w:r>
      <w:r w:rsidR="16674E3C" w:rsidRPr="00542EB9">
        <w:rPr>
          <w:noProof/>
          <w:lang w:eastAsia="en-GB"/>
        </w:rPr>
        <w:t>,</w:t>
      </w:r>
      <w:r w:rsidR="2310DE25" w:rsidRPr="00542EB9">
        <w:rPr>
          <w:noProof/>
          <w:lang w:eastAsia="en-GB"/>
        </w:rPr>
        <w:t xml:space="preserve"> particularly</w:t>
      </w:r>
      <w:r w:rsidR="16674E3C" w:rsidRPr="00542EB9">
        <w:rPr>
          <w:noProof/>
          <w:lang w:eastAsia="en-GB"/>
        </w:rPr>
        <w:t xml:space="preserve"> through an effective application of digital-ready policymaking,</w:t>
      </w:r>
      <w:r w:rsidR="0A60AA9D" w:rsidRPr="00542EB9">
        <w:rPr>
          <w:noProof/>
          <w:lang w:eastAsia="en-GB"/>
        </w:rPr>
        <w:t xml:space="preserve"> and</w:t>
      </w:r>
      <w:r w:rsidR="5E340813" w:rsidRPr="00542EB9">
        <w:rPr>
          <w:noProof/>
          <w:lang w:eastAsia="en-GB"/>
        </w:rPr>
        <w:t xml:space="preserve"> </w:t>
      </w:r>
      <w:r w:rsidR="35CC94B0" w:rsidRPr="00542EB9">
        <w:rPr>
          <w:noProof/>
          <w:lang w:eastAsia="en-GB"/>
        </w:rPr>
        <w:t xml:space="preserve">for </w:t>
      </w:r>
      <w:r w:rsidR="5E340813" w:rsidRPr="00542EB9">
        <w:rPr>
          <w:noProof/>
          <w:lang w:eastAsia="en-GB"/>
        </w:rPr>
        <w:t>burden</w:t>
      </w:r>
      <w:r w:rsidR="5D370635" w:rsidRPr="00542EB9">
        <w:rPr>
          <w:noProof/>
          <w:lang w:eastAsia="en-GB"/>
        </w:rPr>
        <w:t xml:space="preserve"> reduction</w:t>
      </w:r>
      <w:r w:rsidR="372764E6" w:rsidRPr="00542EB9">
        <w:rPr>
          <w:noProof/>
          <w:lang w:eastAsia="en-GB"/>
        </w:rPr>
        <w:t>.</w:t>
      </w:r>
    </w:p>
    <w:p w14:paraId="1B84F93E" w14:textId="688C0722" w:rsidR="00A30047" w:rsidRPr="00542EB9" w:rsidRDefault="00A30047" w:rsidP="00A30047">
      <w:pPr>
        <w:rPr>
          <w:noProof/>
        </w:rPr>
      </w:pPr>
      <w:r w:rsidRPr="00542EB9">
        <w:rPr>
          <w:noProof/>
        </w:rPr>
        <w:t>The importance of tackling this at EU level is emphasised by the existence of Treaty-based obligations incumbent upon the Commission in competition policy, consumer protection, standard-setting, and the provision of European statistics. For instance, funding activities</w:t>
      </w:r>
      <w:r w:rsidRPr="00542EB9" w:rsidDel="00185364">
        <w:rPr>
          <w:noProof/>
        </w:rPr>
        <w:t xml:space="preserve"> </w:t>
      </w:r>
      <w:r w:rsidRPr="00581B34">
        <w:rPr>
          <w:noProof/>
        </w:rPr>
        <w:t>linked to the development of reporting standards by the European Financial Reporting Advisory Group (EFRAG) have been critical for EU law implementation and has contributed to the EU influence on global standardisation. For example, the new mandate of EFRAG has supported developments in sustainability reporting. Stakeholders consulted confirmed how crucial it remains for the EU to support the development of high-quality standards and to ensure that all relevant interest are increasingly represented in the process at the EU and international level</w:t>
      </w:r>
      <w:r w:rsidRPr="00581B34">
        <w:rPr>
          <w:noProof/>
          <w:sz w:val="20"/>
          <w:szCs w:val="20"/>
          <w:vertAlign w:val="superscript"/>
        </w:rPr>
        <w:footnoteReference w:id="76"/>
      </w:r>
      <w:r w:rsidRPr="00581B34">
        <w:rPr>
          <w:noProof/>
        </w:rPr>
        <w:t>. In addition, the effectiveness</w:t>
      </w:r>
      <w:r w:rsidRPr="00542EB9">
        <w:rPr>
          <w:noProof/>
        </w:rPr>
        <w:t xml:space="preserve"> of competition in the internal market in turn is an essential driver of EU competitiveness</w:t>
      </w:r>
      <w:r w:rsidRPr="00542EB9">
        <w:rPr>
          <w:rStyle w:val="FootnoteReference"/>
          <w:noProof/>
          <w:sz w:val="20"/>
          <w:szCs w:val="20"/>
        </w:rPr>
        <w:footnoteReference w:id="77"/>
      </w:r>
      <w:r w:rsidRPr="00542EB9">
        <w:rPr>
          <w:noProof/>
        </w:rPr>
        <w:t xml:space="preserve">. </w:t>
      </w:r>
    </w:p>
    <w:p w14:paraId="6804E57D" w14:textId="08B3E448" w:rsidR="0014750B" w:rsidRPr="00542EB9" w:rsidRDefault="0014750B" w:rsidP="5DD21FD3">
      <w:pPr>
        <w:rPr>
          <w:noProof/>
        </w:rPr>
      </w:pPr>
      <w:r w:rsidRPr="00542EB9">
        <w:rPr>
          <w:noProof/>
        </w:rPr>
        <w:t xml:space="preserve">EU level funding is required to enable the Commission to meet certain legal responsibilities that cannot be delegated to Member States, as well as by adding economies of scale. The benefits for citizens, consumers and businesses could not be replicated by actions at national level, especially considering the cross-border nature of services (e.g. coordination among national authorities, enforcement of EU law, common digital tools, services required to support the development and monitoring of EU law and financial markets, etc.). </w:t>
      </w:r>
    </w:p>
    <w:p w14:paraId="597DB56E" w14:textId="0C790097" w:rsidR="006B087E" w:rsidRPr="00542EB9" w:rsidRDefault="006B087E" w:rsidP="5DD21FD3">
      <w:pPr>
        <w:pStyle w:val="Heading2"/>
        <w:rPr>
          <w:noProof/>
        </w:rPr>
      </w:pPr>
      <w:bookmarkStart w:id="24" w:name="_Toc191909113"/>
      <w:bookmarkStart w:id="25" w:name="_Toc191909114"/>
      <w:bookmarkStart w:id="26" w:name="_Toc198549043"/>
      <w:bookmarkEnd w:id="24"/>
      <w:r w:rsidRPr="00542EB9">
        <w:rPr>
          <w:noProof/>
        </w:rPr>
        <w:t>Subsidiarity: Added value of EU action</w:t>
      </w:r>
      <w:bookmarkEnd w:id="25"/>
      <w:bookmarkEnd w:id="26"/>
    </w:p>
    <w:p w14:paraId="46A614C7" w14:textId="48E782E5" w:rsidR="006B087E" w:rsidRPr="00542EB9" w:rsidRDefault="28939A02" w:rsidP="5DD21FD3">
      <w:pPr>
        <w:rPr>
          <w:noProof/>
        </w:rPr>
      </w:pPr>
      <w:r w:rsidRPr="00542EB9">
        <w:rPr>
          <w:noProof/>
        </w:rPr>
        <w:t>F</w:t>
      </w:r>
      <w:r w:rsidR="5D59B8FC" w:rsidRPr="00542EB9">
        <w:rPr>
          <w:noProof/>
        </w:rPr>
        <w:t xml:space="preserve">unding </w:t>
      </w:r>
      <w:r w:rsidRPr="00542EB9">
        <w:rPr>
          <w:noProof/>
        </w:rPr>
        <w:t xml:space="preserve">with a focus on </w:t>
      </w:r>
      <w:r w:rsidR="4E73D74B" w:rsidRPr="00542EB9">
        <w:rPr>
          <w:noProof/>
        </w:rPr>
        <w:t>single m</w:t>
      </w:r>
      <w:r w:rsidR="6FB07D56" w:rsidRPr="00542EB9">
        <w:rPr>
          <w:noProof/>
        </w:rPr>
        <w:t>arket</w:t>
      </w:r>
      <w:r w:rsidRPr="00542EB9">
        <w:rPr>
          <w:noProof/>
        </w:rPr>
        <w:t xml:space="preserve"> activities</w:t>
      </w:r>
      <w:r w:rsidR="085C27D4" w:rsidRPr="00542EB9">
        <w:rPr>
          <w:noProof/>
        </w:rPr>
        <w:t xml:space="preserve"> </w:t>
      </w:r>
      <w:r w:rsidRPr="00542EB9">
        <w:rPr>
          <w:noProof/>
        </w:rPr>
        <w:t xml:space="preserve">is essential </w:t>
      </w:r>
      <w:r w:rsidR="6C2D2B37" w:rsidRPr="00542EB9">
        <w:rPr>
          <w:noProof/>
        </w:rPr>
        <w:t xml:space="preserve">to </w:t>
      </w:r>
      <w:r w:rsidR="5D59B8FC" w:rsidRPr="00542EB9">
        <w:rPr>
          <w:noProof/>
        </w:rPr>
        <w:t xml:space="preserve">advance EU-wide objectives and facilitate the implementation of EU legislation across Member States. </w:t>
      </w:r>
      <w:r w:rsidRPr="00542EB9">
        <w:rPr>
          <w:noProof/>
        </w:rPr>
        <w:t>It generates an EU added value that funding at national level could not achieve</w:t>
      </w:r>
      <w:r w:rsidR="4401BEB0" w:rsidRPr="00542EB9">
        <w:rPr>
          <w:noProof/>
        </w:rPr>
        <w:t xml:space="preserve"> alone</w:t>
      </w:r>
      <w:r w:rsidRPr="00542EB9">
        <w:rPr>
          <w:noProof/>
        </w:rPr>
        <w:t xml:space="preserve">. </w:t>
      </w:r>
    </w:p>
    <w:p w14:paraId="1D2889EC" w14:textId="009A885E" w:rsidR="004928E6" w:rsidRPr="00542EB9" w:rsidRDefault="54D8A526" w:rsidP="5DD21FD3">
      <w:pPr>
        <w:spacing w:line="252" w:lineRule="auto"/>
        <w:rPr>
          <w:noProof/>
        </w:rPr>
      </w:pPr>
      <w:r w:rsidRPr="00542EB9">
        <w:rPr>
          <w:rFonts w:eastAsia="Calibri"/>
          <w:b/>
          <w:bCs/>
          <w:noProof/>
        </w:rPr>
        <w:t xml:space="preserve">To continue the </w:t>
      </w:r>
      <w:r w:rsidR="3F797C9C" w:rsidRPr="00542EB9">
        <w:rPr>
          <w:rFonts w:eastAsia="Calibri"/>
          <w:b/>
          <w:bCs/>
          <w:noProof/>
        </w:rPr>
        <w:t xml:space="preserve">support at EU level is </w:t>
      </w:r>
      <w:r w:rsidRPr="00542EB9">
        <w:rPr>
          <w:rFonts w:eastAsia="Calibri"/>
          <w:b/>
          <w:bCs/>
          <w:noProof/>
        </w:rPr>
        <w:t>essential</w:t>
      </w:r>
      <w:r w:rsidR="3F797C9C" w:rsidRPr="00542EB9">
        <w:rPr>
          <w:rFonts w:eastAsia="Calibri"/>
          <w:b/>
          <w:bCs/>
          <w:noProof/>
        </w:rPr>
        <w:t xml:space="preserve"> to improve the functioning of the </w:t>
      </w:r>
      <w:r w:rsidR="005459CC" w:rsidRPr="00542EB9">
        <w:rPr>
          <w:rFonts w:eastAsia="Calibri"/>
          <w:b/>
          <w:bCs/>
          <w:noProof/>
        </w:rPr>
        <w:t>single market</w:t>
      </w:r>
      <w:r w:rsidR="3F797C9C" w:rsidRPr="00542EB9">
        <w:rPr>
          <w:rFonts w:eastAsia="Calibri"/>
          <w:b/>
          <w:bCs/>
          <w:noProof/>
        </w:rPr>
        <w:t xml:space="preserve"> by enforcing Union law, facilitating market access and setting standard</w:t>
      </w:r>
      <w:r w:rsidR="3F797C9C" w:rsidRPr="00542EB9">
        <w:rPr>
          <w:rFonts w:eastAsia="Calibri"/>
          <w:b/>
          <w:noProof/>
        </w:rPr>
        <w:t>s</w:t>
      </w:r>
      <w:r w:rsidR="3F797C9C" w:rsidRPr="00542EB9">
        <w:rPr>
          <w:rFonts w:eastAsia="Calibri"/>
          <w:noProof/>
        </w:rPr>
        <w:t xml:space="preserve">. EU action protects and empowers citizens, consumers and businesses. It helps them to adjust to the reforms and policy changes necessary for the functioning of the </w:t>
      </w:r>
      <w:r w:rsidR="1333A7AD" w:rsidRPr="00542EB9">
        <w:rPr>
          <w:rFonts w:eastAsia="Calibri"/>
          <w:noProof/>
        </w:rPr>
        <w:t>single</w:t>
      </w:r>
      <w:r w:rsidR="3F797C9C" w:rsidRPr="00542EB9">
        <w:rPr>
          <w:rFonts w:eastAsia="Calibri"/>
          <w:noProof/>
        </w:rPr>
        <w:t xml:space="preserve"> </w:t>
      </w:r>
      <w:r w:rsidR="1333A7AD" w:rsidRPr="00542EB9">
        <w:rPr>
          <w:rFonts w:eastAsia="Calibri"/>
          <w:noProof/>
        </w:rPr>
        <w:t>m</w:t>
      </w:r>
      <w:r w:rsidR="6FB07D56" w:rsidRPr="00542EB9">
        <w:rPr>
          <w:rFonts w:eastAsia="Calibri"/>
          <w:noProof/>
        </w:rPr>
        <w:t>arket</w:t>
      </w:r>
      <w:r w:rsidR="3F797C9C" w:rsidRPr="00542EB9">
        <w:rPr>
          <w:rFonts w:eastAsia="Calibri"/>
          <w:noProof/>
        </w:rPr>
        <w:t xml:space="preserve"> by providing information, advice tools and services as well as platforms to enhance co-operation between </w:t>
      </w:r>
      <w:r w:rsidR="4CDDD999" w:rsidRPr="00542EB9">
        <w:rPr>
          <w:rFonts w:eastAsia="Calibri"/>
          <w:noProof/>
        </w:rPr>
        <w:t xml:space="preserve">civil society organisations, </w:t>
      </w:r>
      <w:r w:rsidR="34D96923" w:rsidRPr="00542EB9">
        <w:rPr>
          <w:rFonts w:eastAsia="Calibri"/>
          <w:noProof/>
        </w:rPr>
        <w:t>businesses</w:t>
      </w:r>
      <w:r w:rsidR="3F797C9C" w:rsidRPr="00542EB9">
        <w:rPr>
          <w:rFonts w:eastAsia="Calibri"/>
          <w:noProof/>
        </w:rPr>
        <w:t xml:space="preserve">, entrepreneurs and industry bodies. EU </w:t>
      </w:r>
      <w:r w:rsidR="3CE15BF9" w:rsidRPr="00542EB9">
        <w:rPr>
          <w:rFonts w:eastAsia="Calibri"/>
          <w:noProof/>
        </w:rPr>
        <w:t>c</w:t>
      </w:r>
      <w:r w:rsidR="3F797C9C" w:rsidRPr="00542EB9">
        <w:rPr>
          <w:rFonts w:eastAsia="Calibri"/>
          <w:noProof/>
        </w:rPr>
        <w:t xml:space="preserve">oordinated platforms are needed to ensure cooperation among Member State’s authorities reducing fragmentation and duplication of efforts. </w:t>
      </w:r>
      <w:r w:rsidR="2850DC9E" w:rsidRPr="00542EB9">
        <w:rPr>
          <w:b/>
          <w:bCs/>
          <w:noProof/>
        </w:rPr>
        <w:t>Digital tools reduce</w:t>
      </w:r>
      <w:r w:rsidR="40BD5EAA" w:rsidRPr="00542EB9">
        <w:rPr>
          <w:b/>
          <w:bCs/>
          <w:noProof/>
        </w:rPr>
        <w:t xml:space="preserve"> </w:t>
      </w:r>
      <w:r w:rsidR="2850DC9E" w:rsidRPr="00542EB9">
        <w:rPr>
          <w:b/>
          <w:bCs/>
          <w:noProof/>
        </w:rPr>
        <w:t>administrative burden</w:t>
      </w:r>
      <w:r w:rsidR="2850DC9E" w:rsidRPr="00542EB9">
        <w:rPr>
          <w:noProof/>
        </w:rPr>
        <w:t>s and create transparency for citizens</w:t>
      </w:r>
      <w:r w:rsidR="5AF0C913" w:rsidRPr="00542EB9">
        <w:rPr>
          <w:noProof/>
        </w:rPr>
        <w:t>, consumers</w:t>
      </w:r>
      <w:r w:rsidR="2850DC9E" w:rsidRPr="00542EB9">
        <w:rPr>
          <w:noProof/>
        </w:rPr>
        <w:t xml:space="preserve"> and businesses. </w:t>
      </w:r>
      <w:r w:rsidR="592C087D" w:rsidRPr="00542EB9">
        <w:rPr>
          <w:noProof/>
        </w:rPr>
        <w:t xml:space="preserve">Portals </w:t>
      </w:r>
      <w:r w:rsidR="0BB32921" w:rsidRPr="00542EB9">
        <w:rPr>
          <w:noProof/>
        </w:rPr>
        <w:t xml:space="preserve">dedicated to </w:t>
      </w:r>
      <w:r w:rsidR="005459CC" w:rsidRPr="00542EB9">
        <w:rPr>
          <w:noProof/>
        </w:rPr>
        <w:t>single market</w:t>
      </w:r>
      <w:r w:rsidR="0BB32921" w:rsidRPr="00542EB9">
        <w:rPr>
          <w:noProof/>
        </w:rPr>
        <w:t xml:space="preserve"> topics</w:t>
      </w:r>
      <w:r w:rsidR="592C087D" w:rsidRPr="00542EB9">
        <w:rPr>
          <w:noProof/>
        </w:rPr>
        <w:t xml:space="preserve"> </w:t>
      </w:r>
      <w:r w:rsidR="40BD5EAA" w:rsidRPr="00542EB9">
        <w:rPr>
          <w:noProof/>
        </w:rPr>
        <w:t xml:space="preserve">provide </w:t>
      </w:r>
      <w:r w:rsidR="007E5016" w:rsidRPr="00542EB9">
        <w:rPr>
          <w:noProof/>
        </w:rPr>
        <w:t>information or</w:t>
      </w:r>
      <w:r w:rsidR="2850DC9E" w:rsidRPr="00542EB9">
        <w:rPr>
          <w:noProof/>
        </w:rPr>
        <w:t xml:space="preserve"> helps businesses or </w:t>
      </w:r>
      <w:r w:rsidR="318B5FCE" w:rsidRPr="00542EB9">
        <w:rPr>
          <w:noProof/>
        </w:rPr>
        <w:t>citizens and consumers</w:t>
      </w:r>
      <w:r w:rsidR="2850DC9E" w:rsidRPr="00542EB9">
        <w:rPr>
          <w:b/>
          <w:bCs/>
          <w:noProof/>
        </w:rPr>
        <w:t xml:space="preserve"> </w:t>
      </w:r>
      <w:r w:rsidR="2850DC9E" w:rsidRPr="00542EB9">
        <w:rPr>
          <w:noProof/>
        </w:rPr>
        <w:t>affected by breaches of EU law to obtain out-of-court redress, enabling them to overcome barriers.</w:t>
      </w:r>
      <w:r w:rsidR="40BD5EAA" w:rsidRPr="00542EB9">
        <w:rPr>
          <w:noProof/>
        </w:rPr>
        <w:t xml:space="preserve"> </w:t>
      </w:r>
      <w:r w:rsidR="2850DC9E" w:rsidRPr="00542EB9">
        <w:rPr>
          <w:noProof/>
        </w:rPr>
        <w:t>The Internal Market Information system (IMI)</w:t>
      </w:r>
      <w:r w:rsidR="008B7E8C" w:rsidRPr="00542EB9">
        <w:rPr>
          <w:rStyle w:val="FootnoteReference"/>
          <w:noProof/>
          <w:sz w:val="20"/>
          <w:szCs w:val="20"/>
        </w:rPr>
        <w:footnoteReference w:id="78"/>
      </w:r>
      <w:r w:rsidR="007A51DB" w:rsidRPr="00542EB9">
        <w:rPr>
          <w:noProof/>
        </w:rPr>
        <w:t xml:space="preserve"> </w:t>
      </w:r>
      <w:r w:rsidR="2850DC9E" w:rsidRPr="00542EB9">
        <w:rPr>
          <w:noProof/>
        </w:rPr>
        <w:t xml:space="preserve">connects thousands of public administrations, facilitates cross-border administrative exchanges between them and solves problems. </w:t>
      </w:r>
      <w:r w:rsidR="43E09953" w:rsidRPr="00542EB9">
        <w:rPr>
          <w:noProof/>
        </w:rPr>
        <w:t>All of these tools are accessible through the EU’s Single Digital Gateway</w:t>
      </w:r>
      <w:r w:rsidR="00542DB6" w:rsidRPr="00542EB9">
        <w:rPr>
          <w:rStyle w:val="FootnoteReference"/>
          <w:noProof/>
          <w:sz w:val="20"/>
          <w:szCs w:val="20"/>
        </w:rPr>
        <w:footnoteReference w:id="79"/>
      </w:r>
      <w:r w:rsidR="007A51DB" w:rsidRPr="00542EB9">
        <w:rPr>
          <w:noProof/>
        </w:rPr>
        <w:t xml:space="preserve"> </w:t>
      </w:r>
      <w:r w:rsidR="43E09953" w:rsidRPr="00542EB9">
        <w:rPr>
          <w:noProof/>
        </w:rPr>
        <w:t xml:space="preserve">and </w:t>
      </w:r>
      <w:r w:rsidR="2850DC9E" w:rsidRPr="00542EB9">
        <w:rPr>
          <w:noProof/>
        </w:rPr>
        <w:t>create a true benefit of businesses and administrations alike.</w:t>
      </w:r>
      <w:r w:rsidR="43E09953" w:rsidRPr="00542EB9">
        <w:rPr>
          <w:noProof/>
        </w:rPr>
        <w:t xml:space="preserve"> </w:t>
      </w:r>
    </w:p>
    <w:p w14:paraId="27CDB21A" w14:textId="5C1BA961" w:rsidR="003F64CF" w:rsidRPr="00542EB9" w:rsidRDefault="17D05105" w:rsidP="5DD21FD3">
      <w:pPr>
        <w:spacing w:line="252" w:lineRule="auto"/>
        <w:rPr>
          <w:noProof/>
        </w:rPr>
      </w:pPr>
      <w:r w:rsidRPr="00542EB9">
        <w:rPr>
          <w:noProof/>
        </w:rPr>
        <w:t>Member States</w:t>
      </w:r>
      <w:r w:rsidR="05868B72" w:rsidRPr="00542EB9">
        <w:rPr>
          <w:noProof/>
        </w:rPr>
        <w:t xml:space="preserve"> and the Commission</w:t>
      </w:r>
      <w:r w:rsidRPr="00542EB9">
        <w:rPr>
          <w:noProof/>
        </w:rPr>
        <w:t xml:space="preserve"> </w:t>
      </w:r>
      <w:r w:rsidR="5DDD7781" w:rsidRPr="00542EB9">
        <w:rPr>
          <w:noProof/>
        </w:rPr>
        <w:t>can</w:t>
      </w:r>
      <w:r w:rsidRPr="00542EB9">
        <w:rPr>
          <w:noProof/>
        </w:rPr>
        <w:t xml:space="preserve"> co-invest </w:t>
      </w:r>
      <w:r w:rsidR="52530A9C" w:rsidRPr="00542EB9">
        <w:rPr>
          <w:noProof/>
        </w:rPr>
        <w:t>to</w:t>
      </w:r>
      <w:r w:rsidRPr="00542EB9">
        <w:rPr>
          <w:noProof/>
        </w:rPr>
        <w:t xml:space="preserve"> develop key </w:t>
      </w:r>
      <w:r w:rsidR="00221409" w:rsidRPr="00542EB9">
        <w:rPr>
          <w:noProof/>
        </w:rPr>
        <w:t xml:space="preserve">digital </w:t>
      </w:r>
      <w:r w:rsidR="6D22E9DC" w:rsidRPr="00542EB9">
        <w:rPr>
          <w:noProof/>
        </w:rPr>
        <w:t xml:space="preserve">interoperability </w:t>
      </w:r>
      <w:r w:rsidRPr="00542EB9">
        <w:rPr>
          <w:noProof/>
        </w:rPr>
        <w:t>enablers for innovative cross-border</w:t>
      </w:r>
      <w:r w:rsidR="00711315" w:rsidRPr="00542EB9">
        <w:rPr>
          <w:noProof/>
        </w:rPr>
        <w:t xml:space="preserve"> </w:t>
      </w:r>
      <w:r w:rsidRPr="00542EB9">
        <w:rPr>
          <w:noProof/>
        </w:rPr>
        <w:t>digital public services.</w:t>
      </w:r>
      <w:r w:rsidR="4B4E2107" w:rsidRPr="00542EB9">
        <w:rPr>
          <w:noProof/>
        </w:rPr>
        <w:t xml:space="preserve"> </w:t>
      </w:r>
      <w:r w:rsidR="004928E6" w:rsidRPr="00542EB9">
        <w:rPr>
          <w:noProof/>
        </w:rPr>
        <w:t xml:space="preserve">The structured collaboration between high level representatives from Member States through the </w:t>
      </w:r>
      <w:r w:rsidR="004928E6" w:rsidRPr="00542EB9">
        <w:rPr>
          <w:rFonts w:eastAsiaTheme="minorEastAsia"/>
          <w:noProof/>
        </w:rPr>
        <w:t>Interoperable Europe Act</w:t>
      </w:r>
      <w:r w:rsidR="00ED4E38" w:rsidRPr="00542EB9">
        <w:rPr>
          <w:rStyle w:val="FootnoteReference"/>
          <w:rFonts w:eastAsiaTheme="minorEastAsia"/>
          <w:noProof/>
          <w:sz w:val="20"/>
          <w:szCs w:val="20"/>
        </w:rPr>
        <w:footnoteReference w:id="80"/>
      </w:r>
      <w:r w:rsidR="004928E6" w:rsidRPr="00542EB9">
        <w:rPr>
          <w:rFonts w:eastAsiaTheme="minorEastAsia"/>
          <w:noProof/>
        </w:rPr>
        <w:t xml:space="preserve"> governance will steer </w:t>
      </w:r>
      <w:r w:rsidR="004928E6" w:rsidRPr="00542EB9">
        <w:rPr>
          <w:rFonts w:eastAsia="Calibri"/>
          <w:b/>
          <w:bCs/>
          <w:noProof/>
        </w:rPr>
        <w:t xml:space="preserve">public </w:t>
      </w:r>
      <w:r w:rsidR="00573AC8" w:rsidRPr="00542EB9">
        <w:rPr>
          <w:rFonts w:eastAsia="Calibri"/>
          <w:b/>
          <w:bCs/>
          <w:noProof/>
        </w:rPr>
        <w:t>authorities’</w:t>
      </w:r>
      <w:r w:rsidR="004928E6" w:rsidRPr="00542EB9">
        <w:rPr>
          <w:rFonts w:eastAsia="Calibri"/>
          <w:b/>
          <w:bCs/>
          <w:noProof/>
        </w:rPr>
        <w:t xml:space="preserve"> digital</w:t>
      </w:r>
      <w:r w:rsidR="004928E6" w:rsidRPr="00542EB9">
        <w:rPr>
          <w:b/>
          <w:bCs/>
          <w:noProof/>
        </w:rPr>
        <w:t xml:space="preserve"> transformation and cross-border interoperability.</w:t>
      </w:r>
      <w:r w:rsidR="004928E6" w:rsidRPr="00542EB9">
        <w:rPr>
          <w:noProof/>
        </w:rPr>
        <w:t xml:space="preserve"> </w:t>
      </w:r>
    </w:p>
    <w:p w14:paraId="5704D6D1" w14:textId="5305B2AF" w:rsidR="5D39F72E" w:rsidRPr="00542EB9" w:rsidRDefault="4DD240E5" w:rsidP="5DD21FD3">
      <w:pPr>
        <w:rPr>
          <w:noProof/>
        </w:rPr>
      </w:pPr>
      <w:r w:rsidRPr="00542EB9">
        <w:rPr>
          <w:noProof/>
        </w:rPr>
        <w:t>The EU also has exclusive competence in respect of establishing of the competition rules necessary for the functioning of the internal market</w:t>
      </w:r>
      <w:r w:rsidR="5D39F72E" w:rsidRPr="00542EB9">
        <w:rPr>
          <w:noProof/>
          <w:sz w:val="20"/>
          <w:szCs w:val="20"/>
          <w:vertAlign w:val="superscript"/>
        </w:rPr>
        <w:footnoteReference w:id="81"/>
      </w:r>
      <w:r w:rsidRPr="00542EB9">
        <w:rPr>
          <w:noProof/>
          <w:sz w:val="20"/>
          <w:szCs w:val="20"/>
        </w:rPr>
        <w:t>.</w:t>
      </w:r>
      <w:r w:rsidR="3E91C7CE" w:rsidRPr="00542EB9">
        <w:rPr>
          <w:noProof/>
        </w:rPr>
        <w:t xml:space="preserve"> Various studies have shown the macroeconomic impacts of EU competition enforcement to be significant</w:t>
      </w:r>
      <w:r w:rsidR="5D39F72E" w:rsidRPr="00542EB9">
        <w:rPr>
          <w:noProof/>
          <w:sz w:val="20"/>
          <w:szCs w:val="20"/>
          <w:vertAlign w:val="superscript"/>
        </w:rPr>
        <w:footnoteReference w:id="82"/>
      </w:r>
      <w:r w:rsidR="00DB7DE3" w:rsidRPr="00542EB9">
        <w:rPr>
          <w:noProof/>
          <w:sz w:val="20"/>
          <w:szCs w:val="20"/>
        </w:rPr>
        <w:t>.</w:t>
      </w:r>
      <w:r w:rsidR="00DB7DE3" w:rsidRPr="00542EB9">
        <w:rPr>
          <w:noProof/>
        </w:rPr>
        <w:t xml:space="preserve"> </w:t>
      </w:r>
      <w:r w:rsidR="48B2F012" w:rsidRPr="00542EB9">
        <w:rPr>
          <w:noProof/>
        </w:rPr>
        <w:t>D</w:t>
      </w:r>
      <w:r w:rsidR="70B6D070" w:rsidRPr="00542EB9">
        <w:rPr>
          <w:noProof/>
        </w:rPr>
        <w:t>igital</w:t>
      </w:r>
      <w:r w:rsidR="77F9CE59" w:rsidRPr="00542EB9">
        <w:rPr>
          <w:noProof/>
        </w:rPr>
        <w:t xml:space="preserve"> tools </w:t>
      </w:r>
      <w:r w:rsidR="218C322E" w:rsidRPr="00542EB9">
        <w:rPr>
          <w:noProof/>
        </w:rPr>
        <w:t xml:space="preserve">(for case work, investigations, secure exchange of information) </w:t>
      </w:r>
      <w:r w:rsidR="77F9CE59" w:rsidRPr="00542EB9">
        <w:rPr>
          <w:noProof/>
        </w:rPr>
        <w:t xml:space="preserve">and studies are necessary conditions </w:t>
      </w:r>
      <w:r w:rsidR="0C21A73B" w:rsidRPr="00542EB9">
        <w:rPr>
          <w:noProof/>
        </w:rPr>
        <w:t>for</w:t>
      </w:r>
      <w:r w:rsidR="77F9CE59" w:rsidRPr="00542EB9">
        <w:rPr>
          <w:noProof/>
        </w:rPr>
        <w:t xml:space="preserve"> effective and efficient enforcement of competition rules</w:t>
      </w:r>
      <w:r w:rsidR="0B88390B" w:rsidRPr="00542EB9">
        <w:rPr>
          <w:noProof/>
        </w:rPr>
        <w:t xml:space="preserve"> and therefore enable the </w:t>
      </w:r>
      <w:r w:rsidR="6C15EB78" w:rsidRPr="00542EB9">
        <w:rPr>
          <w:noProof/>
        </w:rPr>
        <w:t>macroeconomic</w:t>
      </w:r>
      <w:r w:rsidR="0B88390B" w:rsidRPr="00542EB9">
        <w:rPr>
          <w:noProof/>
        </w:rPr>
        <w:t xml:space="preserve"> impacts to be achieved</w:t>
      </w:r>
      <w:r w:rsidR="706B66C3" w:rsidRPr="00542EB9">
        <w:rPr>
          <w:noProof/>
        </w:rPr>
        <w:t>.</w:t>
      </w:r>
      <w:r w:rsidR="77F9CE59" w:rsidRPr="00542EB9">
        <w:rPr>
          <w:noProof/>
        </w:rPr>
        <w:t xml:space="preserve"> </w:t>
      </w:r>
    </w:p>
    <w:p w14:paraId="15E692C3" w14:textId="5EFAA4C0" w:rsidR="00512E3D" w:rsidRPr="00542EB9" w:rsidRDefault="2B6E7CC0" w:rsidP="5E943E77">
      <w:pPr>
        <w:rPr>
          <w:rFonts w:eastAsia="Times New Roman"/>
          <w:noProof/>
          <w:lang w:eastAsia="ja-JP"/>
        </w:rPr>
      </w:pPr>
      <w:r w:rsidRPr="00542EB9">
        <w:rPr>
          <w:noProof/>
          <w:lang w:eastAsia="ja-JP"/>
        </w:rPr>
        <w:t xml:space="preserve">EU-level coordination </w:t>
      </w:r>
      <w:r w:rsidR="3ED10A97" w:rsidRPr="00542EB9">
        <w:rPr>
          <w:noProof/>
          <w:lang w:eastAsia="ja-JP"/>
        </w:rPr>
        <w:t xml:space="preserve">as regards policies related to businesses, </w:t>
      </w:r>
      <w:r w:rsidRPr="00542EB9">
        <w:rPr>
          <w:noProof/>
          <w:lang w:eastAsia="ja-JP"/>
        </w:rPr>
        <w:t>is by nature based on a cooperation between Member States and the Commission, which could not be triggered on the national level alone.</w:t>
      </w:r>
      <w:r w:rsidR="6F563E2D" w:rsidRPr="00542EB9">
        <w:rPr>
          <w:noProof/>
          <w:lang w:eastAsia="ja-JP"/>
        </w:rPr>
        <w:t xml:space="preserve"> </w:t>
      </w:r>
      <w:r w:rsidRPr="00542EB9">
        <w:rPr>
          <w:rFonts w:eastAsia="Times New Roman"/>
          <w:noProof/>
          <w:lang w:eastAsia="ja-JP"/>
        </w:rPr>
        <w:t>These instruments should continue to address gaps in financing, stimulate growth, enhance competitiveness across the EU and contribute to harmonising such approaches across the M</w:t>
      </w:r>
      <w:r w:rsidR="0181A633" w:rsidRPr="00542EB9">
        <w:rPr>
          <w:rFonts w:eastAsia="Times New Roman"/>
          <w:noProof/>
          <w:lang w:eastAsia="ja-JP"/>
        </w:rPr>
        <w:t xml:space="preserve">ember </w:t>
      </w:r>
      <w:r w:rsidRPr="00542EB9">
        <w:rPr>
          <w:rFonts w:eastAsia="Times New Roman"/>
          <w:noProof/>
          <w:lang w:eastAsia="ja-JP"/>
        </w:rPr>
        <w:t>S</w:t>
      </w:r>
      <w:r w:rsidR="0181A633" w:rsidRPr="00542EB9">
        <w:rPr>
          <w:rFonts w:eastAsia="Times New Roman"/>
          <w:noProof/>
          <w:lang w:eastAsia="ja-JP"/>
        </w:rPr>
        <w:t>tates</w:t>
      </w:r>
      <w:r w:rsidRPr="00542EB9">
        <w:rPr>
          <w:rFonts w:eastAsia="Times New Roman"/>
          <w:noProof/>
          <w:lang w:eastAsia="ja-JP"/>
        </w:rPr>
        <w:t>.</w:t>
      </w:r>
      <w:r w:rsidR="5F0A5F35" w:rsidRPr="00542EB9">
        <w:rPr>
          <w:rFonts w:eastAsia="Times New Roman"/>
          <w:noProof/>
          <w:lang w:eastAsia="ja-JP"/>
        </w:rPr>
        <w:t xml:space="preserve"> They should also continue to ensure that </w:t>
      </w:r>
      <w:r w:rsidR="093686E6" w:rsidRPr="00542EB9">
        <w:rPr>
          <w:rFonts w:eastAsia="Times New Roman"/>
          <w:noProof/>
          <w:lang w:eastAsia="ja-JP"/>
        </w:rPr>
        <w:t xml:space="preserve">the interests of </w:t>
      </w:r>
      <w:r w:rsidR="5F0A5F35" w:rsidRPr="00542EB9">
        <w:rPr>
          <w:rFonts w:eastAsia="Times New Roman"/>
          <w:noProof/>
          <w:lang w:eastAsia="ja-JP"/>
        </w:rPr>
        <w:t>consumers</w:t>
      </w:r>
      <w:r w:rsidR="37615711" w:rsidRPr="00542EB9">
        <w:rPr>
          <w:rFonts w:eastAsia="Times New Roman"/>
          <w:noProof/>
          <w:lang w:eastAsia="ja-JP"/>
        </w:rPr>
        <w:t xml:space="preserve">, including </w:t>
      </w:r>
      <w:r w:rsidR="5F0A5F35" w:rsidRPr="00542EB9">
        <w:rPr>
          <w:rFonts w:eastAsia="Times New Roman"/>
          <w:noProof/>
          <w:lang w:eastAsia="ja-JP"/>
        </w:rPr>
        <w:t>the end users of financial services</w:t>
      </w:r>
      <w:r w:rsidR="47180268" w:rsidRPr="00542EB9">
        <w:rPr>
          <w:rFonts w:eastAsia="Times New Roman"/>
          <w:noProof/>
          <w:lang w:eastAsia="ja-JP"/>
        </w:rPr>
        <w:t>,</w:t>
      </w:r>
      <w:r w:rsidR="5F0A5F35" w:rsidRPr="00542EB9">
        <w:rPr>
          <w:rFonts w:eastAsia="Times New Roman"/>
          <w:noProof/>
          <w:lang w:eastAsia="ja-JP"/>
        </w:rPr>
        <w:t xml:space="preserve"> are represented at the Euro</w:t>
      </w:r>
      <w:r w:rsidR="4DC290CF" w:rsidRPr="00542EB9">
        <w:rPr>
          <w:rFonts w:eastAsia="Times New Roman"/>
          <w:noProof/>
          <w:lang w:eastAsia="ja-JP"/>
        </w:rPr>
        <w:t xml:space="preserve">pean </w:t>
      </w:r>
      <w:r w:rsidR="2859533F" w:rsidRPr="00542EB9">
        <w:rPr>
          <w:rFonts w:eastAsia="Times New Roman"/>
          <w:noProof/>
          <w:lang w:eastAsia="ja-JP"/>
        </w:rPr>
        <w:t>level so that developments in the single market also respond to their needs.</w:t>
      </w:r>
    </w:p>
    <w:p w14:paraId="27F1462A" w14:textId="1A69D5F9" w:rsidR="000B43C1" w:rsidRPr="00581B34" w:rsidRDefault="000B43C1" w:rsidP="000B43C1">
      <w:pPr>
        <w:rPr>
          <w:noProof/>
        </w:rPr>
      </w:pPr>
      <w:r w:rsidRPr="00542EB9">
        <w:rPr>
          <w:noProof/>
        </w:rPr>
        <w:t xml:space="preserve">The </w:t>
      </w:r>
      <w:r w:rsidRPr="00581B34">
        <w:rPr>
          <w:noProof/>
        </w:rPr>
        <w:t xml:space="preserve">production of standards is crucial in support to aligning standards with EU legislation and ensuring stakeholder participation in international standard-setting. The interim evaluation of the SMP has highlighted that the SMP has also supported the involvement of diverse stakeholders in European standardisation processes, such as organisations representing SMEs, consumers, workers, and environmental interests, increasing the number of European standards and ensured that Europe interests and views had been considered in the international standard-setting processes. Standardisation activities allow to replace 27 national standards with a harmonised standard, setting common rules across the single market.  This harmonisation is crucial, as not all Member States share the same level of interest or are equally affected by specific policy initiatives due to diverse geographical, climate, environmental, industrial, financial and commercial factors. EFRAG, supported under the SMP, is successfully fulfilling its twofold mandate by advising the Commission on IFRS Accounting Standards and supporting the development sustainability reporting </w:t>
      </w:r>
      <w:r w:rsidR="00592A8D" w:rsidRPr="00581B34">
        <w:rPr>
          <w:noProof/>
          <w:sz w:val="20"/>
          <w:szCs w:val="20"/>
          <w:vertAlign w:val="superscript"/>
        </w:rPr>
        <w:footnoteReference w:id="83"/>
      </w:r>
      <w:r w:rsidRPr="00581B34">
        <w:rPr>
          <w:noProof/>
        </w:rPr>
        <w:t>. EU financing incentivises establishing standard technical and reporting rules in areas that could be difficult to be prioritised nationally, thereby ensuring a cohesive approach across the entire EU.</w:t>
      </w:r>
    </w:p>
    <w:p w14:paraId="1FC1B80E" w14:textId="39ECBF04" w:rsidR="00BC1333" w:rsidRPr="00542EB9" w:rsidRDefault="0F48BB86" w:rsidP="5DD21FD3">
      <w:pPr>
        <w:rPr>
          <w:noProof/>
        </w:rPr>
      </w:pPr>
      <w:r w:rsidRPr="00581B34">
        <w:rPr>
          <w:noProof/>
        </w:rPr>
        <w:t xml:space="preserve">Activities in </w:t>
      </w:r>
      <w:r w:rsidR="46943363" w:rsidRPr="00581B34">
        <w:rPr>
          <w:b/>
          <w:bCs/>
          <w:noProof/>
        </w:rPr>
        <w:t>market</w:t>
      </w:r>
      <w:r w:rsidRPr="00581B34">
        <w:rPr>
          <w:b/>
          <w:bCs/>
          <w:noProof/>
        </w:rPr>
        <w:t xml:space="preserve"> surveillance</w:t>
      </w:r>
      <w:r w:rsidRPr="00581B34">
        <w:rPr>
          <w:noProof/>
        </w:rPr>
        <w:t xml:space="preserve"> are instrumental in meeting the objectives of the </w:t>
      </w:r>
      <w:r w:rsidR="005459CC" w:rsidRPr="00581B34">
        <w:rPr>
          <w:noProof/>
        </w:rPr>
        <w:t>single market</w:t>
      </w:r>
      <w:r w:rsidRPr="00581B34">
        <w:rPr>
          <w:noProof/>
        </w:rPr>
        <w:t xml:space="preserve"> Surveillance Regulation and the related legal requirements</w:t>
      </w:r>
      <w:r w:rsidR="00BC1333" w:rsidRPr="00581B34">
        <w:rPr>
          <w:rStyle w:val="FootnoteReference"/>
          <w:rFonts w:eastAsia="Calibri"/>
          <w:noProof/>
          <w:sz w:val="20"/>
          <w:szCs w:val="20"/>
        </w:rPr>
        <w:footnoteReference w:id="84"/>
      </w:r>
      <w:r w:rsidRPr="00581B34">
        <w:rPr>
          <w:noProof/>
        </w:rPr>
        <w:t>. They aim to improve the</w:t>
      </w:r>
      <w:r w:rsidRPr="00581B34">
        <w:rPr>
          <w:rFonts w:eastAsia="Calibri"/>
          <w:noProof/>
        </w:rPr>
        <w:t xml:space="preserve"> cooperation between Member States, harmonisation of ways of working and e</w:t>
      </w:r>
      <w:r w:rsidR="4CACE0E5" w:rsidRPr="00581B34">
        <w:rPr>
          <w:rFonts w:eastAsia="Calibri"/>
          <w:noProof/>
        </w:rPr>
        <w:t>-</w:t>
      </w:r>
      <w:r w:rsidRPr="00581B34">
        <w:rPr>
          <w:rFonts w:eastAsia="Calibri"/>
          <w:noProof/>
        </w:rPr>
        <w:t xml:space="preserve">commerce surveillance. </w:t>
      </w:r>
      <w:r w:rsidR="46943363" w:rsidRPr="00581B34">
        <w:rPr>
          <w:rFonts w:eastAsia="Calibri"/>
          <w:noProof/>
        </w:rPr>
        <w:t>Market</w:t>
      </w:r>
      <w:r w:rsidRPr="00581B34">
        <w:rPr>
          <w:rFonts w:eastAsia="Calibri"/>
          <w:noProof/>
        </w:rPr>
        <w:t xml:space="preserve"> surveillance</w:t>
      </w:r>
      <w:r w:rsidRPr="00542EB9">
        <w:rPr>
          <w:rFonts w:eastAsia="Calibri"/>
          <w:noProof/>
        </w:rPr>
        <w:t xml:space="preserve"> activities avoid that the less resourceful Member States would become the weak links of the </w:t>
      </w:r>
      <w:r w:rsidR="005459CC" w:rsidRPr="00542EB9">
        <w:rPr>
          <w:rFonts w:eastAsia="Calibri"/>
          <w:noProof/>
        </w:rPr>
        <w:t>single market</w:t>
      </w:r>
      <w:r w:rsidRPr="00542EB9">
        <w:rPr>
          <w:rFonts w:eastAsia="Calibri"/>
          <w:noProof/>
        </w:rPr>
        <w:t xml:space="preserve">, via which all kind of dangerous product could enter the </w:t>
      </w:r>
      <w:r w:rsidR="005459CC" w:rsidRPr="00542EB9">
        <w:rPr>
          <w:rFonts w:eastAsia="Calibri"/>
          <w:noProof/>
        </w:rPr>
        <w:t>single market</w:t>
      </w:r>
      <w:r w:rsidRPr="00542EB9">
        <w:rPr>
          <w:rFonts w:eastAsia="Calibri"/>
          <w:noProof/>
        </w:rPr>
        <w:t xml:space="preserve"> and circulate freely. This would threaten the competitiveness of EU businesses, but also consumer safety.</w:t>
      </w:r>
      <w:r w:rsidR="166D18A4" w:rsidRPr="00542EB9">
        <w:rPr>
          <w:rFonts w:eastAsia="Calibri"/>
          <w:noProof/>
        </w:rPr>
        <w:t xml:space="preserve"> </w:t>
      </w:r>
      <w:r w:rsidR="46943363" w:rsidRPr="00542EB9">
        <w:rPr>
          <w:rStyle w:val="normaltextrun"/>
          <w:noProof/>
        </w:rPr>
        <w:t>Market</w:t>
      </w:r>
      <w:r w:rsidRPr="00542EB9">
        <w:rPr>
          <w:rStyle w:val="normaltextrun"/>
          <w:noProof/>
        </w:rPr>
        <w:t xml:space="preserve"> surveillance includes financing joint testing of products and </w:t>
      </w:r>
      <w:r w:rsidR="3E759764" w:rsidRPr="00542EB9">
        <w:rPr>
          <w:rStyle w:val="normaltextrun"/>
          <w:noProof/>
        </w:rPr>
        <w:t>facilitate</w:t>
      </w:r>
      <w:r w:rsidR="45C9E703" w:rsidRPr="00542EB9">
        <w:rPr>
          <w:rStyle w:val="normaltextrun"/>
          <w:noProof/>
        </w:rPr>
        <w:t>s</w:t>
      </w:r>
      <w:r w:rsidRPr="00542EB9">
        <w:rPr>
          <w:rStyle w:val="normaltextrun"/>
          <w:noProof/>
        </w:rPr>
        <w:t xml:space="preserve"> cross-border collaboration and sharing of expertise. </w:t>
      </w:r>
      <w:r w:rsidRPr="00542EB9">
        <w:rPr>
          <w:noProof/>
        </w:rPr>
        <w:t xml:space="preserve">EU Testing Facilities for products are an example of initiatives that demonstrates how EU-wide approach minimises duplication and creates economies of scale. </w:t>
      </w:r>
    </w:p>
    <w:p w14:paraId="04F9962D" w14:textId="401726C6" w:rsidR="3A7D5650" w:rsidRPr="00542EB9" w:rsidRDefault="3A7D5650" w:rsidP="5DD21FD3">
      <w:pPr>
        <w:rPr>
          <w:rFonts w:eastAsia="Calibri"/>
          <w:noProof/>
        </w:rPr>
      </w:pPr>
      <w:r w:rsidRPr="00542EB9">
        <w:rPr>
          <w:rFonts w:eastAsia="Calibri"/>
          <w:noProof/>
        </w:rPr>
        <w:t xml:space="preserve">The </w:t>
      </w:r>
      <w:r w:rsidR="001A46BD" w:rsidRPr="00542EB9">
        <w:rPr>
          <w:rFonts w:eastAsia="Calibri"/>
          <w:noProof/>
        </w:rPr>
        <w:t xml:space="preserve">European Consumer Centres (ECC) </w:t>
      </w:r>
      <w:r w:rsidRPr="00542EB9">
        <w:rPr>
          <w:rFonts w:eastAsia="Calibri"/>
          <w:noProof/>
        </w:rPr>
        <w:t xml:space="preserve">Network and </w:t>
      </w:r>
      <w:r w:rsidR="001A46BD" w:rsidRPr="00542EB9">
        <w:rPr>
          <w:rFonts w:eastAsia="Calibri"/>
          <w:noProof/>
        </w:rPr>
        <w:t>Alternative Dispute Resolution (</w:t>
      </w:r>
      <w:r w:rsidRPr="00542EB9">
        <w:rPr>
          <w:rFonts w:eastAsia="Calibri"/>
          <w:noProof/>
        </w:rPr>
        <w:t>ADR</w:t>
      </w:r>
      <w:r w:rsidR="001A46BD" w:rsidRPr="00542EB9">
        <w:rPr>
          <w:rFonts w:eastAsia="Calibri"/>
          <w:noProof/>
        </w:rPr>
        <w:t>)</w:t>
      </w:r>
      <w:r w:rsidRPr="00542EB9">
        <w:rPr>
          <w:rFonts w:eastAsia="Calibri"/>
          <w:noProof/>
        </w:rPr>
        <w:t xml:space="preserve"> mechanisms activities provide significant EU-added value by ensuring consumers across the EU have access to fair, effective, and cross-border dispute resolution. The</w:t>
      </w:r>
      <w:r w:rsidR="0D8B0D01" w:rsidRPr="00542EB9">
        <w:rPr>
          <w:rFonts w:eastAsia="Calibri"/>
          <w:noProof/>
        </w:rPr>
        <w:t>y contribute to</w:t>
      </w:r>
      <w:r w:rsidRPr="00542EB9">
        <w:rPr>
          <w:rFonts w:eastAsia="Calibri"/>
          <w:noProof/>
        </w:rPr>
        <w:t xml:space="preserve"> reducing legal costs, strengthening enforcement, and enhancing consumer confidence</w:t>
      </w:r>
      <w:r w:rsidR="6BCA8BB9" w:rsidRPr="00542EB9">
        <w:rPr>
          <w:rFonts w:eastAsia="Calibri"/>
          <w:noProof/>
        </w:rPr>
        <w:t xml:space="preserve"> in the </w:t>
      </w:r>
      <w:r w:rsidR="005459CC" w:rsidRPr="00542EB9">
        <w:rPr>
          <w:rFonts w:eastAsia="Calibri"/>
          <w:noProof/>
        </w:rPr>
        <w:t>single market</w:t>
      </w:r>
      <w:r w:rsidR="6BCA8BB9" w:rsidRPr="00542EB9">
        <w:rPr>
          <w:rFonts w:eastAsia="Calibri"/>
          <w:noProof/>
        </w:rPr>
        <w:t>.</w:t>
      </w:r>
      <w:r w:rsidRPr="00542EB9">
        <w:rPr>
          <w:rFonts w:eastAsia="Calibri"/>
          <w:noProof/>
        </w:rPr>
        <w:t xml:space="preserve"> </w:t>
      </w:r>
      <w:r w:rsidR="0042407F" w:rsidRPr="00542EB9">
        <w:rPr>
          <w:rFonts w:eastAsia="Calibri"/>
          <w:noProof/>
        </w:rPr>
        <w:t>The ECC Network has proven highly effective in mediating cross-border disputes. ECCs helped consumers to recover over EUR 8.8 million in 2023 (EUR 9.9 million in 2022) and resolve more than 120 000 inquiries per year</w:t>
      </w:r>
      <w:r w:rsidR="0042407F" w:rsidRPr="00542EB9">
        <w:rPr>
          <w:rFonts w:eastAsia="Calibri"/>
          <w:noProof/>
          <w:sz w:val="20"/>
          <w:szCs w:val="20"/>
          <w:vertAlign w:val="superscript"/>
        </w:rPr>
        <w:footnoteReference w:id="85"/>
      </w:r>
      <w:r w:rsidR="0042407F" w:rsidRPr="00542EB9">
        <w:rPr>
          <w:rFonts w:eastAsia="Calibri"/>
          <w:noProof/>
        </w:rPr>
        <w:t xml:space="preserve">. </w:t>
      </w:r>
    </w:p>
    <w:p w14:paraId="20BEEA58" w14:textId="6E108D7E" w:rsidR="00755E3A" w:rsidRPr="00542EB9" w:rsidRDefault="6EA2861B" w:rsidP="5DD21FD3">
      <w:pPr>
        <w:pStyle w:val="Text1"/>
        <w:spacing w:after="0" w:line="276" w:lineRule="auto"/>
        <w:ind w:left="0"/>
        <w:rPr>
          <w:noProof/>
        </w:rPr>
      </w:pPr>
      <w:r w:rsidRPr="00542EB9">
        <w:rPr>
          <w:b/>
          <w:bCs/>
          <w:noProof/>
        </w:rPr>
        <w:t>European trans</w:t>
      </w:r>
      <w:r w:rsidR="1F1452F9" w:rsidRPr="00542EB9">
        <w:rPr>
          <w:b/>
          <w:bCs/>
          <w:noProof/>
        </w:rPr>
        <w:t>-European</w:t>
      </w:r>
      <w:r w:rsidRPr="00542EB9">
        <w:rPr>
          <w:b/>
          <w:bCs/>
          <w:noProof/>
        </w:rPr>
        <w:t xml:space="preserve"> services and platforms enable cross-border data sharing and collaboration between national authorities, businesses, and consumers</w:t>
      </w:r>
      <w:r w:rsidRPr="00542EB9">
        <w:rPr>
          <w:noProof/>
        </w:rPr>
        <w:t>, delivering benefits that individual Member States may have neither the incentive nor capacity to establish independently.</w:t>
      </w:r>
    </w:p>
    <w:p w14:paraId="57310763" w14:textId="59FE7488" w:rsidR="00755E3A" w:rsidRPr="00542EB9" w:rsidRDefault="00755E3A" w:rsidP="5DD21FD3">
      <w:pPr>
        <w:pStyle w:val="Text1"/>
        <w:ind w:left="0"/>
        <w:rPr>
          <w:noProof/>
        </w:rPr>
      </w:pPr>
      <w:r w:rsidRPr="00542EB9">
        <w:rPr>
          <w:noProof/>
        </w:rPr>
        <w:t xml:space="preserve">A coordinated response at the EU level avoids the risk of overlapping efforts, which would occur if Member States would independently provide information and advisory services to businesses and consumers on the </w:t>
      </w:r>
      <w:r w:rsidR="005459CC" w:rsidRPr="00542EB9">
        <w:rPr>
          <w:noProof/>
        </w:rPr>
        <w:t>single market</w:t>
      </w:r>
      <w:r w:rsidRPr="00542EB9">
        <w:rPr>
          <w:noProof/>
        </w:rPr>
        <w:t>.</w:t>
      </w:r>
    </w:p>
    <w:p w14:paraId="6C77EBA2" w14:textId="153220B1" w:rsidR="006B087E" w:rsidRPr="00542EB9" w:rsidRDefault="2CEB5DE4" w:rsidP="5DD21FD3">
      <w:pPr>
        <w:pStyle w:val="Heading1"/>
        <w:rPr>
          <w:noProof/>
        </w:rPr>
      </w:pPr>
      <w:bookmarkStart w:id="27" w:name="_Toc191909115"/>
      <w:bookmarkStart w:id="28" w:name="_Toc198549044"/>
      <w:r w:rsidRPr="00542EB9">
        <w:rPr>
          <w:noProof/>
        </w:rPr>
        <w:t>Objectives: What is to be achieved?</w:t>
      </w:r>
      <w:bookmarkEnd w:id="27"/>
      <w:bookmarkEnd w:id="28"/>
    </w:p>
    <w:p w14:paraId="07266048" w14:textId="0312D06C" w:rsidR="006B087E" w:rsidRPr="00542EB9" w:rsidRDefault="006B087E" w:rsidP="5DD21FD3">
      <w:pPr>
        <w:pStyle w:val="Heading2"/>
        <w:rPr>
          <w:noProof/>
        </w:rPr>
      </w:pPr>
      <w:bookmarkStart w:id="29" w:name="_Toc191909116"/>
      <w:bookmarkStart w:id="30" w:name="_Toc198549045"/>
      <w:r w:rsidRPr="00542EB9">
        <w:rPr>
          <w:noProof/>
        </w:rPr>
        <w:t xml:space="preserve">General </w:t>
      </w:r>
      <w:bookmarkEnd w:id="29"/>
      <w:r w:rsidR="2A502B8B" w:rsidRPr="00542EB9">
        <w:rPr>
          <w:noProof/>
        </w:rPr>
        <w:t>objective</w:t>
      </w:r>
      <w:r w:rsidR="58D7F7AB" w:rsidRPr="00542EB9">
        <w:rPr>
          <w:noProof/>
        </w:rPr>
        <w:t>s</w:t>
      </w:r>
      <w:bookmarkEnd w:id="30"/>
    </w:p>
    <w:p w14:paraId="4A567586" w14:textId="23EBD653" w:rsidR="00CF3AB3" w:rsidRPr="00542EB9" w:rsidRDefault="58922AA6" w:rsidP="00B26F84">
      <w:pPr>
        <w:pStyle w:val="Text2"/>
        <w:ind w:left="0"/>
        <w:rPr>
          <w:noProof/>
        </w:rPr>
      </w:pPr>
      <w:r w:rsidRPr="00542EB9">
        <w:rPr>
          <w:noProof/>
        </w:rPr>
        <w:t xml:space="preserve">The general objective </w:t>
      </w:r>
      <w:r w:rsidR="00724C2A" w:rsidRPr="00542EB9">
        <w:rPr>
          <w:noProof/>
        </w:rPr>
        <w:t>of the present initiative</w:t>
      </w:r>
      <w:r w:rsidRPr="00542EB9">
        <w:rPr>
          <w:noProof/>
        </w:rPr>
        <w:t xml:space="preserve"> </w:t>
      </w:r>
      <w:r w:rsidR="008733B6" w:rsidRPr="00542EB9">
        <w:rPr>
          <w:noProof/>
        </w:rPr>
        <w:t>is</w:t>
      </w:r>
      <w:r w:rsidR="72E9B329" w:rsidRPr="00542EB9">
        <w:rPr>
          <w:b/>
          <w:bCs/>
          <w:noProof/>
        </w:rPr>
        <w:t xml:space="preserve"> </w:t>
      </w:r>
      <w:r w:rsidRPr="00542EB9">
        <w:rPr>
          <w:b/>
          <w:bCs/>
          <w:noProof/>
        </w:rPr>
        <w:t xml:space="preserve">to enhance </w:t>
      </w:r>
      <w:r w:rsidR="0B2AB4F2" w:rsidRPr="00542EB9">
        <w:rPr>
          <w:b/>
          <w:bCs/>
          <w:noProof/>
        </w:rPr>
        <w:t xml:space="preserve">and deepen </w:t>
      </w:r>
      <w:r w:rsidRPr="00542EB9">
        <w:rPr>
          <w:b/>
          <w:bCs/>
          <w:noProof/>
        </w:rPr>
        <w:t xml:space="preserve">the </w:t>
      </w:r>
      <w:r w:rsidR="4D31AAED" w:rsidRPr="00542EB9">
        <w:rPr>
          <w:b/>
          <w:bCs/>
          <w:noProof/>
        </w:rPr>
        <w:t>well-</w:t>
      </w:r>
      <w:r w:rsidRPr="00542EB9">
        <w:rPr>
          <w:b/>
          <w:bCs/>
          <w:noProof/>
        </w:rPr>
        <w:t xml:space="preserve">functioning of the </w:t>
      </w:r>
      <w:r w:rsidR="005459CC" w:rsidRPr="00542EB9">
        <w:rPr>
          <w:b/>
          <w:bCs/>
          <w:noProof/>
        </w:rPr>
        <w:t>single market</w:t>
      </w:r>
      <w:r w:rsidR="51C715B3" w:rsidRPr="00542EB9">
        <w:rPr>
          <w:b/>
          <w:bCs/>
          <w:noProof/>
        </w:rPr>
        <w:t xml:space="preserve"> </w:t>
      </w:r>
      <w:r w:rsidRPr="00542EB9">
        <w:rPr>
          <w:b/>
          <w:bCs/>
          <w:noProof/>
        </w:rPr>
        <w:t>and a strong Custom</w:t>
      </w:r>
      <w:r w:rsidR="113A47B8" w:rsidRPr="00542EB9">
        <w:rPr>
          <w:b/>
          <w:bCs/>
          <w:noProof/>
        </w:rPr>
        <w:t>s</w:t>
      </w:r>
      <w:r w:rsidRPr="00542EB9">
        <w:rPr>
          <w:b/>
          <w:bCs/>
          <w:noProof/>
        </w:rPr>
        <w:t xml:space="preserve"> Union</w:t>
      </w:r>
      <w:r w:rsidR="00C015A7" w:rsidRPr="00542EB9">
        <w:rPr>
          <w:b/>
          <w:bCs/>
          <w:noProof/>
        </w:rPr>
        <w:t>,</w:t>
      </w:r>
      <w:r w:rsidR="00D02985" w:rsidRPr="00542EB9">
        <w:rPr>
          <w:b/>
          <w:bCs/>
          <w:noProof/>
        </w:rPr>
        <w:t xml:space="preserve"> </w:t>
      </w:r>
      <w:r w:rsidR="00A7205F" w:rsidRPr="00542EB9">
        <w:rPr>
          <w:b/>
          <w:bCs/>
          <w:noProof/>
        </w:rPr>
        <w:t xml:space="preserve">to </w:t>
      </w:r>
      <w:r w:rsidRPr="00542EB9">
        <w:rPr>
          <w:b/>
          <w:bCs/>
          <w:noProof/>
        </w:rPr>
        <w:t>protect the financial</w:t>
      </w:r>
      <w:r w:rsidR="68E64EC8" w:rsidRPr="00542EB9">
        <w:rPr>
          <w:b/>
          <w:bCs/>
          <w:noProof/>
        </w:rPr>
        <w:t xml:space="preserve"> and economic</w:t>
      </w:r>
      <w:r w:rsidRPr="00542EB9">
        <w:rPr>
          <w:b/>
          <w:bCs/>
          <w:noProof/>
        </w:rPr>
        <w:t xml:space="preserve"> interest</w:t>
      </w:r>
      <w:r w:rsidR="078A4A17" w:rsidRPr="00542EB9">
        <w:rPr>
          <w:b/>
          <w:bCs/>
          <w:noProof/>
        </w:rPr>
        <w:t>s</w:t>
      </w:r>
      <w:r w:rsidRPr="00542EB9">
        <w:rPr>
          <w:b/>
          <w:bCs/>
          <w:noProof/>
        </w:rPr>
        <w:t xml:space="preserve"> of the EU</w:t>
      </w:r>
      <w:r w:rsidR="1D229A25" w:rsidRPr="00542EB9">
        <w:rPr>
          <w:b/>
          <w:bCs/>
          <w:noProof/>
        </w:rPr>
        <w:t xml:space="preserve"> and its Member States</w:t>
      </w:r>
      <w:r w:rsidR="000A0D5B" w:rsidRPr="00542EB9">
        <w:rPr>
          <w:b/>
          <w:bCs/>
          <w:noProof/>
        </w:rPr>
        <w:t xml:space="preserve">, with a design fostering flexibility, simplification and </w:t>
      </w:r>
      <w:r w:rsidR="00C07515" w:rsidRPr="00542EB9">
        <w:rPr>
          <w:b/>
          <w:bCs/>
          <w:noProof/>
        </w:rPr>
        <w:t>synergies.</w:t>
      </w:r>
    </w:p>
    <w:p w14:paraId="60FD65C4" w14:textId="61205CB2" w:rsidR="004D7704" w:rsidRPr="00542EB9" w:rsidRDefault="744AB9EF" w:rsidP="5DD21FD3">
      <w:pPr>
        <w:pStyle w:val="Heading2"/>
        <w:rPr>
          <w:noProof/>
        </w:rPr>
      </w:pPr>
      <w:bookmarkStart w:id="31" w:name="_Toc191909117"/>
      <w:bookmarkStart w:id="32" w:name="_Toc198549046"/>
      <w:r w:rsidRPr="00542EB9">
        <w:rPr>
          <w:noProof/>
        </w:rPr>
        <w:t>Specific objectives</w:t>
      </w:r>
      <w:bookmarkEnd w:id="31"/>
      <w:bookmarkEnd w:id="32"/>
    </w:p>
    <w:p w14:paraId="7284A450" w14:textId="77777777" w:rsidR="00D02409" w:rsidRPr="00542EB9" w:rsidRDefault="31833214" w:rsidP="5DD21FD3">
      <w:pPr>
        <w:pStyle w:val="Text2"/>
        <w:spacing w:after="0"/>
        <w:ind w:left="0"/>
        <w:rPr>
          <w:noProof/>
        </w:rPr>
      </w:pPr>
      <w:r w:rsidRPr="00542EB9">
        <w:rPr>
          <w:noProof/>
        </w:rPr>
        <w:t xml:space="preserve">The </w:t>
      </w:r>
      <w:r w:rsidR="4E446FE1" w:rsidRPr="00542EB9">
        <w:rPr>
          <w:noProof/>
        </w:rPr>
        <w:t>following specific objectives have been designed to achieve the general objective:</w:t>
      </w:r>
    </w:p>
    <w:p w14:paraId="2E701E48" w14:textId="18BF26A6" w:rsidR="00F50697" w:rsidRPr="00542EB9" w:rsidRDefault="00D02409" w:rsidP="00DD5005">
      <w:pPr>
        <w:pStyle w:val="Text2"/>
        <w:tabs>
          <w:tab w:val="left" w:pos="3545"/>
        </w:tabs>
        <w:spacing w:after="0"/>
        <w:ind w:left="0"/>
        <w:rPr>
          <w:noProof/>
        </w:rPr>
      </w:pPr>
      <w:r w:rsidRPr="00542EB9">
        <w:rPr>
          <w:noProof/>
        </w:rPr>
        <w:t>With regards to the design:</w:t>
      </w:r>
      <w:r w:rsidRPr="00542EB9">
        <w:rPr>
          <w:noProof/>
        </w:rPr>
        <w:tab/>
      </w:r>
    </w:p>
    <w:p w14:paraId="07D8C591" w14:textId="6A49701D" w:rsidR="00D71C77" w:rsidRPr="00542EB9" w:rsidRDefault="4FBEC3BB" w:rsidP="00ED28D8">
      <w:pPr>
        <w:pStyle w:val="Text2"/>
        <w:numPr>
          <w:ilvl w:val="0"/>
          <w:numId w:val="102"/>
        </w:numPr>
        <w:spacing w:after="0"/>
        <w:rPr>
          <w:noProof/>
        </w:rPr>
      </w:pPr>
      <w:r w:rsidRPr="00542EB9">
        <w:rPr>
          <w:noProof/>
        </w:rPr>
        <w:t>to enable more flexibility</w:t>
      </w:r>
      <w:r w:rsidR="00772217" w:rsidRPr="00542EB9">
        <w:rPr>
          <w:noProof/>
        </w:rPr>
        <w:t xml:space="preserve">, </w:t>
      </w:r>
      <w:r w:rsidR="00E97C42" w:rsidRPr="00542EB9">
        <w:rPr>
          <w:noProof/>
        </w:rPr>
        <w:t xml:space="preserve">to </w:t>
      </w:r>
      <w:r w:rsidR="00772217" w:rsidRPr="00542EB9">
        <w:rPr>
          <w:noProof/>
        </w:rPr>
        <w:t xml:space="preserve">guarantee the </w:t>
      </w:r>
      <w:r w:rsidR="00B52C21" w:rsidRPr="00542EB9">
        <w:rPr>
          <w:noProof/>
        </w:rPr>
        <w:t xml:space="preserve">programme’s and the related </w:t>
      </w:r>
      <w:r w:rsidR="00772217" w:rsidRPr="00542EB9">
        <w:rPr>
          <w:noProof/>
        </w:rPr>
        <w:t>budget’s ability to respond to a changing reality</w:t>
      </w:r>
      <w:r w:rsidR="00692613" w:rsidRPr="00542EB9">
        <w:rPr>
          <w:noProof/>
        </w:rPr>
        <w:t xml:space="preserve"> while fully respecting the certainty needed for </w:t>
      </w:r>
      <w:r w:rsidR="005F60CD" w:rsidRPr="00542EB9">
        <w:rPr>
          <w:noProof/>
        </w:rPr>
        <w:t xml:space="preserve">legal commitments established </w:t>
      </w:r>
      <w:r w:rsidR="00054F57" w:rsidRPr="00542EB9">
        <w:rPr>
          <w:noProof/>
        </w:rPr>
        <w:t>by</w:t>
      </w:r>
      <w:r w:rsidR="005F60CD" w:rsidRPr="00542EB9">
        <w:rPr>
          <w:noProof/>
        </w:rPr>
        <w:t xml:space="preserve"> EU law</w:t>
      </w:r>
      <w:r w:rsidR="000A74AD" w:rsidRPr="00542EB9">
        <w:rPr>
          <w:noProof/>
        </w:rPr>
        <w:t>, and to</w:t>
      </w:r>
      <w:r w:rsidR="00772217" w:rsidRPr="00542EB9">
        <w:rPr>
          <w:noProof/>
        </w:rPr>
        <w:t xml:space="preserve"> </w:t>
      </w:r>
      <w:r w:rsidR="00A64110" w:rsidRPr="00542EB9">
        <w:rPr>
          <w:noProof/>
        </w:rPr>
        <w:t>enable improved allocation of resources to meet varying demands/needs across policy areas</w:t>
      </w:r>
      <w:r w:rsidR="004A24E9" w:rsidRPr="00542EB9">
        <w:rPr>
          <w:noProof/>
        </w:rPr>
        <w:t xml:space="preserve"> and </w:t>
      </w:r>
      <w:r w:rsidR="008F7E5A" w:rsidRPr="00542EB9">
        <w:rPr>
          <w:noProof/>
        </w:rPr>
        <w:t xml:space="preserve">to </w:t>
      </w:r>
      <w:r w:rsidR="004A24E9" w:rsidRPr="00542EB9">
        <w:rPr>
          <w:noProof/>
        </w:rPr>
        <w:t>increase</w:t>
      </w:r>
      <w:r w:rsidR="008F7E5A" w:rsidRPr="00542EB9">
        <w:rPr>
          <w:noProof/>
        </w:rPr>
        <w:t xml:space="preserve"> </w:t>
      </w:r>
      <w:r w:rsidR="000F759A" w:rsidRPr="00542EB9">
        <w:rPr>
          <w:noProof/>
        </w:rPr>
        <w:t xml:space="preserve">efficiencies for </w:t>
      </w:r>
      <w:r w:rsidR="00604429" w:rsidRPr="00542EB9">
        <w:rPr>
          <w:noProof/>
        </w:rPr>
        <w:t>beneficiaries</w:t>
      </w:r>
      <w:r w:rsidR="00D41F28" w:rsidRPr="00542EB9">
        <w:rPr>
          <w:noProof/>
        </w:rPr>
        <w:t>.</w:t>
      </w:r>
    </w:p>
    <w:p w14:paraId="2220133C" w14:textId="08CC567F" w:rsidR="00D71C77" w:rsidRPr="00542EB9" w:rsidRDefault="00D71C77" w:rsidP="00ED28D8">
      <w:pPr>
        <w:pStyle w:val="Text2"/>
        <w:numPr>
          <w:ilvl w:val="0"/>
          <w:numId w:val="102"/>
        </w:numPr>
        <w:spacing w:after="0"/>
        <w:rPr>
          <w:noProof/>
        </w:rPr>
      </w:pPr>
      <w:r w:rsidRPr="00542EB9">
        <w:rPr>
          <w:noProof/>
        </w:rPr>
        <w:t>to foster simplification</w:t>
      </w:r>
      <w:r w:rsidR="00D31123" w:rsidRPr="00542EB9">
        <w:rPr>
          <w:noProof/>
        </w:rPr>
        <w:t xml:space="preserve"> </w:t>
      </w:r>
      <w:r w:rsidR="000547B5" w:rsidRPr="00542EB9">
        <w:rPr>
          <w:noProof/>
        </w:rPr>
        <w:t xml:space="preserve">for </w:t>
      </w:r>
      <w:r w:rsidR="00531202" w:rsidRPr="00542EB9">
        <w:rPr>
          <w:noProof/>
        </w:rPr>
        <w:t>access to</w:t>
      </w:r>
      <w:r w:rsidR="00B67765" w:rsidRPr="00542EB9">
        <w:rPr>
          <w:noProof/>
        </w:rPr>
        <w:t xml:space="preserve"> and implementing </w:t>
      </w:r>
      <w:r w:rsidR="00531202" w:rsidRPr="00542EB9">
        <w:rPr>
          <w:noProof/>
        </w:rPr>
        <w:t>EU funding</w:t>
      </w:r>
      <w:r w:rsidR="000547B5" w:rsidRPr="00542EB9">
        <w:rPr>
          <w:noProof/>
        </w:rPr>
        <w:t xml:space="preserve"> and programme management</w:t>
      </w:r>
      <w:r w:rsidR="009E4094" w:rsidRPr="00542EB9">
        <w:rPr>
          <w:noProof/>
        </w:rPr>
        <w:t>,</w:t>
      </w:r>
      <w:r w:rsidR="008F30B1" w:rsidRPr="00542EB9">
        <w:rPr>
          <w:noProof/>
        </w:rPr>
        <w:t xml:space="preserve"> which reduces administrative burden </w:t>
      </w:r>
      <w:r w:rsidR="009A39C8" w:rsidRPr="00542EB9">
        <w:rPr>
          <w:noProof/>
        </w:rPr>
        <w:t>th</w:t>
      </w:r>
      <w:r w:rsidR="008F30B1" w:rsidRPr="00542EB9">
        <w:rPr>
          <w:noProof/>
        </w:rPr>
        <w:t xml:space="preserve">rough simplified and </w:t>
      </w:r>
      <w:r w:rsidR="009A39C8" w:rsidRPr="00542EB9">
        <w:rPr>
          <w:noProof/>
        </w:rPr>
        <w:t xml:space="preserve">harmonised </w:t>
      </w:r>
      <w:r w:rsidR="008F30B1" w:rsidRPr="00542EB9">
        <w:rPr>
          <w:noProof/>
        </w:rPr>
        <w:t>procedures</w:t>
      </w:r>
      <w:r w:rsidR="00EC52DC" w:rsidRPr="00542EB9">
        <w:rPr>
          <w:noProof/>
        </w:rPr>
        <w:t xml:space="preserve">. </w:t>
      </w:r>
    </w:p>
    <w:p w14:paraId="38E13E95" w14:textId="53375531" w:rsidR="00967623" w:rsidRPr="00542EB9" w:rsidRDefault="4FBEC3BB" w:rsidP="00ED28D8">
      <w:pPr>
        <w:pStyle w:val="Text2"/>
        <w:numPr>
          <w:ilvl w:val="0"/>
          <w:numId w:val="102"/>
        </w:numPr>
        <w:spacing w:after="0"/>
        <w:rPr>
          <w:b/>
          <w:bCs/>
          <w:noProof/>
        </w:rPr>
      </w:pPr>
      <w:r w:rsidRPr="00542EB9">
        <w:rPr>
          <w:noProof/>
        </w:rPr>
        <w:t>to enhance synergies</w:t>
      </w:r>
      <w:r w:rsidR="003D4994" w:rsidRPr="00542EB9">
        <w:rPr>
          <w:noProof/>
        </w:rPr>
        <w:t xml:space="preserve"> between policy area</w:t>
      </w:r>
      <w:r w:rsidR="00F1537A" w:rsidRPr="00542EB9">
        <w:rPr>
          <w:noProof/>
        </w:rPr>
        <w:t>s</w:t>
      </w:r>
      <w:r w:rsidR="00075ECD" w:rsidRPr="00542EB9">
        <w:rPr>
          <w:noProof/>
        </w:rPr>
        <w:t xml:space="preserve"> </w:t>
      </w:r>
      <w:r w:rsidR="0086314F" w:rsidRPr="00542EB9">
        <w:rPr>
          <w:noProof/>
        </w:rPr>
        <w:t>and to reinforce</w:t>
      </w:r>
      <w:r w:rsidR="00075ECD" w:rsidRPr="00542EB9">
        <w:rPr>
          <w:noProof/>
        </w:rPr>
        <w:t xml:space="preserve"> joint activities</w:t>
      </w:r>
      <w:r w:rsidR="002309E1" w:rsidRPr="00542EB9">
        <w:rPr>
          <w:noProof/>
        </w:rPr>
        <w:t xml:space="preserve"> </w:t>
      </w:r>
      <w:r w:rsidR="005C236E" w:rsidRPr="00542EB9">
        <w:rPr>
          <w:noProof/>
        </w:rPr>
        <w:t xml:space="preserve">such as </w:t>
      </w:r>
      <w:r w:rsidR="0013097D" w:rsidRPr="00542EB9">
        <w:rPr>
          <w:noProof/>
        </w:rPr>
        <w:t>framework contracts</w:t>
      </w:r>
      <w:r w:rsidR="006C18EB" w:rsidRPr="00542EB9">
        <w:rPr>
          <w:noProof/>
        </w:rPr>
        <w:t xml:space="preserve">, collaborative activities </w:t>
      </w:r>
      <w:r w:rsidR="0086314F" w:rsidRPr="00542EB9">
        <w:rPr>
          <w:noProof/>
        </w:rPr>
        <w:t>and digital</w:t>
      </w:r>
      <w:r w:rsidR="0013097D" w:rsidRPr="00542EB9">
        <w:rPr>
          <w:noProof/>
        </w:rPr>
        <w:t xml:space="preserve"> projects</w:t>
      </w:r>
      <w:r w:rsidR="0013097D" w:rsidRPr="00542EB9">
        <w:rPr>
          <w:b/>
          <w:bCs/>
          <w:noProof/>
        </w:rPr>
        <w:t>.</w:t>
      </w:r>
    </w:p>
    <w:p w14:paraId="7DB1819A" w14:textId="0437CCDE" w:rsidR="00BF1D8F" w:rsidRPr="00542EB9" w:rsidRDefault="00D02409" w:rsidP="5DD21FD3">
      <w:pPr>
        <w:pStyle w:val="Text2"/>
        <w:spacing w:after="0"/>
        <w:ind w:left="0"/>
        <w:rPr>
          <w:noProof/>
        </w:rPr>
      </w:pPr>
      <w:r w:rsidRPr="00542EB9">
        <w:rPr>
          <w:noProof/>
        </w:rPr>
        <w:t xml:space="preserve">With regards to the policy </w:t>
      </w:r>
      <w:r w:rsidR="001A0210" w:rsidRPr="00542EB9">
        <w:rPr>
          <w:noProof/>
        </w:rPr>
        <w:t>intervention areas</w:t>
      </w:r>
      <w:r w:rsidRPr="00542EB9">
        <w:rPr>
          <w:noProof/>
        </w:rPr>
        <w:t>:</w:t>
      </w:r>
    </w:p>
    <w:p w14:paraId="6A2AA837" w14:textId="4D17FFF5" w:rsidR="00121C3B" w:rsidRPr="00542EB9" w:rsidRDefault="00121C3B" w:rsidP="0077259A">
      <w:pPr>
        <w:pStyle w:val="Text2"/>
        <w:numPr>
          <w:ilvl w:val="0"/>
          <w:numId w:val="101"/>
        </w:numPr>
        <w:spacing w:after="0"/>
        <w:rPr>
          <w:rFonts w:eastAsia="Aptos"/>
          <w:noProof/>
        </w:rPr>
      </w:pPr>
      <w:r w:rsidRPr="00542EB9">
        <w:rPr>
          <w:rFonts w:eastAsia="Aptos"/>
          <w:noProof/>
        </w:rPr>
        <w:t xml:space="preserve">To empower citizens, consumers, economic operators and businesses with information and advice enabling them to make informed decisions and access the opportunities of the </w:t>
      </w:r>
      <w:r w:rsidR="0077259A" w:rsidRPr="00542EB9">
        <w:rPr>
          <w:rFonts w:eastAsia="Aptos"/>
          <w:noProof/>
        </w:rPr>
        <w:t>s</w:t>
      </w:r>
      <w:r w:rsidRPr="00542EB9">
        <w:rPr>
          <w:rFonts w:eastAsia="Aptos"/>
          <w:noProof/>
        </w:rPr>
        <w:t xml:space="preserve">ingle </w:t>
      </w:r>
      <w:r w:rsidR="0077259A" w:rsidRPr="00542EB9">
        <w:rPr>
          <w:rFonts w:eastAsia="Aptos"/>
          <w:noProof/>
        </w:rPr>
        <w:t>market</w:t>
      </w:r>
      <w:r w:rsidR="006738D1" w:rsidRPr="00542EB9">
        <w:rPr>
          <w:rFonts w:eastAsia="Aptos"/>
          <w:noProof/>
        </w:rPr>
        <w:t xml:space="preserve"> for goods and services</w:t>
      </w:r>
      <w:r w:rsidRPr="00542EB9">
        <w:rPr>
          <w:rFonts w:eastAsia="Aptos"/>
          <w:noProof/>
        </w:rPr>
        <w:t xml:space="preserve">; to improve the understanding of the </w:t>
      </w:r>
      <w:r w:rsidR="005459CC" w:rsidRPr="00542EB9">
        <w:rPr>
          <w:rFonts w:eastAsia="Aptos"/>
          <w:noProof/>
        </w:rPr>
        <w:t>single market</w:t>
      </w:r>
      <w:r w:rsidRPr="00542EB9">
        <w:rPr>
          <w:rFonts w:eastAsia="Aptos"/>
          <w:noProof/>
        </w:rPr>
        <w:t xml:space="preserve"> and its challenges by supporting data collection activities, analyses and tools; to provide relevant and comparable official European statistics. </w:t>
      </w:r>
    </w:p>
    <w:p w14:paraId="71C8C288" w14:textId="07BD4CA0" w:rsidR="009179AD" w:rsidRPr="00542EB9" w:rsidRDefault="009179AD" w:rsidP="009179AD">
      <w:pPr>
        <w:pStyle w:val="Text2"/>
        <w:numPr>
          <w:ilvl w:val="0"/>
          <w:numId w:val="101"/>
        </w:numPr>
        <w:spacing w:after="0"/>
        <w:rPr>
          <w:rFonts w:eastAsia="Aptos"/>
          <w:noProof/>
          <w:szCs w:val="24"/>
        </w:rPr>
      </w:pPr>
      <w:r w:rsidRPr="00542EB9">
        <w:rPr>
          <w:rFonts w:eastAsia="Aptos"/>
          <w:noProof/>
          <w:szCs w:val="24"/>
        </w:rPr>
        <w:t>To foster cooperation and integration between national administrations, Member States and between Member States and the Commission; t</w:t>
      </w:r>
      <w:r w:rsidR="00121C3B" w:rsidRPr="00542EB9">
        <w:rPr>
          <w:rFonts w:eastAsia="Aptos"/>
          <w:noProof/>
          <w:szCs w:val="24"/>
        </w:rPr>
        <w:t xml:space="preserve">o boost the operational, technical and administrative capacities of national administrations; </w:t>
      </w:r>
    </w:p>
    <w:p w14:paraId="1C6CB28B" w14:textId="4988BF98" w:rsidR="00121C3B" w:rsidRPr="00542EB9" w:rsidRDefault="00121C3B" w:rsidP="009179AD">
      <w:pPr>
        <w:pStyle w:val="Text2"/>
        <w:numPr>
          <w:ilvl w:val="0"/>
          <w:numId w:val="101"/>
        </w:numPr>
        <w:spacing w:after="0"/>
        <w:rPr>
          <w:rFonts w:eastAsia="Aptos"/>
          <w:noProof/>
          <w:szCs w:val="24"/>
        </w:rPr>
      </w:pPr>
      <w:r w:rsidRPr="00542EB9">
        <w:rPr>
          <w:rFonts w:eastAsia="Aptos"/>
          <w:noProof/>
          <w:szCs w:val="24"/>
        </w:rPr>
        <w:t>To improve evidence-based</w:t>
      </w:r>
      <w:r w:rsidR="00D27BB5" w:rsidRPr="00542EB9">
        <w:rPr>
          <w:rFonts w:eastAsia="Aptos"/>
          <w:noProof/>
          <w:szCs w:val="24"/>
        </w:rPr>
        <w:t xml:space="preserve"> </w:t>
      </w:r>
      <w:r w:rsidR="0078646E" w:rsidRPr="00542EB9">
        <w:rPr>
          <w:rFonts w:eastAsia="Aptos"/>
          <w:noProof/>
          <w:szCs w:val="24"/>
        </w:rPr>
        <w:t xml:space="preserve">and digital-ready </w:t>
      </w:r>
      <w:r w:rsidR="00D27BB5" w:rsidRPr="00542EB9">
        <w:rPr>
          <w:rFonts w:eastAsia="Aptos"/>
          <w:noProof/>
          <w:szCs w:val="24"/>
        </w:rPr>
        <w:t>policymaking</w:t>
      </w:r>
      <w:r w:rsidR="0078646E" w:rsidRPr="00542EB9">
        <w:rPr>
          <w:rFonts w:eastAsia="Aptos"/>
          <w:noProof/>
          <w:szCs w:val="24"/>
        </w:rPr>
        <w:t>,</w:t>
      </w:r>
      <w:r w:rsidRPr="00542EB9">
        <w:rPr>
          <w:rFonts w:eastAsia="Aptos"/>
          <w:noProof/>
          <w:szCs w:val="24"/>
        </w:rPr>
        <w:t xml:space="preserve"> and </w:t>
      </w:r>
      <w:r w:rsidR="00F60CC4" w:rsidRPr="00542EB9">
        <w:rPr>
          <w:rFonts w:eastAsia="Aptos"/>
          <w:noProof/>
          <w:szCs w:val="24"/>
        </w:rPr>
        <w:t xml:space="preserve">digital </w:t>
      </w:r>
      <w:r w:rsidRPr="00542EB9">
        <w:rPr>
          <w:rFonts w:eastAsia="Aptos"/>
          <w:noProof/>
          <w:szCs w:val="24"/>
        </w:rPr>
        <w:t>implementation tools;</w:t>
      </w:r>
    </w:p>
    <w:p w14:paraId="239BBD11" w14:textId="7553D121" w:rsidR="00121C3B" w:rsidRPr="00542EB9" w:rsidRDefault="00DB59EA" w:rsidP="001A10D1">
      <w:pPr>
        <w:pStyle w:val="Text2"/>
        <w:numPr>
          <w:ilvl w:val="0"/>
          <w:numId w:val="101"/>
        </w:numPr>
        <w:spacing w:after="0"/>
        <w:rPr>
          <w:rFonts w:eastAsia="Aptos"/>
          <w:noProof/>
          <w:szCs w:val="24"/>
        </w:rPr>
      </w:pPr>
      <w:bookmarkStart w:id="33" w:name="_Hlk198715629"/>
      <w:r w:rsidRPr="00542EB9">
        <w:rPr>
          <w:rFonts w:eastAsia="Aptos"/>
          <w:noProof/>
          <w:szCs w:val="24"/>
        </w:rPr>
        <w:t>To facilitate harmonised standard-setting and reinforce the development of EU and international standards; to ensure the effective enforcement of EU law, including competition policy, company law</w:t>
      </w:r>
      <w:r w:rsidRPr="00542EB9">
        <w:rPr>
          <w:rFonts w:eastAsia="Aptos"/>
          <w:noProof/>
        </w:rPr>
        <w:t xml:space="preserve">, </w:t>
      </w:r>
      <w:r w:rsidRPr="00542EB9">
        <w:rPr>
          <w:rFonts w:eastAsia="Aptos"/>
          <w:noProof/>
          <w:szCs w:val="24"/>
        </w:rPr>
        <w:t>and harmonised rulemaking, support the design, the implementation and the uniform interpretation; to ensure the well-functioning and participative role of representative organisations;</w:t>
      </w:r>
      <w:bookmarkEnd w:id="33"/>
    </w:p>
    <w:p w14:paraId="06B31345" w14:textId="5C7E9ED0" w:rsidR="00C00162" w:rsidRPr="00542EB9" w:rsidRDefault="00121C3B" w:rsidP="000933DF">
      <w:pPr>
        <w:pStyle w:val="Text2"/>
        <w:numPr>
          <w:ilvl w:val="0"/>
          <w:numId w:val="101"/>
        </w:numPr>
        <w:spacing w:after="0"/>
        <w:rPr>
          <w:rFonts w:eastAsia="Aptos"/>
          <w:noProof/>
          <w:szCs w:val="24"/>
        </w:rPr>
      </w:pPr>
      <w:r w:rsidRPr="00542EB9">
        <w:rPr>
          <w:rFonts w:eastAsia="Aptos"/>
          <w:noProof/>
          <w:szCs w:val="24"/>
        </w:rPr>
        <w:t>To support the Customs Union and customs authorities working together and acting as one</w:t>
      </w:r>
      <w:r w:rsidR="00DD53F5" w:rsidRPr="00542EB9">
        <w:rPr>
          <w:rFonts w:eastAsia="Aptos"/>
          <w:noProof/>
          <w:szCs w:val="24"/>
        </w:rPr>
        <w:t>;</w:t>
      </w:r>
      <w:r w:rsidR="000933DF" w:rsidRPr="00542EB9">
        <w:rPr>
          <w:rFonts w:eastAsia="Aptos"/>
          <w:noProof/>
          <w:szCs w:val="24"/>
        </w:rPr>
        <w:t xml:space="preserve"> to </w:t>
      </w:r>
      <w:r w:rsidR="004A1705" w:rsidRPr="00542EB9">
        <w:rPr>
          <w:rFonts w:eastAsia="Aptos"/>
          <w:noProof/>
          <w:szCs w:val="24"/>
        </w:rPr>
        <w:t>ensure effective</w:t>
      </w:r>
      <w:r w:rsidR="000933DF" w:rsidRPr="00542EB9">
        <w:rPr>
          <w:rFonts w:eastAsia="Aptos"/>
          <w:noProof/>
          <w:szCs w:val="24"/>
        </w:rPr>
        <w:t xml:space="preserve"> market surveillance</w:t>
      </w:r>
      <w:r w:rsidR="006C5622" w:rsidRPr="00542EB9">
        <w:rPr>
          <w:rFonts w:eastAsia="Aptos"/>
          <w:noProof/>
          <w:szCs w:val="24"/>
        </w:rPr>
        <w:t xml:space="preserve"> and consumer protection</w:t>
      </w:r>
      <w:r w:rsidR="000933DF" w:rsidRPr="00542EB9">
        <w:rPr>
          <w:rFonts w:eastAsia="Aptos"/>
          <w:noProof/>
          <w:szCs w:val="24"/>
        </w:rPr>
        <w:t>;</w:t>
      </w:r>
    </w:p>
    <w:p w14:paraId="265D7E63" w14:textId="37E3F65B" w:rsidR="00F054F3" w:rsidRPr="00542EB9" w:rsidRDefault="00121C3B" w:rsidP="006845B8">
      <w:pPr>
        <w:pStyle w:val="Text2"/>
        <w:numPr>
          <w:ilvl w:val="0"/>
          <w:numId w:val="101"/>
        </w:numPr>
        <w:rPr>
          <w:rFonts w:eastAsia="Aptos"/>
          <w:noProof/>
        </w:rPr>
      </w:pPr>
      <w:r w:rsidRPr="00542EB9">
        <w:rPr>
          <w:rFonts w:eastAsia="Aptos"/>
          <w:noProof/>
          <w:szCs w:val="24"/>
        </w:rPr>
        <w:t>To protect the Union’s and its Member States’ economic and financial interest from fraud; including expenditure and tax fraud, tax evasion and tax avoidance, corruption and other illegal activities; and to improve tax collection as well as to improve the Union taxation systems</w:t>
      </w:r>
      <w:r w:rsidR="002C0421" w:rsidRPr="00542EB9">
        <w:rPr>
          <w:rFonts w:eastAsia="Aptos"/>
          <w:noProof/>
          <w:szCs w:val="24"/>
        </w:rPr>
        <w:t>.</w:t>
      </w:r>
      <w:r w:rsidRPr="00542EB9">
        <w:rPr>
          <w:rFonts w:eastAsia="Aptos"/>
          <w:noProof/>
          <w:szCs w:val="24"/>
        </w:rPr>
        <w:t xml:space="preserve"> </w:t>
      </w:r>
    </w:p>
    <w:p w14:paraId="1FF56A8F" w14:textId="27BFAB87" w:rsidR="00CF3AB3" w:rsidRPr="00542EB9" w:rsidRDefault="00793612" w:rsidP="006845B8">
      <w:pPr>
        <w:pStyle w:val="Heading2"/>
        <w:rPr>
          <w:noProof/>
        </w:rPr>
      </w:pPr>
      <w:bookmarkStart w:id="34" w:name="_Toc198549047"/>
      <w:r w:rsidRPr="00542EB9">
        <w:rPr>
          <w:noProof/>
        </w:rPr>
        <w:t>Problem tree</w:t>
      </w:r>
      <w:bookmarkEnd w:id="34"/>
    </w:p>
    <w:p w14:paraId="7B3F2C8B" w14:textId="2C33E604" w:rsidR="0088028C" w:rsidRPr="00542EB9" w:rsidRDefault="0088028C" w:rsidP="001A10D1">
      <w:pPr>
        <w:pStyle w:val="Text2"/>
        <w:spacing w:after="120"/>
        <w:ind w:left="0"/>
        <w:rPr>
          <w:noProof/>
        </w:rPr>
      </w:pPr>
      <w:r w:rsidRPr="00542EB9">
        <w:rPr>
          <w:noProof/>
        </w:rPr>
        <w:t xml:space="preserve">The </w:t>
      </w:r>
      <w:r w:rsidR="007A40D2" w:rsidRPr="00542EB9">
        <w:rPr>
          <w:noProof/>
        </w:rPr>
        <w:t xml:space="preserve">objective to </w:t>
      </w:r>
      <w:r w:rsidR="00CA2BE5" w:rsidRPr="00542EB9">
        <w:rPr>
          <w:noProof/>
        </w:rPr>
        <w:t>ensure funding in</w:t>
      </w:r>
      <w:r w:rsidR="009349C8" w:rsidRPr="00542EB9">
        <w:rPr>
          <w:noProof/>
        </w:rPr>
        <w:t xml:space="preserve"> a </w:t>
      </w:r>
      <w:r w:rsidRPr="00542EB9">
        <w:rPr>
          <w:noProof/>
        </w:rPr>
        <w:t xml:space="preserve">complex </w:t>
      </w:r>
      <w:r w:rsidR="009349C8" w:rsidRPr="00542EB9">
        <w:rPr>
          <w:noProof/>
        </w:rPr>
        <w:t>funding landscape</w:t>
      </w:r>
      <w:r w:rsidR="00CA2BE5" w:rsidRPr="00542EB9">
        <w:rPr>
          <w:noProof/>
        </w:rPr>
        <w:t xml:space="preserve"> while </w:t>
      </w:r>
      <w:r w:rsidRPr="00542EB9">
        <w:rPr>
          <w:noProof/>
        </w:rPr>
        <w:t xml:space="preserve">fostering more </w:t>
      </w:r>
      <w:r w:rsidRPr="00542EB9">
        <w:rPr>
          <w:b/>
          <w:bCs/>
          <w:noProof/>
        </w:rPr>
        <w:t xml:space="preserve">flexibility, simplification and synergies, </w:t>
      </w:r>
      <w:r w:rsidR="00CA2BE5" w:rsidRPr="00542EB9">
        <w:rPr>
          <w:noProof/>
        </w:rPr>
        <w:t>is</w:t>
      </w:r>
      <w:r w:rsidRPr="00542EB9">
        <w:rPr>
          <w:noProof/>
        </w:rPr>
        <w:t xml:space="preserve"> assessed in the policy areas in which </w:t>
      </w:r>
      <w:r w:rsidR="006B3B54" w:rsidRPr="00542EB9">
        <w:rPr>
          <w:noProof/>
        </w:rPr>
        <w:t>the</w:t>
      </w:r>
      <w:r w:rsidRPr="00542EB9">
        <w:rPr>
          <w:noProof/>
        </w:rPr>
        <w:t xml:space="preserve"> problem drivers have been identified.</w:t>
      </w:r>
      <w:r w:rsidR="008A2805" w:rsidRPr="00542EB9">
        <w:rPr>
          <w:noProof/>
        </w:rPr>
        <w:t xml:space="preserve"> </w:t>
      </w:r>
      <w:r w:rsidR="00CF0646" w:rsidRPr="00542EB9">
        <w:rPr>
          <w:noProof/>
        </w:rPr>
        <w:t xml:space="preserve">It is essential that the </w:t>
      </w:r>
      <w:r w:rsidR="00DB58E8" w:rsidRPr="00542EB9">
        <w:rPr>
          <w:noProof/>
        </w:rPr>
        <w:t>P</w:t>
      </w:r>
      <w:r w:rsidR="00CF0646" w:rsidRPr="00542EB9">
        <w:rPr>
          <w:noProof/>
        </w:rPr>
        <w:t xml:space="preserve">rogramme’s structure enables </w:t>
      </w:r>
      <w:r w:rsidR="000D36E9" w:rsidRPr="00542EB9">
        <w:rPr>
          <w:noProof/>
        </w:rPr>
        <w:t>enhanc</w:t>
      </w:r>
      <w:r w:rsidR="00C84294" w:rsidRPr="00542EB9">
        <w:rPr>
          <w:noProof/>
        </w:rPr>
        <w:t>ing</w:t>
      </w:r>
      <w:r w:rsidR="00137F89" w:rsidRPr="00542EB9">
        <w:rPr>
          <w:noProof/>
        </w:rPr>
        <w:t xml:space="preserve"> </w:t>
      </w:r>
      <w:r w:rsidR="00D332EC" w:rsidRPr="00542EB9">
        <w:rPr>
          <w:noProof/>
        </w:rPr>
        <w:t>the flexibility</w:t>
      </w:r>
      <w:r w:rsidR="000D36E9" w:rsidRPr="00542EB9">
        <w:rPr>
          <w:noProof/>
        </w:rPr>
        <w:t xml:space="preserve">, simplification, and synergies, </w:t>
      </w:r>
      <w:r w:rsidR="00684488" w:rsidRPr="00542EB9">
        <w:rPr>
          <w:noProof/>
        </w:rPr>
        <w:t xml:space="preserve">in line with the priorities of the Commission. </w:t>
      </w:r>
      <w:r w:rsidR="009D3814" w:rsidRPr="00542EB9">
        <w:rPr>
          <w:noProof/>
        </w:rPr>
        <w:t>Bringing predecessor Programmes and budget lines together constitutes the opportunity to streamline procedures, increase commonalities, adopt</w:t>
      </w:r>
      <w:r w:rsidR="006E567F" w:rsidRPr="00542EB9">
        <w:rPr>
          <w:noProof/>
        </w:rPr>
        <w:t xml:space="preserve"> an appropriate governance model, and use </w:t>
      </w:r>
      <w:r w:rsidR="00B00FAD" w:rsidRPr="00542EB9">
        <w:rPr>
          <w:noProof/>
        </w:rPr>
        <w:t>agency(ies)</w:t>
      </w:r>
      <w:r w:rsidR="001C609B" w:rsidRPr="00542EB9">
        <w:rPr>
          <w:noProof/>
        </w:rPr>
        <w:t>/authority(ies) t</w:t>
      </w:r>
      <w:r w:rsidR="00E04660" w:rsidRPr="00542EB9">
        <w:rPr>
          <w:noProof/>
        </w:rPr>
        <w:t>o</w:t>
      </w:r>
      <w:r w:rsidR="001C609B" w:rsidRPr="00542EB9">
        <w:rPr>
          <w:noProof/>
        </w:rPr>
        <w:t xml:space="preserve"> support the implementation, </w:t>
      </w:r>
    </w:p>
    <w:p w14:paraId="7596987D" w14:textId="6D100CCF" w:rsidR="00CF3AB3" w:rsidRPr="00542EB9" w:rsidRDefault="00CF3AB3" w:rsidP="00CF3AB3">
      <w:pPr>
        <w:pStyle w:val="Text2"/>
        <w:ind w:left="0"/>
        <w:rPr>
          <w:noProof/>
        </w:rPr>
      </w:pPr>
      <w:r w:rsidRPr="00542EB9">
        <w:rPr>
          <w:noProof/>
        </w:rPr>
        <w:t xml:space="preserve">The programme should further improve the functioning of the </w:t>
      </w:r>
      <w:r w:rsidR="005459CC" w:rsidRPr="00542EB9">
        <w:rPr>
          <w:noProof/>
        </w:rPr>
        <w:t>single market</w:t>
      </w:r>
      <w:r w:rsidRPr="00542EB9">
        <w:rPr>
          <w:noProof/>
        </w:rPr>
        <w:t>, protect and empower citizens, consumers and businesses by enforcing Union law (incl. Competition law), facilitating market access, setting standards whilst pursing the twin transition, green and digital, and ensuring a high level of consumer protection, as well as by enhancing cooperation between the competent authorities of Member States and between the competent authorities of Member States and the Commission and the decentralised Union agencies. It allows to develop, produce and disseminate high-quality, comparable, timely and reliable European statistics which underpin the design, monitoring and evaluation of all Union policies and help citizens, policymakers, authorities, businesses, academia and the media to make informed decisions and to actively participate in the democratic process.</w:t>
      </w:r>
    </w:p>
    <w:p w14:paraId="2D64F99C" w14:textId="7D9B0DBC" w:rsidR="00CF3AB3" w:rsidRPr="00542EB9" w:rsidRDefault="00CF3AB3" w:rsidP="00CF3AB3">
      <w:pPr>
        <w:pStyle w:val="Text2"/>
        <w:numPr>
          <w:ilvl w:val="0"/>
          <w:numId w:val="53"/>
        </w:numPr>
        <w:rPr>
          <w:noProof/>
        </w:rPr>
      </w:pPr>
      <w:r w:rsidRPr="00542EB9">
        <w:rPr>
          <w:noProof/>
        </w:rPr>
        <w:t xml:space="preserve">by addressing knowledge and data gaps and other barriers that are obstacles for citizens, consumers, businesses and economic operators to access and operate within the </w:t>
      </w:r>
      <w:r w:rsidR="005459CC" w:rsidRPr="00542EB9">
        <w:rPr>
          <w:noProof/>
        </w:rPr>
        <w:t>single market</w:t>
      </w:r>
      <w:r w:rsidRPr="00542EB9">
        <w:rPr>
          <w:noProof/>
        </w:rPr>
        <w:t xml:space="preserve">, </w:t>
      </w:r>
    </w:p>
    <w:p w14:paraId="15C89570" w14:textId="449736F6" w:rsidR="00CF3AB3" w:rsidRPr="00542EB9" w:rsidRDefault="00CF3AB3" w:rsidP="00CF3AB3">
      <w:pPr>
        <w:pStyle w:val="Text2"/>
        <w:spacing w:after="120"/>
        <w:ind w:left="0"/>
        <w:rPr>
          <w:noProof/>
        </w:rPr>
      </w:pPr>
      <w:r w:rsidRPr="00542EB9">
        <w:rPr>
          <w:noProof/>
        </w:rPr>
        <w:t xml:space="preserve">This targets the need for citizens, consumers, economic operators, businesses, and public administrations to have access to and receive information and advice about the </w:t>
      </w:r>
      <w:r w:rsidR="005459CC" w:rsidRPr="00542EB9">
        <w:rPr>
          <w:noProof/>
        </w:rPr>
        <w:t>single market</w:t>
      </w:r>
      <w:r w:rsidRPr="00542EB9">
        <w:rPr>
          <w:noProof/>
        </w:rPr>
        <w:t xml:space="preserve"> and their rights and obligations in light of the digitalisation needs. It also relates to the need to provide support to remove barriers, including digital, within the </w:t>
      </w:r>
      <w:r w:rsidR="005459CC" w:rsidRPr="00542EB9">
        <w:rPr>
          <w:noProof/>
        </w:rPr>
        <w:t>single market</w:t>
      </w:r>
      <w:r w:rsidRPr="00542EB9">
        <w:rPr>
          <w:noProof/>
        </w:rPr>
        <w:t xml:space="preserve">. It is also essential to continue developing, producing and disseminating independent, high-quality and comparable official European statistics. </w:t>
      </w:r>
    </w:p>
    <w:p w14:paraId="33FF1FC8" w14:textId="77777777" w:rsidR="00CF3AB3" w:rsidRPr="00542EB9" w:rsidRDefault="00CF3AB3" w:rsidP="00CF3AB3">
      <w:pPr>
        <w:pStyle w:val="Text2"/>
        <w:numPr>
          <w:ilvl w:val="0"/>
          <w:numId w:val="53"/>
        </w:numPr>
        <w:rPr>
          <w:noProof/>
        </w:rPr>
      </w:pPr>
      <w:r w:rsidRPr="00542EB9">
        <w:rPr>
          <w:noProof/>
        </w:rPr>
        <w:t xml:space="preserve">by reinforcing capacity building, administrative and operational cooperation and integration among Member States and between Member States and the European Commission, </w:t>
      </w:r>
    </w:p>
    <w:p w14:paraId="5D72FA98" w14:textId="4289087D" w:rsidR="00CF3AB3" w:rsidRPr="00542EB9" w:rsidRDefault="00CF3AB3" w:rsidP="00CF3AB3">
      <w:pPr>
        <w:pStyle w:val="Text2"/>
        <w:ind w:left="0"/>
        <w:rPr>
          <w:noProof/>
        </w:rPr>
      </w:pPr>
      <w:r w:rsidRPr="00542EB9">
        <w:rPr>
          <w:noProof/>
        </w:rPr>
        <w:t xml:space="preserve">This addresses the need for reinforced cooperation and integration to ensure digitally enabled, seamless implementation, consistent and effective enforcement across the EU and to prevent barriers and limitations hindering the proper functioning of the </w:t>
      </w:r>
      <w:r w:rsidR="005459CC" w:rsidRPr="00542EB9">
        <w:rPr>
          <w:noProof/>
        </w:rPr>
        <w:t>single market</w:t>
      </w:r>
      <w:r w:rsidRPr="00542EB9">
        <w:rPr>
          <w:noProof/>
        </w:rPr>
        <w:t xml:space="preserve">, such as a fragmented interoperability landscape, tax, the savings and investments union, and other policies, and the Customs Union. </w:t>
      </w:r>
    </w:p>
    <w:p w14:paraId="1F04893D" w14:textId="77777777" w:rsidR="00CF3AB3" w:rsidRPr="00542EB9" w:rsidRDefault="00CF3AB3" w:rsidP="00CF3AB3">
      <w:pPr>
        <w:pStyle w:val="Text2"/>
        <w:numPr>
          <w:ilvl w:val="0"/>
          <w:numId w:val="53"/>
        </w:numPr>
        <w:rPr>
          <w:noProof/>
        </w:rPr>
      </w:pPr>
      <w:r w:rsidRPr="00542EB9">
        <w:rPr>
          <w:noProof/>
        </w:rPr>
        <w:t>by improving the rulemaking, standard setting, and enforcement of Union law at EU level that may not be able to adapt to a changing environment.</w:t>
      </w:r>
    </w:p>
    <w:p w14:paraId="0C11B1D8" w14:textId="1F9DA3FB" w:rsidR="00CF3AB3" w:rsidRPr="00542EB9" w:rsidRDefault="00CF3AB3" w:rsidP="00CF3AB3">
      <w:pPr>
        <w:pStyle w:val="Text2"/>
        <w:ind w:left="0"/>
        <w:rPr>
          <w:noProof/>
        </w:rPr>
      </w:pPr>
      <w:r w:rsidRPr="00542EB9">
        <w:rPr>
          <w:noProof/>
        </w:rPr>
        <w:t xml:space="preserve">This aims to ensure that EU authorities and bodies maintain effective rulemaking, including a consistent digital-ready </w:t>
      </w:r>
      <w:r w:rsidR="0088028C" w:rsidRPr="00542EB9">
        <w:rPr>
          <w:noProof/>
        </w:rPr>
        <w:t>policymaking approach</w:t>
      </w:r>
      <w:r w:rsidRPr="00542EB9">
        <w:rPr>
          <w:noProof/>
        </w:rPr>
        <w:t>, standard-setting, as well as enforcement in the face of changing circumstances and to ensure enforcement of restrictive measures in the management of EU funds.</w:t>
      </w:r>
    </w:p>
    <w:p w14:paraId="56E6F329" w14:textId="02B6D610" w:rsidR="00AE3731" w:rsidRPr="00542EB9" w:rsidRDefault="00C3642F" w:rsidP="00CF3AB3">
      <w:pPr>
        <w:pStyle w:val="Text2"/>
        <w:ind w:left="0"/>
        <w:rPr>
          <w:noProof/>
        </w:rPr>
      </w:pPr>
      <w:r w:rsidRPr="00542EB9">
        <w:rPr>
          <w:noProof/>
          <w:lang w:eastAsia="en-GB"/>
        </w:rPr>
        <w:drawing>
          <wp:inline distT="0" distB="0" distL="0" distR="0" wp14:anchorId="1C564709" wp14:editId="66FF6AC3">
            <wp:extent cx="6050280" cy="3403325"/>
            <wp:effectExtent l="0" t="0" r="7620" b="6985"/>
            <wp:docPr id="19908103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10352" name=""/>
                    <pic:cNvPicPr/>
                  </pic:nvPicPr>
                  <pic:blipFill>
                    <a:blip r:embed="rId18">
                      <a:extLst>
                        <a:ext uri="{96DAC541-7B7A-43D3-8B79-37D633B846F1}">
                          <asvg:svgBlip xmlns:c="http://schemas.openxmlformats.org/drawingml/2006/chart"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xmlns="" r:embed="rId19"/>
                        </a:ext>
                      </a:extLst>
                    </a:blip>
                    <a:stretch>
                      <a:fillRect/>
                    </a:stretch>
                  </pic:blipFill>
                  <pic:spPr>
                    <a:xfrm>
                      <a:off x="0" y="0"/>
                      <a:ext cx="6054024" cy="3405431"/>
                    </a:xfrm>
                    <a:prstGeom prst="rect">
                      <a:avLst/>
                    </a:prstGeom>
                  </pic:spPr>
                </pic:pic>
              </a:graphicData>
            </a:graphic>
          </wp:inline>
        </w:drawing>
      </w:r>
    </w:p>
    <w:p w14:paraId="44B3C109" w14:textId="77777777" w:rsidR="006B087E" w:rsidRPr="00542EB9" w:rsidRDefault="006B087E" w:rsidP="5DD21FD3">
      <w:pPr>
        <w:pStyle w:val="Heading1"/>
        <w:rPr>
          <w:noProof/>
        </w:rPr>
      </w:pPr>
      <w:bookmarkStart w:id="35" w:name="_Toc191909118"/>
      <w:bookmarkStart w:id="36" w:name="_Toc191909134"/>
      <w:bookmarkStart w:id="37" w:name="_Toc191909135"/>
      <w:bookmarkStart w:id="38" w:name="_Toc198549048"/>
      <w:bookmarkEnd w:id="35"/>
      <w:bookmarkEnd w:id="36"/>
      <w:r w:rsidRPr="00542EB9">
        <w:rPr>
          <w:noProof/>
        </w:rPr>
        <w:t>What are the available policy options?</w:t>
      </w:r>
      <w:bookmarkEnd w:id="37"/>
      <w:bookmarkEnd w:id="38"/>
    </w:p>
    <w:p w14:paraId="1EA94749" w14:textId="676E470E" w:rsidR="00D50CC1" w:rsidRPr="00542EB9" w:rsidRDefault="48CC69DF" w:rsidP="00D50CC1">
      <w:pPr>
        <w:pStyle w:val="BodyText1"/>
        <w:rPr>
          <w:rFonts w:ascii="Times New Roman" w:hAnsi="Times New Roman"/>
          <w:noProof/>
          <w:sz w:val="24"/>
          <w:szCs w:val="24"/>
        </w:rPr>
      </w:pPr>
      <w:r w:rsidRPr="00542EB9">
        <w:rPr>
          <w:rFonts w:ascii="Times New Roman" w:hAnsi="Times New Roman"/>
          <w:noProof/>
          <w:sz w:val="24"/>
          <w:szCs w:val="24"/>
        </w:rPr>
        <w:t xml:space="preserve">Each of the </w:t>
      </w:r>
      <w:r w:rsidR="00B015C5" w:rsidRPr="00542EB9">
        <w:rPr>
          <w:rFonts w:ascii="Times New Roman" w:hAnsi="Times New Roman"/>
          <w:noProof/>
          <w:sz w:val="24"/>
          <w:szCs w:val="24"/>
        </w:rPr>
        <w:t xml:space="preserve">two </w:t>
      </w:r>
      <w:r w:rsidRPr="00542EB9">
        <w:rPr>
          <w:rFonts w:ascii="Times New Roman" w:hAnsi="Times New Roman"/>
          <w:noProof/>
          <w:sz w:val="24"/>
          <w:szCs w:val="24"/>
        </w:rPr>
        <w:t xml:space="preserve">policy options proposes a different design for the programme. </w:t>
      </w:r>
      <w:r w:rsidR="00B015C5" w:rsidRPr="00542EB9">
        <w:rPr>
          <w:rFonts w:ascii="Times New Roman" w:hAnsi="Times New Roman"/>
          <w:noProof/>
          <w:sz w:val="24"/>
          <w:szCs w:val="24"/>
        </w:rPr>
        <w:t>However, t</w:t>
      </w:r>
      <w:r w:rsidRPr="00542EB9">
        <w:rPr>
          <w:rFonts w:ascii="Times New Roman" w:hAnsi="Times New Roman"/>
          <w:noProof/>
          <w:sz w:val="24"/>
          <w:szCs w:val="24"/>
        </w:rPr>
        <w:t xml:space="preserve">he </w:t>
      </w:r>
      <w:r w:rsidR="009A7807" w:rsidRPr="00542EB9">
        <w:rPr>
          <w:rFonts w:ascii="Times New Roman" w:hAnsi="Times New Roman"/>
          <w:noProof/>
          <w:sz w:val="24"/>
          <w:szCs w:val="24"/>
        </w:rPr>
        <w:t>content of policies in the scope is common for both options</w:t>
      </w:r>
      <w:r w:rsidRPr="00542EB9">
        <w:rPr>
          <w:rFonts w:ascii="Times New Roman" w:hAnsi="Times New Roman"/>
          <w:noProof/>
          <w:sz w:val="24"/>
          <w:szCs w:val="24"/>
        </w:rPr>
        <w:t xml:space="preserve">. </w:t>
      </w:r>
    </w:p>
    <w:p w14:paraId="324B1E3F" w14:textId="0996DDA7" w:rsidR="006B087E" w:rsidRPr="00542EB9" w:rsidRDefault="006B087E" w:rsidP="5DD21FD3">
      <w:pPr>
        <w:pStyle w:val="Heading2"/>
        <w:rPr>
          <w:noProof/>
        </w:rPr>
      </w:pPr>
      <w:bookmarkStart w:id="39" w:name="_Toc191909136"/>
      <w:bookmarkStart w:id="40" w:name="_Toc198549049"/>
      <w:r w:rsidRPr="00542EB9">
        <w:rPr>
          <w:noProof/>
        </w:rPr>
        <w:t>What is the baseline from which options are assessed?</w:t>
      </w:r>
      <w:bookmarkEnd w:id="39"/>
      <w:bookmarkEnd w:id="40"/>
    </w:p>
    <w:p w14:paraId="48C89C21" w14:textId="0CA8D47B" w:rsidR="00701D85" w:rsidRPr="00542EB9" w:rsidRDefault="35AD87D7" w:rsidP="5DD21FD3">
      <w:pPr>
        <w:pStyle w:val="Text2"/>
        <w:ind w:left="0"/>
        <w:rPr>
          <w:noProof/>
        </w:rPr>
      </w:pPr>
      <w:r w:rsidRPr="00542EB9">
        <w:rPr>
          <w:noProof/>
        </w:rPr>
        <w:t xml:space="preserve">The baseline is represented by the </w:t>
      </w:r>
      <w:r w:rsidR="33E24EE5" w:rsidRPr="00542EB9">
        <w:rPr>
          <w:noProof/>
        </w:rPr>
        <w:t xml:space="preserve">current MFF landscape and the coverage of the MFF 2021-2027 policy needs. </w:t>
      </w:r>
      <w:r w:rsidR="5FB13A4F" w:rsidRPr="00542EB9">
        <w:rPr>
          <w:noProof/>
        </w:rPr>
        <w:t>The MFF 2021-20</w:t>
      </w:r>
      <w:r w:rsidR="553914AE" w:rsidRPr="00542EB9">
        <w:rPr>
          <w:noProof/>
        </w:rPr>
        <w:t>27</w:t>
      </w:r>
      <w:r w:rsidR="5FB13A4F" w:rsidRPr="00542EB9">
        <w:rPr>
          <w:noProof/>
        </w:rPr>
        <w:t xml:space="preserve"> architecture </w:t>
      </w:r>
      <w:r w:rsidR="36C43611" w:rsidRPr="00542EB9">
        <w:rPr>
          <w:noProof/>
        </w:rPr>
        <w:t xml:space="preserve">addresses the </w:t>
      </w:r>
      <w:r w:rsidR="005459CC" w:rsidRPr="00542EB9">
        <w:rPr>
          <w:noProof/>
        </w:rPr>
        <w:t>single market</w:t>
      </w:r>
      <w:r w:rsidR="36C43611" w:rsidRPr="00542EB9">
        <w:rPr>
          <w:noProof/>
        </w:rPr>
        <w:t xml:space="preserve"> under Heading </w:t>
      </w:r>
      <w:r w:rsidR="628B91E2" w:rsidRPr="00542EB9">
        <w:rPr>
          <w:noProof/>
        </w:rPr>
        <w:t xml:space="preserve">1 </w:t>
      </w:r>
      <w:r w:rsidR="5BB233B6" w:rsidRPr="00542EB9">
        <w:rPr>
          <w:noProof/>
        </w:rPr>
        <w:t xml:space="preserve">and gathers </w:t>
      </w:r>
      <w:r w:rsidR="00BD51EF" w:rsidRPr="00542EB9">
        <w:rPr>
          <w:noProof/>
        </w:rPr>
        <w:t>four</w:t>
      </w:r>
      <w:r w:rsidR="5BB233B6" w:rsidRPr="00542EB9">
        <w:rPr>
          <w:noProof/>
        </w:rPr>
        <w:t xml:space="preserve"> programmes in this domain: the </w:t>
      </w:r>
      <w:r w:rsidR="00F354F2" w:rsidRPr="00542EB9">
        <w:rPr>
          <w:noProof/>
        </w:rPr>
        <w:t>S</w:t>
      </w:r>
      <w:r w:rsidR="005459CC" w:rsidRPr="00542EB9">
        <w:rPr>
          <w:noProof/>
        </w:rPr>
        <w:t xml:space="preserve">ingle </w:t>
      </w:r>
      <w:r w:rsidR="00F354F2" w:rsidRPr="00542EB9">
        <w:rPr>
          <w:noProof/>
        </w:rPr>
        <w:t>M</w:t>
      </w:r>
      <w:r w:rsidR="005459CC" w:rsidRPr="00542EB9">
        <w:rPr>
          <w:noProof/>
        </w:rPr>
        <w:t>arket</w:t>
      </w:r>
      <w:r w:rsidR="5BB233B6" w:rsidRPr="00542EB9">
        <w:rPr>
          <w:noProof/>
        </w:rPr>
        <w:t xml:space="preserve"> Programme</w:t>
      </w:r>
      <w:r w:rsidR="4DFBD98A" w:rsidRPr="00542EB9">
        <w:rPr>
          <w:noProof/>
        </w:rPr>
        <w:t xml:space="preserve"> (SMP)</w:t>
      </w:r>
      <w:r w:rsidR="5BB233B6" w:rsidRPr="00542EB9">
        <w:rPr>
          <w:noProof/>
        </w:rPr>
        <w:t xml:space="preserve">, the Customs programme </w:t>
      </w:r>
      <w:r w:rsidR="5157D0F9" w:rsidRPr="00542EB9">
        <w:rPr>
          <w:noProof/>
        </w:rPr>
        <w:t>(</w:t>
      </w:r>
      <w:r w:rsidR="3562505C" w:rsidRPr="00542EB9">
        <w:rPr>
          <w:noProof/>
        </w:rPr>
        <w:t>cooperation</w:t>
      </w:r>
      <w:r w:rsidR="5157D0F9" w:rsidRPr="00542EB9">
        <w:rPr>
          <w:noProof/>
        </w:rPr>
        <w:t xml:space="preserve"> in the </w:t>
      </w:r>
      <w:r w:rsidR="3562505C" w:rsidRPr="00542EB9">
        <w:rPr>
          <w:noProof/>
        </w:rPr>
        <w:t xml:space="preserve">field of customs), the Fiscalis programme (cooperation in the field of </w:t>
      </w:r>
      <w:r w:rsidR="6D562612" w:rsidRPr="00542EB9">
        <w:rPr>
          <w:noProof/>
        </w:rPr>
        <w:t>taxation) and the EU Anti-Fraud Programme</w:t>
      </w:r>
      <w:r w:rsidR="4DFBD98A" w:rsidRPr="00542EB9">
        <w:rPr>
          <w:noProof/>
        </w:rPr>
        <w:t xml:space="preserve"> (EUA</w:t>
      </w:r>
      <w:r w:rsidR="2508F60C" w:rsidRPr="00542EB9">
        <w:rPr>
          <w:noProof/>
        </w:rPr>
        <w:t>FP)</w:t>
      </w:r>
      <w:r w:rsidR="4DFBD98A" w:rsidRPr="00542EB9">
        <w:rPr>
          <w:noProof/>
        </w:rPr>
        <w:t xml:space="preserve">. </w:t>
      </w:r>
      <w:r w:rsidR="09BDEF94" w:rsidRPr="00542EB9">
        <w:rPr>
          <w:noProof/>
        </w:rPr>
        <w:t>The</w:t>
      </w:r>
      <w:r w:rsidR="4DFBD98A" w:rsidRPr="00542EB9">
        <w:rPr>
          <w:noProof/>
        </w:rPr>
        <w:t xml:space="preserve"> </w:t>
      </w:r>
      <w:r w:rsidR="1EB486DC" w:rsidRPr="00542EB9">
        <w:rPr>
          <w:noProof/>
        </w:rPr>
        <w:t xml:space="preserve">SMP </w:t>
      </w:r>
      <w:r w:rsidR="25ADFACB" w:rsidRPr="00542EB9">
        <w:rPr>
          <w:noProof/>
        </w:rPr>
        <w:t>bring</w:t>
      </w:r>
      <w:r w:rsidR="4F9001D6" w:rsidRPr="00542EB9">
        <w:rPr>
          <w:noProof/>
        </w:rPr>
        <w:t>s</w:t>
      </w:r>
      <w:r w:rsidR="4D771896" w:rsidRPr="00542EB9">
        <w:rPr>
          <w:noProof/>
        </w:rPr>
        <w:t xml:space="preserve"> </w:t>
      </w:r>
      <w:r w:rsidR="25ADFACB" w:rsidRPr="00542EB9">
        <w:rPr>
          <w:noProof/>
        </w:rPr>
        <w:t xml:space="preserve">together </w:t>
      </w:r>
      <w:r w:rsidR="1358D7F4" w:rsidRPr="00542EB9">
        <w:rPr>
          <w:noProof/>
        </w:rPr>
        <w:t>several</w:t>
      </w:r>
      <w:r w:rsidR="25ADFACB" w:rsidRPr="00542EB9">
        <w:rPr>
          <w:noProof/>
        </w:rPr>
        <w:t xml:space="preserve"> predecessor budget lines and six predecessor programmes from the previous programming period (2014-2020).</w:t>
      </w:r>
      <w:r w:rsidR="0BA6CDFE" w:rsidRPr="00542EB9">
        <w:rPr>
          <w:noProof/>
        </w:rPr>
        <w:t xml:space="preserve"> This baseline landscape </w:t>
      </w:r>
      <w:r w:rsidR="00691451" w:rsidRPr="00542EB9">
        <w:rPr>
          <w:noProof/>
        </w:rPr>
        <w:t xml:space="preserve">indirectly </w:t>
      </w:r>
      <w:r w:rsidR="0BA6CDFE" w:rsidRPr="00542EB9">
        <w:rPr>
          <w:noProof/>
        </w:rPr>
        <w:t xml:space="preserve">also includes the Customs Control Equipment Instrument under Heading </w:t>
      </w:r>
      <w:r w:rsidR="5F140765" w:rsidRPr="00542EB9">
        <w:rPr>
          <w:noProof/>
        </w:rPr>
        <w:t xml:space="preserve">4 and as part of the Integrated Border Management </w:t>
      </w:r>
      <w:r w:rsidR="2355ED38" w:rsidRPr="00542EB9">
        <w:rPr>
          <w:noProof/>
        </w:rPr>
        <w:t>Fund</w:t>
      </w:r>
      <w:r w:rsidR="1358D7F4" w:rsidRPr="00542EB9">
        <w:rPr>
          <w:noProof/>
        </w:rPr>
        <w:t xml:space="preserve">. </w:t>
      </w:r>
    </w:p>
    <w:p w14:paraId="7D624C58" w14:textId="6EAE9118" w:rsidR="000B531B" w:rsidRPr="00542EB9" w:rsidRDefault="00D23820" w:rsidP="009455A8">
      <w:pPr>
        <w:rPr>
          <w:noProof/>
        </w:rPr>
      </w:pPr>
      <w:r w:rsidRPr="00542EB9">
        <w:rPr>
          <w:noProof/>
        </w:rPr>
        <w:t xml:space="preserve">As such, the </w:t>
      </w:r>
      <w:r w:rsidR="005459CC" w:rsidRPr="00542EB9">
        <w:rPr>
          <w:noProof/>
        </w:rPr>
        <w:t>single market</w:t>
      </w:r>
      <w:r w:rsidR="009455A8" w:rsidRPr="00542EB9">
        <w:rPr>
          <w:noProof/>
        </w:rPr>
        <w:t xml:space="preserve">, </w:t>
      </w:r>
      <w:r w:rsidR="00DF0770" w:rsidRPr="00542EB9">
        <w:rPr>
          <w:noProof/>
        </w:rPr>
        <w:t>c</w:t>
      </w:r>
      <w:r w:rsidR="009455A8" w:rsidRPr="00542EB9">
        <w:rPr>
          <w:noProof/>
        </w:rPr>
        <w:t xml:space="preserve">ustoms, taxation, and anti-fraud policies </w:t>
      </w:r>
      <w:r w:rsidRPr="00542EB9">
        <w:rPr>
          <w:noProof/>
        </w:rPr>
        <w:t>are</w:t>
      </w:r>
      <w:r w:rsidR="009455A8" w:rsidRPr="00542EB9">
        <w:rPr>
          <w:noProof/>
        </w:rPr>
        <w:t xml:space="preserve"> divided across various separate EU funding programmes and instruments with their own individual legislation, budget, and implementation modalities, as well as operational set-up and rulebooks. While enhanced focus </w:t>
      </w:r>
      <w:r w:rsidR="00DC2CC0" w:rsidRPr="00542EB9">
        <w:rPr>
          <w:noProof/>
        </w:rPr>
        <w:t>is</w:t>
      </w:r>
      <w:r w:rsidR="009455A8" w:rsidRPr="00542EB9">
        <w:rPr>
          <w:noProof/>
        </w:rPr>
        <w:t xml:space="preserve"> paid to coordination among the programmes to foster improved horizontal consistency, synergies and complementarity across funds, expectations on true gains from these efforts, hindered by institutional and administrative procedures, remain limited. </w:t>
      </w:r>
    </w:p>
    <w:p w14:paraId="6FAC631E" w14:textId="43EC37D8" w:rsidR="007E0AED" w:rsidRPr="00542EB9" w:rsidRDefault="007E0AED" w:rsidP="007E0AED">
      <w:pPr>
        <w:rPr>
          <w:rFonts w:eastAsia="Times New Roman"/>
          <w:noProof/>
          <w:szCs w:val="20"/>
        </w:rPr>
      </w:pPr>
      <w:r w:rsidRPr="00542EB9">
        <w:rPr>
          <w:rFonts w:eastAsia="Times New Roman"/>
          <w:noProof/>
          <w:szCs w:val="20"/>
        </w:rPr>
        <w:t xml:space="preserve">The analysis of the baseline shows that although the current setup </w:t>
      </w:r>
      <w:r w:rsidR="00D25F64" w:rsidRPr="00542EB9">
        <w:rPr>
          <w:rFonts w:eastAsia="Times New Roman"/>
          <w:noProof/>
          <w:szCs w:val="20"/>
        </w:rPr>
        <w:t xml:space="preserve">successfully </w:t>
      </w:r>
      <w:r w:rsidRPr="00542EB9">
        <w:rPr>
          <w:rFonts w:eastAsia="Times New Roman"/>
          <w:noProof/>
          <w:szCs w:val="20"/>
        </w:rPr>
        <w:t>functions with separate</w:t>
      </w:r>
      <w:r w:rsidR="00D25F64" w:rsidRPr="00542EB9">
        <w:rPr>
          <w:rFonts w:eastAsia="Times New Roman"/>
          <w:noProof/>
          <w:szCs w:val="20"/>
        </w:rPr>
        <w:t xml:space="preserve"> </w:t>
      </w:r>
      <w:r w:rsidRPr="00542EB9">
        <w:rPr>
          <w:rFonts w:eastAsia="Times New Roman"/>
          <w:noProof/>
          <w:szCs w:val="20"/>
        </w:rPr>
        <w:t xml:space="preserve">programmes, it also projects the need to improve on the overall coherence and flexibility between the programmes in the </w:t>
      </w:r>
      <w:r w:rsidR="005459CC" w:rsidRPr="00542EB9">
        <w:rPr>
          <w:rFonts w:eastAsia="Times New Roman"/>
          <w:noProof/>
          <w:szCs w:val="20"/>
        </w:rPr>
        <w:t>single market</w:t>
      </w:r>
      <w:r w:rsidRPr="00542EB9">
        <w:rPr>
          <w:rFonts w:eastAsia="Times New Roman"/>
          <w:noProof/>
          <w:szCs w:val="20"/>
        </w:rPr>
        <w:t xml:space="preserve"> domain</w:t>
      </w:r>
      <w:r w:rsidR="00EF4858" w:rsidRPr="00542EB9">
        <w:rPr>
          <w:rFonts w:eastAsia="Times New Roman"/>
          <w:noProof/>
          <w:szCs w:val="20"/>
        </w:rPr>
        <w:t>.</w:t>
      </w:r>
      <w:r w:rsidRPr="00542EB9">
        <w:rPr>
          <w:rFonts w:eastAsia="Times New Roman"/>
          <w:noProof/>
          <w:szCs w:val="20"/>
        </w:rPr>
        <w:t xml:space="preserve"> </w:t>
      </w:r>
    </w:p>
    <w:p w14:paraId="43635E6C" w14:textId="422512E2" w:rsidR="007E0AED" w:rsidRPr="00542EB9" w:rsidRDefault="007E0AED" w:rsidP="007E0AED">
      <w:pPr>
        <w:rPr>
          <w:rFonts w:eastAsia="Times New Roman"/>
          <w:noProof/>
          <w:szCs w:val="20"/>
        </w:rPr>
      </w:pPr>
      <w:r w:rsidRPr="00542EB9">
        <w:rPr>
          <w:rFonts w:eastAsia="Times New Roman"/>
          <w:noProof/>
          <w:szCs w:val="20"/>
        </w:rPr>
        <w:t xml:space="preserve">The </w:t>
      </w:r>
      <w:r w:rsidRPr="00542EB9">
        <w:rPr>
          <w:rFonts w:eastAsia="Times New Roman"/>
          <w:b/>
          <w:bCs/>
          <w:noProof/>
          <w:szCs w:val="20"/>
        </w:rPr>
        <w:t>fragmented programme structure</w:t>
      </w:r>
      <w:r w:rsidRPr="00542EB9">
        <w:rPr>
          <w:rFonts w:eastAsia="Times New Roman"/>
          <w:noProof/>
          <w:szCs w:val="20"/>
        </w:rPr>
        <w:t xml:space="preserve"> with varying rules and governance potentially hinders a unified direction across </w:t>
      </w:r>
      <w:r w:rsidR="00B94910" w:rsidRPr="00542EB9">
        <w:rPr>
          <w:rFonts w:eastAsia="Times New Roman"/>
          <w:noProof/>
          <w:szCs w:val="20"/>
        </w:rPr>
        <w:t xml:space="preserve">the </w:t>
      </w:r>
      <w:r w:rsidRPr="00542EB9">
        <w:rPr>
          <w:rFonts w:eastAsia="Times New Roman"/>
          <w:noProof/>
          <w:szCs w:val="20"/>
        </w:rPr>
        <w:t>funding instruments</w:t>
      </w:r>
      <w:r w:rsidR="00497105" w:rsidRPr="00542EB9">
        <w:rPr>
          <w:rFonts w:eastAsia="Times New Roman"/>
          <w:noProof/>
          <w:szCs w:val="20"/>
        </w:rPr>
        <w:t>,</w:t>
      </w:r>
      <w:r w:rsidRPr="00542EB9">
        <w:rPr>
          <w:rFonts w:eastAsia="Times New Roman"/>
          <w:noProof/>
          <w:szCs w:val="20"/>
        </w:rPr>
        <w:t xml:space="preserve"> </w:t>
      </w:r>
      <w:r w:rsidR="006C0BF6" w:rsidRPr="00542EB9">
        <w:rPr>
          <w:rFonts w:eastAsia="Times New Roman"/>
          <w:noProof/>
          <w:szCs w:val="20"/>
        </w:rPr>
        <w:t>with</w:t>
      </w:r>
      <w:r w:rsidR="00B94910" w:rsidRPr="00542EB9">
        <w:rPr>
          <w:rFonts w:eastAsia="Times New Roman"/>
          <w:noProof/>
          <w:szCs w:val="20"/>
        </w:rPr>
        <w:t xml:space="preserve"> the risk of</w:t>
      </w:r>
      <w:r w:rsidRPr="00542EB9">
        <w:rPr>
          <w:rFonts w:eastAsia="Times New Roman"/>
          <w:noProof/>
          <w:szCs w:val="20"/>
        </w:rPr>
        <w:t xml:space="preserve"> duplication of efforts and missed opportunities to address and eliminate inefficiencies</w:t>
      </w:r>
      <w:r w:rsidR="00A43D95" w:rsidRPr="00542EB9">
        <w:rPr>
          <w:rFonts w:eastAsia="Times New Roman"/>
          <w:noProof/>
          <w:szCs w:val="20"/>
        </w:rPr>
        <w:t xml:space="preserve"> present. </w:t>
      </w:r>
      <w:r w:rsidR="003F5EAB" w:rsidRPr="00542EB9">
        <w:rPr>
          <w:rFonts w:eastAsia="Times New Roman"/>
          <w:noProof/>
          <w:szCs w:val="20"/>
        </w:rPr>
        <w:t xml:space="preserve">This </w:t>
      </w:r>
      <w:r w:rsidR="00A43D95" w:rsidRPr="00542EB9">
        <w:rPr>
          <w:rFonts w:eastAsia="Times New Roman"/>
          <w:noProof/>
          <w:szCs w:val="20"/>
        </w:rPr>
        <w:t>is due to lower i</w:t>
      </w:r>
      <w:r w:rsidR="003D13BA" w:rsidRPr="00542EB9">
        <w:rPr>
          <w:rFonts w:eastAsia="Times New Roman"/>
          <w:noProof/>
          <w:szCs w:val="20"/>
        </w:rPr>
        <w:t>ntensity</w:t>
      </w:r>
      <w:r w:rsidR="00A43D95" w:rsidRPr="00542EB9">
        <w:rPr>
          <w:rFonts w:eastAsia="Times New Roman"/>
          <w:noProof/>
          <w:szCs w:val="20"/>
        </w:rPr>
        <w:t xml:space="preserve"> </w:t>
      </w:r>
      <w:r w:rsidR="003D13BA" w:rsidRPr="00542EB9">
        <w:rPr>
          <w:rFonts w:eastAsia="Times New Roman"/>
          <w:noProof/>
          <w:szCs w:val="20"/>
        </w:rPr>
        <w:t>coordination between the separately managed</w:t>
      </w:r>
      <w:r w:rsidR="005B4302" w:rsidRPr="00542EB9">
        <w:rPr>
          <w:rFonts w:eastAsia="Times New Roman"/>
          <w:noProof/>
          <w:szCs w:val="20"/>
        </w:rPr>
        <w:t xml:space="preserve"> programmes</w:t>
      </w:r>
      <w:r w:rsidRPr="00542EB9">
        <w:rPr>
          <w:rFonts w:eastAsia="Times New Roman"/>
          <w:noProof/>
          <w:szCs w:val="20"/>
        </w:rPr>
        <w:t xml:space="preserve"> and instruments</w:t>
      </w:r>
      <w:r w:rsidR="005B4302" w:rsidRPr="00542EB9">
        <w:rPr>
          <w:rFonts w:eastAsia="Times New Roman"/>
          <w:noProof/>
          <w:szCs w:val="20"/>
        </w:rPr>
        <w:t>, which</w:t>
      </w:r>
      <w:r w:rsidRPr="00542EB9">
        <w:rPr>
          <w:rFonts w:eastAsia="Times New Roman"/>
          <w:noProof/>
          <w:szCs w:val="20"/>
        </w:rPr>
        <w:t xml:space="preserve"> may be working towards similar objectives</w:t>
      </w:r>
      <w:r w:rsidR="00752B93" w:rsidRPr="00542EB9">
        <w:rPr>
          <w:rFonts w:eastAsia="Times New Roman"/>
          <w:noProof/>
          <w:szCs w:val="20"/>
        </w:rPr>
        <w:t xml:space="preserve"> and similar activities.</w:t>
      </w:r>
      <w:r w:rsidRPr="00542EB9">
        <w:rPr>
          <w:rFonts w:eastAsia="Times New Roman"/>
          <w:noProof/>
          <w:szCs w:val="20"/>
        </w:rPr>
        <w:t xml:space="preserve"> </w:t>
      </w:r>
      <w:r w:rsidR="00001A89" w:rsidRPr="00542EB9">
        <w:rPr>
          <w:rFonts w:eastAsia="Times New Roman"/>
          <w:noProof/>
          <w:szCs w:val="20"/>
        </w:rPr>
        <w:t>T</w:t>
      </w:r>
      <w:r w:rsidRPr="00542EB9">
        <w:rPr>
          <w:rFonts w:eastAsia="Times New Roman"/>
          <w:noProof/>
          <w:szCs w:val="20"/>
        </w:rPr>
        <w:t>he complexity of the funding landscape, with often overlapping objectives and eligible actions</w:t>
      </w:r>
      <w:r w:rsidR="00001A89" w:rsidRPr="00542EB9">
        <w:rPr>
          <w:rFonts w:eastAsia="Times New Roman"/>
          <w:noProof/>
          <w:szCs w:val="20"/>
        </w:rPr>
        <w:t xml:space="preserve"> also</w:t>
      </w:r>
      <w:r w:rsidRPr="00542EB9">
        <w:rPr>
          <w:rFonts w:eastAsia="Times New Roman"/>
          <w:noProof/>
          <w:szCs w:val="20"/>
        </w:rPr>
        <w:t xml:space="preserve"> create confusion for the beneficiaries, putting at risk the optimal use of the funding opportunities.</w:t>
      </w:r>
    </w:p>
    <w:p w14:paraId="562A3E0F" w14:textId="30A1D216" w:rsidR="007E0AED" w:rsidRPr="00542EB9" w:rsidRDefault="007E0AED" w:rsidP="007E0AED">
      <w:pPr>
        <w:rPr>
          <w:rFonts w:eastAsia="Times New Roman"/>
          <w:noProof/>
          <w:szCs w:val="20"/>
        </w:rPr>
      </w:pPr>
      <w:r w:rsidRPr="00542EB9">
        <w:rPr>
          <w:rFonts w:eastAsia="Times New Roman"/>
          <w:noProof/>
          <w:szCs w:val="20"/>
        </w:rPr>
        <w:t>In the baseline, t</w:t>
      </w:r>
      <w:r w:rsidR="00A144B9" w:rsidRPr="00542EB9">
        <w:rPr>
          <w:rFonts w:eastAsia="Times New Roman"/>
          <w:noProof/>
          <w:szCs w:val="20"/>
        </w:rPr>
        <w:t>h</w:t>
      </w:r>
      <w:r w:rsidRPr="00542EB9">
        <w:rPr>
          <w:rFonts w:eastAsia="Times New Roman"/>
          <w:noProof/>
          <w:szCs w:val="20"/>
        </w:rPr>
        <w:t xml:space="preserve">e administrative burden linked with different administrative requirements of different actions is limited since activities target specific </w:t>
      </w:r>
      <w:r w:rsidR="00C872D0" w:rsidRPr="00542EB9">
        <w:rPr>
          <w:rFonts w:eastAsia="Times New Roman"/>
          <w:noProof/>
          <w:szCs w:val="20"/>
        </w:rPr>
        <w:t xml:space="preserve">policy domains and </w:t>
      </w:r>
      <w:r w:rsidRPr="00542EB9">
        <w:rPr>
          <w:rFonts w:eastAsia="Times New Roman"/>
          <w:noProof/>
          <w:szCs w:val="20"/>
        </w:rPr>
        <w:t>stakeholder groups, and most beneficiaries apply for one activity only.</w:t>
      </w:r>
    </w:p>
    <w:p w14:paraId="5D1739D4" w14:textId="186F6B8F" w:rsidR="00F56A50" w:rsidRPr="00542EB9" w:rsidRDefault="00F56A50" w:rsidP="007E0AED">
      <w:pPr>
        <w:rPr>
          <w:rFonts w:eastAsia="Times New Roman"/>
          <w:noProof/>
          <w:szCs w:val="20"/>
        </w:rPr>
      </w:pPr>
      <w:r w:rsidRPr="00542EB9">
        <w:rPr>
          <w:rFonts w:eastAsia="Times New Roman"/>
          <w:noProof/>
          <w:szCs w:val="20"/>
        </w:rPr>
        <w:t>The baseline</w:t>
      </w:r>
      <w:r w:rsidRPr="00542EB9" w:rsidDel="00844FD9">
        <w:rPr>
          <w:rFonts w:eastAsia="Times New Roman"/>
          <w:noProof/>
          <w:szCs w:val="20"/>
        </w:rPr>
        <w:t xml:space="preserve"> </w:t>
      </w:r>
      <w:r w:rsidRPr="00542EB9">
        <w:rPr>
          <w:rFonts w:eastAsia="Times New Roman"/>
          <w:noProof/>
          <w:szCs w:val="20"/>
        </w:rPr>
        <w:t>hold</w:t>
      </w:r>
      <w:r w:rsidR="00844FD9" w:rsidRPr="00542EB9">
        <w:rPr>
          <w:rFonts w:eastAsia="Times New Roman"/>
          <w:noProof/>
          <w:szCs w:val="20"/>
        </w:rPr>
        <w:t>s minimal</w:t>
      </w:r>
      <w:r w:rsidRPr="00542EB9">
        <w:rPr>
          <w:rFonts w:eastAsia="Times New Roman"/>
          <w:noProof/>
          <w:szCs w:val="20"/>
        </w:rPr>
        <w:t xml:space="preserve"> compliance, enforcement or direct costs. Participation in, use of, or engagement with SMP activities is entirely voluntary or/and in the case of national authorities, part of their normal responsibilities (business-as-usual). The same is true for the Customs, Fiscalis and Union Anti-Fraud programmes grant activities. Any possible indirect costs relate to difficulties of accessing fragmented services provided across different policy areas.  National authorities may have indirect administrative burden associated with applying for and receiving EU funds, as well as their implementation.</w:t>
      </w:r>
    </w:p>
    <w:p w14:paraId="2D9BA3B6" w14:textId="67B20F0C" w:rsidR="007E0AED" w:rsidRPr="00542EB9" w:rsidRDefault="00E916A5" w:rsidP="007E0AED">
      <w:pPr>
        <w:rPr>
          <w:rFonts w:eastAsia="Times New Roman"/>
          <w:noProof/>
          <w:szCs w:val="20"/>
        </w:rPr>
      </w:pPr>
      <w:r w:rsidRPr="00542EB9">
        <w:rPr>
          <w:rFonts w:eastAsia="Times New Roman"/>
          <w:noProof/>
          <w:szCs w:val="20"/>
        </w:rPr>
        <w:t xml:space="preserve">Considering that </w:t>
      </w:r>
      <w:r w:rsidR="007E0AED" w:rsidRPr="00542EB9">
        <w:rPr>
          <w:rFonts w:eastAsia="Times New Roman"/>
          <w:noProof/>
          <w:szCs w:val="20"/>
        </w:rPr>
        <w:t xml:space="preserve">the role of the </w:t>
      </w:r>
      <w:r w:rsidRPr="00542EB9">
        <w:rPr>
          <w:rFonts w:eastAsia="Times New Roman"/>
          <w:noProof/>
          <w:szCs w:val="20"/>
        </w:rPr>
        <w:t xml:space="preserve">concerned </w:t>
      </w:r>
      <w:r w:rsidR="007E0AED" w:rsidRPr="00542EB9">
        <w:rPr>
          <w:rFonts w:eastAsia="Times New Roman"/>
          <w:noProof/>
          <w:szCs w:val="20"/>
        </w:rPr>
        <w:t>programmes is mainly</w:t>
      </w:r>
      <w:r w:rsidRPr="00542EB9">
        <w:rPr>
          <w:rFonts w:eastAsia="Times New Roman"/>
          <w:noProof/>
          <w:szCs w:val="20"/>
        </w:rPr>
        <w:t xml:space="preserve"> to</w:t>
      </w:r>
      <w:r w:rsidR="007E0AED" w:rsidRPr="00542EB9">
        <w:rPr>
          <w:rFonts w:eastAsia="Times New Roman"/>
          <w:noProof/>
          <w:szCs w:val="20"/>
        </w:rPr>
        <w:t xml:space="preserve"> support the </w:t>
      </w:r>
      <w:r w:rsidR="00DD25D3" w:rsidRPr="00542EB9">
        <w:rPr>
          <w:rFonts w:eastAsia="Times New Roman"/>
          <w:noProof/>
          <w:szCs w:val="20"/>
        </w:rPr>
        <w:t>related</w:t>
      </w:r>
      <w:r w:rsidR="007E0AED" w:rsidRPr="00542EB9">
        <w:rPr>
          <w:rFonts w:eastAsia="Times New Roman"/>
          <w:noProof/>
          <w:szCs w:val="20"/>
        </w:rPr>
        <w:t xml:space="preserve"> policies and Union law, they </w:t>
      </w:r>
      <w:r w:rsidR="00CB68BE" w:rsidRPr="00542EB9">
        <w:rPr>
          <w:rFonts w:eastAsia="Times New Roman"/>
          <w:noProof/>
          <w:szCs w:val="20"/>
        </w:rPr>
        <w:t xml:space="preserve">can </w:t>
      </w:r>
      <w:r w:rsidR="007E0AED" w:rsidRPr="00542EB9">
        <w:rPr>
          <w:rFonts w:eastAsia="Times New Roman"/>
          <w:noProof/>
          <w:szCs w:val="20"/>
        </w:rPr>
        <w:t xml:space="preserve">generate impact only to the extent </w:t>
      </w:r>
      <w:r w:rsidR="00CB68BE" w:rsidRPr="00542EB9">
        <w:rPr>
          <w:rFonts w:eastAsia="Times New Roman"/>
          <w:noProof/>
          <w:szCs w:val="20"/>
        </w:rPr>
        <w:t xml:space="preserve">to which the </w:t>
      </w:r>
      <w:r w:rsidR="007E0AED" w:rsidRPr="00542EB9">
        <w:rPr>
          <w:rFonts w:eastAsia="Times New Roman"/>
          <w:noProof/>
          <w:szCs w:val="20"/>
        </w:rPr>
        <w:t xml:space="preserve">wider policy </w:t>
      </w:r>
      <w:r w:rsidR="00CB68BE" w:rsidRPr="00542EB9">
        <w:rPr>
          <w:rFonts w:eastAsia="Times New Roman"/>
          <w:noProof/>
          <w:szCs w:val="20"/>
        </w:rPr>
        <w:t xml:space="preserve">ambition </w:t>
      </w:r>
      <w:r w:rsidR="007E0AED" w:rsidRPr="00542EB9">
        <w:rPr>
          <w:rFonts w:eastAsia="Times New Roman"/>
          <w:noProof/>
          <w:szCs w:val="20"/>
        </w:rPr>
        <w:t>does so</w:t>
      </w:r>
      <w:r w:rsidR="00143462" w:rsidRPr="00542EB9">
        <w:rPr>
          <w:rFonts w:eastAsia="Times New Roman"/>
          <w:noProof/>
          <w:szCs w:val="20"/>
        </w:rPr>
        <w:t xml:space="preserve"> and proportionately to the extent to which the programmes are eng</w:t>
      </w:r>
      <w:r w:rsidR="00065EC2" w:rsidRPr="00542EB9">
        <w:rPr>
          <w:rFonts w:eastAsia="Times New Roman"/>
          <w:noProof/>
          <w:szCs w:val="20"/>
        </w:rPr>
        <w:t>aged</w:t>
      </w:r>
      <w:r w:rsidR="007E0AED" w:rsidRPr="00542EB9">
        <w:rPr>
          <w:rFonts w:eastAsia="Times New Roman"/>
          <w:noProof/>
          <w:szCs w:val="20"/>
        </w:rPr>
        <w:t xml:space="preserve">. </w:t>
      </w:r>
    </w:p>
    <w:p w14:paraId="7EC9C2E1" w14:textId="5F51D28E" w:rsidR="007E0AED" w:rsidRPr="00542EB9" w:rsidRDefault="007E0AED" w:rsidP="007E0AED">
      <w:pPr>
        <w:rPr>
          <w:rFonts w:eastAsia="Times New Roman"/>
          <w:noProof/>
          <w:szCs w:val="20"/>
        </w:rPr>
      </w:pPr>
      <w:r w:rsidRPr="00542EB9">
        <w:rPr>
          <w:rFonts w:eastAsia="Times New Roman"/>
          <w:noProof/>
          <w:szCs w:val="20"/>
        </w:rPr>
        <w:t xml:space="preserve">The baseline </w:t>
      </w:r>
      <w:r w:rsidR="009A6AFA" w:rsidRPr="00542EB9">
        <w:rPr>
          <w:rFonts w:eastAsia="Times New Roman"/>
          <w:noProof/>
          <w:szCs w:val="20"/>
        </w:rPr>
        <w:t xml:space="preserve">landscape </w:t>
      </w:r>
      <w:r w:rsidRPr="00542EB9">
        <w:rPr>
          <w:rFonts w:eastAsia="Times New Roman"/>
          <w:noProof/>
          <w:szCs w:val="20"/>
        </w:rPr>
        <w:t>provide</w:t>
      </w:r>
      <w:r w:rsidR="009A6AFA" w:rsidRPr="00542EB9">
        <w:rPr>
          <w:rFonts w:eastAsia="Times New Roman"/>
          <w:noProof/>
          <w:szCs w:val="20"/>
        </w:rPr>
        <w:t>s</w:t>
      </w:r>
      <w:r w:rsidRPr="00542EB9">
        <w:rPr>
          <w:rFonts w:eastAsia="Times New Roman"/>
          <w:noProof/>
          <w:szCs w:val="20"/>
        </w:rPr>
        <w:t xml:space="preserve"> </w:t>
      </w:r>
      <w:r w:rsidR="0043151C" w:rsidRPr="00542EB9">
        <w:rPr>
          <w:rFonts w:eastAsia="Times New Roman"/>
          <w:noProof/>
          <w:szCs w:val="20"/>
        </w:rPr>
        <w:t xml:space="preserve">more </w:t>
      </w:r>
      <w:r w:rsidRPr="00542EB9">
        <w:rPr>
          <w:rFonts w:eastAsia="Times New Roman"/>
          <w:b/>
          <w:noProof/>
          <w:szCs w:val="20"/>
        </w:rPr>
        <w:t>predictability</w:t>
      </w:r>
      <w:r w:rsidRPr="00542EB9">
        <w:rPr>
          <w:rFonts w:eastAsia="Times New Roman"/>
          <w:noProof/>
          <w:szCs w:val="20"/>
        </w:rPr>
        <w:t xml:space="preserve"> </w:t>
      </w:r>
      <w:r w:rsidR="0043151C" w:rsidRPr="00542EB9">
        <w:rPr>
          <w:rFonts w:eastAsia="Times New Roman"/>
          <w:noProof/>
          <w:szCs w:val="20"/>
        </w:rPr>
        <w:t xml:space="preserve">but </w:t>
      </w:r>
      <w:r w:rsidRPr="00542EB9">
        <w:rPr>
          <w:rFonts w:eastAsia="Times New Roman"/>
          <w:noProof/>
          <w:szCs w:val="20"/>
        </w:rPr>
        <w:t xml:space="preserve">modest </w:t>
      </w:r>
      <w:r w:rsidRPr="00542EB9">
        <w:rPr>
          <w:rFonts w:eastAsia="Times New Roman"/>
          <w:b/>
          <w:noProof/>
          <w:szCs w:val="20"/>
        </w:rPr>
        <w:t>flexibility</w:t>
      </w:r>
      <w:r w:rsidRPr="00542EB9">
        <w:rPr>
          <w:rFonts w:eastAsia="Times New Roman"/>
          <w:noProof/>
          <w:szCs w:val="20"/>
        </w:rPr>
        <w:t xml:space="preserve"> in the allocation of funding over the seven years of the programming period. Transfers between budget lines would not require budgetary authority agreement</w:t>
      </w:r>
      <w:r w:rsidR="00B05935" w:rsidRPr="00542EB9">
        <w:rPr>
          <w:rFonts w:eastAsia="Times New Roman"/>
          <w:noProof/>
          <w:szCs w:val="20"/>
        </w:rPr>
        <w:t xml:space="preserve"> within the SMP</w:t>
      </w:r>
      <w:r w:rsidRPr="00542EB9">
        <w:rPr>
          <w:rFonts w:eastAsia="Times New Roman"/>
          <w:noProof/>
          <w:szCs w:val="20"/>
        </w:rPr>
        <w:t xml:space="preserve">, yet these transfers are likely to remain modest in size, and transfers between the different constitutive programmes would continue to require budgetary authority agreement. </w:t>
      </w:r>
      <w:r w:rsidR="008171FC" w:rsidRPr="00542EB9">
        <w:rPr>
          <w:rFonts w:eastAsia="Times New Roman"/>
          <w:noProof/>
          <w:szCs w:val="20"/>
        </w:rPr>
        <w:t xml:space="preserve">Driven </w:t>
      </w:r>
      <w:r w:rsidR="005A2F08" w:rsidRPr="00542EB9">
        <w:rPr>
          <w:rFonts w:eastAsia="Times New Roman"/>
          <w:noProof/>
          <w:szCs w:val="20"/>
        </w:rPr>
        <w:t xml:space="preserve">primarily </w:t>
      </w:r>
      <w:r w:rsidR="00AB0A60" w:rsidRPr="00542EB9">
        <w:rPr>
          <w:rFonts w:eastAsia="Times New Roman"/>
          <w:noProof/>
          <w:szCs w:val="20"/>
        </w:rPr>
        <w:t>by the Commission corporate rule</w:t>
      </w:r>
      <w:r w:rsidR="005A2F08" w:rsidRPr="00542EB9">
        <w:rPr>
          <w:rFonts w:eastAsia="Times New Roman"/>
          <w:noProof/>
          <w:szCs w:val="20"/>
        </w:rPr>
        <w:t>s</w:t>
      </w:r>
      <w:r w:rsidR="00AB0A60" w:rsidRPr="00542EB9">
        <w:rPr>
          <w:rFonts w:eastAsia="Times New Roman"/>
          <w:noProof/>
          <w:szCs w:val="20"/>
        </w:rPr>
        <w:t xml:space="preserve">, </w:t>
      </w:r>
      <w:r w:rsidR="001E1AF6" w:rsidRPr="00542EB9">
        <w:rPr>
          <w:rFonts w:eastAsia="Times New Roman"/>
          <w:noProof/>
          <w:szCs w:val="20"/>
        </w:rPr>
        <w:t>f</w:t>
      </w:r>
      <w:r w:rsidR="008171FC" w:rsidRPr="00542EB9">
        <w:rPr>
          <w:rFonts w:eastAsia="Times New Roman"/>
          <w:noProof/>
          <w:szCs w:val="20"/>
        </w:rPr>
        <w:t>urther</w:t>
      </w:r>
      <w:r w:rsidRPr="00542EB9">
        <w:rPr>
          <w:rFonts w:eastAsia="Times New Roman"/>
          <w:noProof/>
          <w:szCs w:val="20"/>
        </w:rPr>
        <w:t xml:space="preserve"> </w:t>
      </w:r>
      <w:r w:rsidRPr="00542EB9">
        <w:rPr>
          <w:rFonts w:eastAsia="Times New Roman"/>
          <w:b/>
          <w:noProof/>
          <w:szCs w:val="20"/>
        </w:rPr>
        <w:t>simplifications</w:t>
      </w:r>
      <w:r w:rsidRPr="00542EB9">
        <w:rPr>
          <w:rFonts w:eastAsia="Times New Roman"/>
          <w:noProof/>
          <w:szCs w:val="20"/>
        </w:rPr>
        <w:t xml:space="preserve"> in programme management and administrations, as well as in the monitoring and reporting</w:t>
      </w:r>
      <w:r w:rsidR="00C471AE" w:rsidRPr="00542EB9">
        <w:rPr>
          <w:rFonts w:eastAsia="Times New Roman"/>
          <w:noProof/>
          <w:szCs w:val="20"/>
        </w:rPr>
        <w:t xml:space="preserve"> </w:t>
      </w:r>
      <w:r w:rsidR="006708DF" w:rsidRPr="00542EB9">
        <w:rPr>
          <w:rFonts w:eastAsia="Times New Roman"/>
          <w:noProof/>
          <w:szCs w:val="20"/>
        </w:rPr>
        <w:t xml:space="preserve">are </w:t>
      </w:r>
      <w:r w:rsidR="001A0093" w:rsidRPr="00542EB9">
        <w:rPr>
          <w:rFonts w:eastAsia="Times New Roman"/>
          <w:noProof/>
          <w:szCs w:val="20"/>
        </w:rPr>
        <w:t>very limited</w:t>
      </w:r>
      <w:r w:rsidRPr="00542EB9">
        <w:rPr>
          <w:rFonts w:eastAsia="Times New Roman"/>
          <w:noProof/>
          <w:szCs w:val="20"/>
        </w:rPr>
        <w:t xml:space="preserve">. </w:t>
      </w:r>
    </w:p>
    <w:p w14:paraId="1D462FFF" w14:textId="6B4EAA22" w:rsidR="007E0AED" w:rsidRPr="00542EB9" w:rsidRDefault="009C6B1A" w:rsidP="007E0AED">
      <w:pPr>
        <w:rPr>
          <w:rFonts w:eastAsia="Times New Roman"/>
          <w:noProof/>
        </w:rPr>
      </w:pPr>
      <w:r w:rsidRPr="00542EB9">
        <w:rPr>
          <w:rFonts w:eastAsia="Times New Roman"/>
          <w:noProof/>
        </w:rPr>
        <w:t>As indicated above, the baseline</w:t>
      </w:r>
      <w:r w:rsidR="006627FC" w:rsidRPr="00542EB9">
        <w:rPr>
          <w:rFonts w:eastAsia="Times New Roman"/>
          <w:noProof/>
        </w:rPr>
        <w:t xml:space="preserve"> is not designed to foster cross-policy</w:t>
      </w:r>
      <w:r w:rsidR="007E0AED" w:rsidRPr="00542EB9">
        <w:rPr>
          <w:rFonts w:eastAsia="Times New Roman"/>
          <w:noProof/>
        </w:rPr>
        <w:t xml:space="preserve"> </w:t>
      </w:r>
      <w:r w:rsidR="007E0AED" w:rsidRPr="00542EB9">
        <w:rPr>
          <w:rFonts w:eastAsia="Times New Roman"/>
          <w:b/>
          <w:noProof/>
        </w:rPr>
        <w:t>synergies</w:t>
      </w:r>
      <w:r w:rsidR="007E0AED" w:rsidRPr="00542EB9">
        <w:rPr>
          <w:rFonts w:eastAsia="Times New Roman"/>
          <w:noProof/>
        </w:rPr>
        <w:t>. Having four separate programmes mean</w:t>
      </w:r>
      <w:r w:rsidR="00626246" w:rsidRPr="00542EB9">
        <w:rPr>
          <w:rFonts w:eastAsia="Times New Roman"/>
          <w:noProof/>
        </w:rPr>
        <w:t>s</w:t>
      </w:r>
      <w:r w:rsidR="007E0AED" w:rsidRPr="00542EB9">
        <w:rPr>
          <w:rFonts w:eastAsia="Times New Roman"/>
          <w:noProof/>
        </w:rPr>
        <w:t xml:space="preserve"> that the activities financed by each of the programmes and pillars</w:t>
      </w:r>
      <w:r w:rsidR="00626246" w:rsidRPr="00542EB9">
        <w:rPr>
          <w:rFonts w:eastAsia="Times New Roman"/>
          <w:noProof/>
        </w:rPr>
        <w:t xml:space="preserve"> (within the SMP)</w:t>
      </w:r>
      <w:r w:rsidR="007E0AED" w:rsidRPr="00542EB9">
        <w:rPr>
          <w:rFonts w:eastAsia="Times New Roman"/>
          <w:noProof/>
        </w:rPr>
        <w:t xml:space="preserve"> </w:t>
      </w:r>
      <w:r w:rsidR="00626246" w:rsidRPr="00542EB9">
        <w:rPr>
          <w:rFonts w:eastAsia="Times New Roman"/>
          <w:noProof/>
        </w:rPr>
        <w:t xml:space="preserve">are </w:t>
      </w:r>
      <w:r w:rsidR="007E0AED" w:rsidRPr="00542EB9">
        <w:rPr>
          <w:rFonts w:eastAsia="Times New Roman"/>
          <w:noProof/>
        </w:rPr>
        <w:t xml:space="preserve">mostly implemented separately and with limited </w:t>
      </w:r>
      <w:r w:rsidR="00C01B32" w:rsidRPr="00542EB9">
        <w:rPr>
          <w:rFonts w:eastAsia="Times New Roman"/>
          <w:noProof/>
        </w:rPr>
        <w:t xml:space="preserve">regard </w:t>
      </w:r>
      <w:r w:rsidR="007E0AED" w:rsidRPr="00542EB9">
        <w:rPr>
          <w:rFonts w:eastAsia="Times New Roman"/>
          <w:noProof/>
        </w:rPr>
        <w:t>to activities financed by other programmes and pillars. Joint activities covering multiple pillars or programmes, for example in terms of training courses covering more than one policy area, joint procurement actions, common purchases of databases, joint studies, Eurobarometer and joint framework contracts or common IT projects</w:t>
      </w:r>
      <w:r w:rsidR="00A44D24" w:rsidRPr="00542EB9">
        <w:rPr>
          <w:rFonts w:eastAsia="Times New Roman"/>
          <w:noProof/>
        </w:rPr>
        <w:t>, are rare</w:t>
      </w:r>
      <w:r w:rsidR="007E0AED" w:rsidRPr="00542EB9">
        <w:rPr>
          <w:rFonts w:eastAsia="Times New Roman"/>
          <w:noProof/>
        </w:rPr>
        <w:t>.</w:t>
      </w:r>
    </w:p>
    <w:p w14:paraId="28ABFFA9" w14:textId="78EF1EB1" w:rsidR="007E0AED" w:rsidRPr="00542EB9" w:rsidRDefault="00416FB4" w:rsidP="007E0AED">
      <w:pPr>
        <w:rPr>
          <w:rFonts w:eastAsia="Times New Roman"/>
          <w:noProof/>
          <w:szCs w:val="20"/>
        </w:rPr>
      </w:pPr>
      <w:r w:rsidRPr="00542EB9">
        <w:rPr>
          <w:rFonts w:eastAsia="Times New Roman"/>
          <w:noProof/>
          <w:szCs w:val="20"/>
        </w:rPr>
        <w:t xml:space="preserve">At the same time, </w:t>
      </w:r>
      <w:r w:rsidR="009E7CD2" w:rsidRPr="00542EB9">
        <w:rPr>
          <w:rFonts w:eastAsia="Times New Roman"/>
          <w:noProof/>
          <w:szCs w:val="20"/>
        </w:rPr>
        <w:t xml:space="preserve">while the </w:t>
      </w:r>
      <w:r w:rsidR="00E53667" w:rsidRPr="00542EB9">
        <w:rPr>
          <w:rFonts w:eastAsia="Times New Roman"/>
          <w:noProof/>
          <w:szCs w:val="20"/>
        </w:rPr>
        <w:t>clea</w:t>
      </w:r>
      <w:r w:rsidR="00E964B3" w:rsidRPr="00542EB9">
        <w:rPr>
          <w:rFonts w:eastAsia="Times New Roman"/>
          <w:noProof/>
          <w:szCs w:val="20"/>
        </w:rPr>
        <w:t xml:space="preserve">rly defined and policy targeted </w:t>
      </w:r>
      <w:r w:rsidRPr="00542EB9">
        <w:rPr>
          <w:rFonts w:eastAsia="Times New Roman"/>
          <w:noProof/>
          <w:szCs w:val="20"/>
        </w:rPr>
        <w:t xml:space="preserve">separate programmes and pillars </w:t>
      </w:r>
      <w:r w:rsidR="00AB6E55" w:rsidRPr="00542EB9">
        <w:rPr>
          <w:rFonts w:eastAsia="Times New Roman"/>
          <w:noProof/>
          <w:szCs w:val="20"/>
        </w:rPr>
        <w:t>create</w:t>
      </w:r>
      <w:r w:rsidR="009E7CD2" w:rsidRPr="00542EB9">
        <w:rPr>
          <w:rFonts w:eastAsia="Times New Roman"/>
          <w:noProof/>
          <w:szCs w:val="20"/>
        </w:rPr>
        <w:t xml:space="preserve"> </w:t>
      </w:r>
      <w:r w:rsidR="00B30B7B" w:rsidRPr="00542EB9">
        <w:rPr>
          <w:rFonts w:eastAsia="Times New Roman"/>
          <w:noProof/>
          <w:szCs w:val="20"/>
        </w:rPr>
        <w:t>fragmented programme landscape, it also allows more and t</w:t>
      </w:r>
      <w:r w:rsidR="00E82FF4" w:rsidRPr="00542EB9">
        <w:rPr>
          <w:rFonts w:eastAsia="Times New Roman"/>
          <w:noProof/>
          <w:szCs w:val="20"/>
        </w:rPr>
        <w:t xml:space="preserve">argeted </w:t>
      </w:r>
      <w:r w:rsidR="00B30B7B" w:rsidRPr="00542EB9">
        <w:rPr>
          <w:rFonts w:eastAsia="Times New Roman"/>
          <w:noProof/>
          <w:szCs w:val="20"/>
        </w:rPr>
        <w:t xml:space="preserve">visibility </w:t>
      </w:r>
      <w:r w:rsidR="00E82FF4" w:rsidRPr="00542EB9">
        <w:rPr>
          <w:rFonts w:eastAsia="Times New Roman"/>
          <w:noProof/>
          <w:szCs w:val="20"/>
        </w:rPr>
        <w:t xml:space="preserve">(addressed towards the narrower </w:t>
      </w:r>
      <w:r w:rsidR="00120FE1" w:rsidRPr="00542EB9">
        <w:rPr>
          <w:rFonts w:eastAsia="Times New Roman"/>
          <w:noProof/>
          <w:szCs w:val="20"/>
        </w:rPr>
        <w:t xml:space="preserve">target groups) </w:t>
      </w:r>
      <w:r w:rsidR="00B30B7B" w:rsidRPr="00542EB9">
        <w:rPr>
          <w:rFonts w:eastAsia="Times New Roman"/>
          <w:noProof/>
          <w:szCs w:val="20"/>
        </w:rPr>
        <w:t>for the individual programmes</w:t>
      </w:r>
      <w:r w:rsidR="00DF24B3" w:rsidRPr="00542EB9">
        <w:rPr>
          <w:rFonts w:eastAsia="Times New Roman"/>
          <w:noProof/>
          <w:szCs w:val="20"/>
        </w:rPr>
        <w:t xml:space="preserve">. However, </w:t>
      </w:r>
      <w:r w:rsidR="007E0AED" w:rsidRPr="00542EB9">
        <w:rPr>
          <w:rFonts w:eastAsia="Times New Roman"/>
          <w:noProof/>
          <w:szCs w:val="20"/>
        </w:rPr>
        <w:t xml:space="preserve">it </w:t>
      </w:r>
      <w:r w:rsidR="00DF24B3" w:rsidRPr="00542EB9">
        <w:rPr>
          <w:rFonts w:eastAsia="Times New Roman"/>
          <w:noProof/>
          <w:szCs w:val="20"/>
        </w:rPr>
        <w:t xml:space="preserve">also </w:t>
      </w:r>
      <w:r w:rsidR="007E0AED" w:rsidRPr="00542EB9">
        <w:rPr>
          <w:rFonts w:eastAsia="Times New Roman"/>
          <w:noProof/>
          <w:szCs w:val="20"/>
        </w:rPr>
        <w:t>includes the main risk to miss opportunities and exploit potential synergies between policy areas or respond flexibly to changing circumstances.</w:t>
      </w:r>
    </w:p>
    <w:p w14:paraId="697BCECF" w14:textId="4D476ECF" w:rsidR="007E0AED" w:rsidRPr="00542EB9" w:rsidRDefault="007E0AED" w:rsidP="007E0AED">
      <w:pPr>
        <w:rPr>
          <w:rFonts w:eastAsia="Times New Roman"/>
          <w:noProof/>
          <w:szCs w:val="20"/>
        </w:rPr>
      </w:pPr>
      <w:r w:rsidRPr="00542EB9">
        <w:rPr>
          <w:rFonts w:eastAsia="Times New Roman"/>
          <w:b/>
          <w:bCs/>
          <w:noProof/>
          <w:szCs w:val="20"/>
        </w:rPr>
        <w:t>In conclusion</w:t>
      </w:r>
      <w:r w:rsidRPr="00542EB9">
        <w:rPr>
          <w:rFonts w:eastAsia="Times New Roman"/>
          <w:noProof/>
          <w:szCs w:val="20"/>
        </w:rPr>
        <w:t>, the baseline</w:t>
      </w:r>
      <w:r w:rsidRPr="00542EB9" w:rsidDel="005E1D23">
        <w:rPr>
          <w:rFonts w:eastAsia="Times New Roman"/>
          <w:noProof/>
          <w:szCs w:val="20"/>
        </w:rPr>
        <w:t xml:space="preserve"> </w:t>
      </w:r>
      <w:r w:rsidRPr="00542EB9">
        <w:rPr>
          <w:rFonts w:eastAsia="Times New Roman"/>
          <w:noProof/>
          <w:szCs w:val="20"/>
        </w:rPr>
        <w:t>fall</w:t>
      </w:r>
      <w:r w:rsidR="005E1D23" w:rsidRPr="00542EB9">
        <w:rPr>
          <w:rFonts w:eastAsia="Times New Roman"/>
          <w:noProof/>
          <w:szCs w:val="20"/>
        </w:rPr>
        <w:t>s</w:t>
      </w:r>
      <w:r w:rsidRPr="00542EB9">
        <w:rPr>
          <w:rFonts w:eastAsia="Times New Roman"/>
          <w:noProof/>
          <w:szCs w:val="20"/>
        </w:rPr>
        <w:t xml:space="preserve"> short of the level of ambition identified for the Commission Communication on ‘The road to the next Multiannual Financial Framework’, which seeks to promote greater coherence, flexibility and responsiveness in the EU’s financial framework. </w:t>
      </w:r>
    </w:p>
    <w:p w14:paraId="6FAA2529" w14:textId="614D2283" w:rsidR="00060E18" w:rsidRPr="00542EB9" w:rsidDel="00060E18" w:rsidRDefault="763357CF" w:rsidP="5DD21FD3">
      <w:pPr>
        <w:pStyle w:val="Heading2"/>
        <w:rPr>
          <w:noProof/>
        </w:rPr>
      </w:pPr>
      <w:bookmarkStart w:id="41" w:name="_Toc191909137"/>
      <w:bookmarkStart w:id="42" w:name="_Toc198549050"/>
      <w:r w:rsidRPr="00542EB9">
        <w:rPr>
          <w:noProof/>
        </w:rPr>
        <w:t>Description of the policy options</w:t>
      </w:r>
      <w:bookmarkEnd w:id="41"/>
      <w:bookmarkEnd w:id="42"/>
    </w:p>
    <w:p w14:paraId="235FD5F0" w14:textId="43F9DC1F" w:rsidR="000B531B" w:rsidRPr="00542EB9" w:rsidRDefault="005B21A3" w:rsidP="000B531B">
      <w:pPr>
        <w:rPr>
          <w:noProof/>
        </w:rPr>
      </w:pPr>
      <w:r w:rsidRPr="00542EB9">
        <w:rPr>
          <w:noProof/>
        </w:rPr>
        <w:t>Since the baseline</w:t>
      </w:r>
      <w:r w:rsidR="00AC563C" w:rsidRPr="00542EB9">
        <w:rPr>
          <w:noProof/>
        </w:rPr>
        <w:t xml:space="preserve"> </w:t>
      </w:r>
      <w:r w:rsidR="00C34C64" w:rsidRPr="00542EB9">
        <w:rPr>
          <w:noProof/>
        </w:rPr>
        <w:t xml:space="preserve">sets </w:t>
      </w:r>
      <w:r w:rsidR="00AC563C" w:rsidRPr="00542EB9">
        <w:rPr>
          <w:noProof/>
        </w:rPr>
        <w:t xml:space="preserve">the continuation </w:t>
      </w:r>
      <w:r w:rsidR="00D1662A" w:rsidRPr="00542EB9">
        <w:rPr>
          <w:noProof/>
        </w:rPr>
        <w:t xml:space="preserve">of activities financed by the MFF 2021-2027, the </w:t>
      </w:r>
      <w:r w:rsidR="00AE5854" w:rsidRPr="00542EB9">
        <w:rPr>
          <w:noProof/>
        </w:rPr>
        <w:t xml:space="preserve">identified </w:t>
      </w:r>
      <w:r w:rsidR="001D4C63" w:rsidRPr="00542EB9">
        <w:rPr>
          <w:noProof/>
        </w:rPr>
        <w:t>two</w:t>
      </w:r>
      <w:r w:rsidR="00AE5854" w:rsidRPr="00542EB9">
        <w:rPr>
          <w:noProof/>
        </w:rPr>
        <w:t xml:space="preserve"> </w:t>
      </w:r>
      <w:r w:rsidR="00D1662A" w:rsidRPr="00542EB9">
        <w:rPr>
          <w:noProof/>
        </w:rPr>
        <w:t xml:space="preserve">policy options focus on maximising the effectiveness and efficiency of </w:t>
      </w:r>
      <w:r w:rsidR="000F37DA" w:rsidRPr="00542EB9">
        <w:rPr>
          <w:noProof/>
        </w:rPr>
        <w:t xml:space="preserve">the funding structure to </w:t>
      </w:r>
      <w:r w:rsidR="00AE5854" w:rsidRPr="00542EB9">
        <w:rPr>
          <w:noProof/>
        </w:rPr>
        <w:t xml:space="preserve">foster improved horizontal consistency and complementarity and achieve more flexibilities and synergies. They are built </w:t>
      </w:r>
      <w:r w:rsidR="00435CF3" w:rsidRPr="00542EB9">
        <w:rPr>
          <w:noProof/>
        </w:rPr>
        <w:t>around different level of ambitions concerning the integration of the current funding instruments</w:t>
      </w:r>
      <w:r w:rsidR="001F233F" w:rsidRPr="00542EB9">
        <w:rPr>
          <w:noProof/>
        </w:rPr>
        <w:t xml:space="preserve"> and </w:t>
      </w:r>
      <w:r w:rsidR="001C2F35" w:rsidRPr="00542EB9">
        <w:rPr>
          <w:noProof/>
        </w:rPr>
        <w:t>are described primarily in comparison to the baseline</w:t>
      </w:r>
      <w:r w:rsidR="00435CF3" w:rsidRPr="00542EB9">
        <w:rPr>
          <w:noProof/>
        </w:rPr>
        <w:t>.</w:t>
      </w:r>
      <w:r w:rsidR="000B531B" w:rsidRPr="00542EB9">
        <w:rPr>
          <w:noProof/>
        </w:rPr>
        <w:t xml:space="preserve"> </w:t>
      </w:r>
    </w:p>
    <w:p w14:paraId="7F31126C" w14:textId="14674830" w:rsidR="000B531B" w:rsidRPr="00542EB9" w:rsidRDefault="000B531B" w:rsidP="000B531B">
      <w:pPr>
        <w:rPr>
          <w:noProof/>
        </w:rPr>
      </w:pPr>
      <w:r w:rsidRPr="00542EB9">
        <w:rPr>
          <w:noProof/>
        </w:rPr>
        <w:t xml:space="preserve">To be noted that </w:t>
      </w:r>
      <w:r w:rsidR="003E15DE" w:rsidRPr="00542EB9">
        <w:rPr>
          <w:noProof/>
        </w:rPr>
        <w:t>compared to the</w:t>
      </w:r>
      <w:r w:rsidR="00805ABB" w:rsidRPr="00542EB9">
        <w:rPr>
          <w:noProof/>
        </w:rPr>
        <w:t xml:space="preserve"> baseline</w:t>
      </w:r>
      <w:r w:rsidR="003E15DE" w:rsidRPr="00542EB9">
        <w:rPr>
          <w:noProof/>
        </w:rPr>
        <w:t xml:space="preserve">, </w:t>
      </w:r>
      <w:r w:rsidR="009E1984" w:rsidRPr="00542EB9">
        <w:rPr>
          <w:noProof/>
        </w:rPr>
        <w:t>the two options</w:t>
      </w:r>
      <w:r w:rsidRPr="00542EB9">
        <w:rPr>
          <w:noProof/>
        </w:rPr>
        <w:t xml:space="preserve"> </w:t>
      </w:r>
      <w:r w:rsidR="00805ABB" w:rsidRPr="00542EB9">
        <w:rPr>
          <w:noProof/>
        </w:rPr>
        <w:t>described below</w:t>
      </w:r>
      <w:r w:rsidRPr="00542EB9">
        <w:rPr>
          <w:noProof/>
        </w:rPr>
        <w:t xml:space="preserve"> would witness the </w:t>
      </w:r>
      <w:r w:rsidR="00563817" w:rsidRPr="00542EB9">
        <w:rPr>
          <w:noProof/>
        </w:rPr>
        <w:t>integrati</w:t>
      </w:r>
      <w:r w:rsidR="00181040" w:rsidRPr="00542EB9">
        <w:rPr>
          <w:noProof/>
        </w:rPr>
        <w:t xml:space="preserve">on </w:t>
      </w:r>
      <w:r w:rsidR="00250288" w:rsidRPr="00542EB9">
        <w:rPr>
          <w:noProof/>
        </w:rPr>
        <w:t xml:space="preserve">of </w:t>
      </w:r>
      <w:r w:rsidRPr="00542EB9">
        <w:rPr>
          <w:noProof/>
        </w:rPr>
        <w:t xml:space="preserve">the </w:t>
      </w:r>
      <w:r w:rsidR="00AB232B" w:rsidRPr="00542EB9">
        <w:rPr>
          <w:noProof/>
        </w:rPr>
        <w:t>C</w:t>
      </w:r>
      <w:r w:rsidRPr="00542EB9">
        <w:rPr>
          <w:noProof/>
        </w:rPr>
        <w:t xml:space="preserve">ustoms </w:t>
      </w:r>
      <w:r w:rsidR="00AB232B" w:rsidRPr="00542EB9">
        <w:rPr>
          <w:noProof/>
        </w:rPr>
        <w:t>C</w:t>
      </w:r>
      <w:r w:rsidRPr="00542EB9">
        <w:rPr>
          <w:noProof/>
        </w:rPr>
        <w:t xml:space="preserve">ontrol </w:t>
      </w:r>
      <w:r w:rsidR="00AB232B" w:rsidRPr="00542EB9">
        <w:rPr>
          <w:noProof/>
        </w:rPr>
        <w:t>E</w:t>
      </w:r>
      <w:r w:rsidRPr="00542EB9">
        <w:rPr>
          <w:noProof/>
        </w:rPr>
        <w:t xml:space="preserve">quipment </w:t>
      </w:r>
      <w:r w:rsidR="00AB232B" w:rsidRPr="00542EB9">
        <w:rPr>
          <w:noProof/>
        </w:rPr>
        <w:t xml:space="preserve">Instrument </w:t>
      </w:r>
      <w:r w:rsidR="006E3705" w:rsidRPr="00542EB9">
        <w:rPr>
          <w:noProof/>
        </w:rPr>
        <w:t>(</w:t>
      </w:r>
      <w:r w:rsidR="00AC4D9B" w:rsidRPr="00542EB9">
        <w:rPr>
          <w:noProof/>
        </w:rPr>
        <w:t>CCEI</w:t>
      </w:r>
      <w:r w:rsidR="006E3705" w:rsidRPr="00542EB9">
        <w:rPr>
          <w:noProof/>
        </w:rPr>
        <w:t>)</w:t>
      </w:r>
      <w:r w:rsidR="00AC4D9B" w:rsidRPr="00542EB9">
        <w:rPr>
          <w:noProof/>
        </w:rPr>
        <w:t xml:space="preserve"> </w:t>
      </w:r>
      <w:r w:rsidR="00322340" w:rsidRPr="00542EB9">
        <w:rPr>
          <w:noProof/>
        </w:rPr>
        <w:t xml:space="preserve">type interventions </w:t>
      </w:r>
      <w:r w:rsidR="00C166EE" w:rsidRPr="00542EB9">
        <w:rPr>
          <w:noProof/>
        </w:rPr>
        <w:t xml:space="preserve">within </w:t>
      </w:r>
      <w:r w:rsidRPr="00542EB9">
        <w:rPr>
          <w:noProof/>
        </w:rPr>
        <w:t xml:space="preserve">the future Customs programme, instead of a dedicated separate instrument. </w:t>
      </w:r>
    </w:p>
    <w:p w14:paraId="6E314FF5" w14:textId="5339EBCE" w:rsidR="000B531B" w:rsidRPr="00542EB9" w:rsidRDefault="000B531B" w:rsidP="000B531B">
      <w:pPr>
        <w:rPr>
          <w:noProof/>
        </w:rPr>
      </w:pPr>
      <w:r w:rsidRPr="00542EB9">
        <w:rPr>
          <w:noProof/>
        </w:rPr>
        <w:t>In addition</w:t>
      </w:r>
      <w:r w:rsidR="00096265" w:rsidRPr="00542EB9">
        <w:rPr>
          <w:noProof/>
        </w:rPr>
        <w:t xml:space="preserve">, compared to </w:t>
      </w:r>
      <w:r w:rsidR="00805ABB" w:rsidRPr="00542EB9">
        <w:rPr>
          <w:noProof/>
        </w:rPr>
        <w:t>the baseline</w:t>
      </w:r>
      <w:r w:rsidR="00096265" w:rsidRPr="00542EB9">
        <w:rPr>
          <w:noProof/>
        </w:rPr>
        <w:t>,</w:t>
      </w:r>
      <w:r w:rsidR="00805ABB" w:rsidRPr="00542EB9">
        <w:rPr>
          <w:noProof/>
        </w:rPr>
        <w:t xml:space="preserve"> both </w:t>
      </w:r>
      <w:r w:rsidR="00540033" w:rsidRPr="00542EB9">
        <w:rPr>
          <w:noProof/>
        </w:rPr>
        <w:t>options</w:t>
      </w:r>
      <w:r w:rsidRPr="00542EB9">
        <w:rPr>
          <w:noProof/>
        </w:rPr>
        <w:t xml:space="preserve"> would witness a proportionate expansion due to the legal commitments of the Commission regarding the Customs Union Reform. In that sense, the </w:t>
      </w:r>
      <w:r w:rsidR="00D43E0C" w:rsidRPr="00542EB9">
        <w:rPr>
          <w:noProof/>
        </w:rPr>
        <w:t xml:space="preserve">two </w:t>
      </w:r>
      <w:r w:rsidR="00540033" w:rsidRPr="00542EB9">
        <w:rPr>
          <w:noProof/>
        </w:rPr>
        <w:t>options</w:t>
      </w:r>
      <w:r w:rsidRPr="00542EB9">
        <w:rPr>
          <w:noProof/>
        </w:rPr>
        <w:t xml:space="preserve"> </w:t>
      </w:r>
      <w:r w:rsidR="00D43E0C" w:rsidRPr="00542EB9">
        <w:rPr>
          <w:noProof/>
        </w:rPr>
        <w:t>as well as the continuity of the baseline</w:t>
      </w:r>
      <w:r w:rsidRPr="00542EB9">
        <w:rPr>
          <w:noProof/>
        </w:rPr>
        <w:t xml:space="preserve"> include the bridging between the current Customs programme and the fully-fledged EU Customs Authority</w:t>
      </w:r>
      <w:r w:rsidR="00592A44" w:rsidRPr="00542EB9">
        <w:rPr>
          <w:noProof/>
        </w:rPr>
        <w:t>,</w:t>
      </w:r>
      <w:r w:rsidR="00005F7A" w:rsidRPr="00542EB9">
        <w:rPr>
          <w:noProof/>
        </w:rPr>
        <w:t xml:space="preserve"> including the financing of the legacy digital environment, and a reduced coverage for customs control equipment</w:t>
      </w:r>
      <w:r w:rsidR="00A35C8A" w:rsidRPr="00542EB9">
        <w:rPr>
          <w:noProof/>
        </w:rPr>
        <w:t xml:space="preserve"> (CCEI type interventions)</w:t>
      </w:r>
      <w:r w:rsidR="00005F7A" w:rsidRPr="00542EB9">
        <w:rPr>
          <w:noProof/>
        </w:rPr>
        <w:t>.</w:t>
      </w:r>
    </w:p>
    <w:p w14:paraId="29A7309D" w14:textId="55D5A1FE" w:rsidR="002E06BB" w:rsidRPr="00542EB9" w:rsidRDefault="002E06BB" w:rsidP="000B531B">
      <w:pPr>
        <w:rPr>
          <w:noProof/>
        </w:rPr>
      </w:pPr>
      <w:r w:rsidRPr="00542EB9">
        <w:rPr>
          <w:noProof/>
        </w:rPr>
        <w:t xml:space="preserve">At the same time, the </w:t>
      </w:r>
      <w:r w:rsidR="1E14A105" w:rsidRPr="00542EB9">
        <w:rPr>
          <w:noProof/>
        </w:rPr>
        <w:t>policy scope covered under the two scenarios</w:t>
      </w:r>
      <w:r w:rsidR="3554E4B1" w:rsidRPr="00542EB9">
        <w:rPr>
          <w:noProof/>
        </w:rPr>
        <w:t xml:space="preserve"> </w:t>
      </w:r>
      <w:r w:rsidR="003C6AB1" w:rsidRPr="00542EB9">
        <w:rPr>
          <w:noProof/>
        </w:rPr>
        <w:t>exclude</w:t>
      </w:r>
      <w:r w:rsidR="00E914DE" w:rsidRPr="00542EB9">
        <w:rPr>
          <w:noProof/>
        </w:rPr>
        <w:t>s</w:t>
      </w:r>
      <w:r w:rsidR="3554E4B1" w:rsidRPr="00542EB9">
        <w:rPr>
          <w:noProof/>
        </w:rPr>
        <w:t xml:space="preserve"> the SME</w:t>
      </w:r>
      <w:r w:rsidR="0105B958" w:rsidRPr="00542EB9">
        <w:rPr>
          <w:noProof/>
        </w:rPr>
        <w:t xml:space="preserve"> pillar </w:t>
      </w:r>
      <w:r w:rsidR="3554E4B1" w:rsidRPr="00542EB9">
        <w:rPr>
          <w:noProof/>
        </w:rPr>
        <w:t xml:space="preserve">as well as </w:t>
      </w:r>
      <w:r w:rsidR="5EB37D6C" w:rsidRPr="00542EB9">
        <w:rPr>
          <w:noProof/>
        </w:rPr>
        <w:t xml:space="preserve">the </w:t>
      </w:r>
      <w:r w:rsidR="00E914DE" w:rsidRPr="00542EB9">
        <w:rPr>
          <w:noProof/>
        </w:rPr>
        <w:t>“</w:t>
      </w:r>
      <w:r w:rsidRPr="00542EB9" w:rsidDel="3554E4B1">
        <w:rPr>
          <w:noProof/>
        </w:rPr>
        <w:t>f</w:t>
      </w:r>
      <w:r w:rsidR="3554E4B1" w:rsidRPr="00542EB9">
        <w:rPr>
          <w:noProof/>
        </w:rPr>
        <w:t>ood and feed</w:t>
      </w:r>
      <w:r w:rsidR="00E914DE" w:rsidRPr="00542EB9">
        <w:rPr>
          <w:noProof/>
        </w:rPr>
        <w:t>”</w:t>
      </w:r>
      <w:r w:rsidR="3554E4B1" w:rsidRPr="00542EB9">
        <w:rPr>
          <w:noProof/>
        </w:rPr>
        <w:t xml:space="preserve"> </w:t>
      </w:r>
      <w:r w:rsidR="0F7B602D" w:rsidRPr="00542EB9">
        <w:rPr>
          <w:noProof/>
        </w:rPr>
        <w:t xml:space="preserve">pillar activities of the </w:t>
      </w:r>
      <w:r w:rsidR="3554E4B1" w:rsidRPr="00542EB9">
        <w:rPr>
          <w:noProof/>
        </w:rPr>
        <w:t xml:space="preserve">current SMP. </w:t>
      </w:r>
    </w:p>
    <w:p w14:paraId="346E99DE" w14:textId="60453D2B" w:rsidR="00060E18" w:rsidRPr="00542EB9" w:rsidDel="00060E18" w:rsidRDefault="0B3BB8C3" w:rsidP="5DD21FD3">
      <w:pPr>
        <w:pStyle w:val="Heading3"/>
        <w:rPr>
          <w:noProof/>
        </w:rPr>
      </w:pPr>
      <w:bookmarkStart w:id="43" w:name="_Toc191909139"/>
      <w:r w:rsidRPr="00542EB9">
        <w:rPr>
          <w:noProof/>
        </w:rPr>
        <w:t xml:space="preserve">Option </w:t>
      </w:r>
      <w:r w:rsidR="4AD6F881" w:rsidRPr="00542EB9">
        <w:rPr>
          <w:noProof/>
        </w:rPr>
        <w:t>1</w:t>
      </w:r>
      <w:r w:rsidR="213D1D3B" w:rsidRPr="00542EB9">
        <w:rPr>
          <w:noProof/>
        </w:rPr>
        <w:t>:</w:t>
      </w:r>
      <w:r w:rsidRPr="00542EB9">
        <w:rPr>
          <w:noProof/>
        </w:rPr>
        <w:t xml:space="preserve"> </w:t>
      </w:r>
      <w:r w:rsidR="6ADA2B1F" w:rsidRPr="00542EB9">
        <w:rPr>
          <w:noProof/>
        </w:rPr>
        <w:t xml:space="preserve">Integrated </w:t>
      </w:r>
      <w:r w:rsidR="6197023E" w:rsidRPr="00542EB9">
        <w:rPr>
          <w:noProof/>
        </w:rPr>
        <w:t>s</w:t>
      </w:r>
      <w:r w:rsidR="6ADA2B1F" w:rsidRPr="00542EB9">
        <w:rPr>
          <w:noProof/>
        </w:rPr>
        <w:t>cenario</w:t>
      </w:r>
      <w:bookmarkEnd w:id="43"/>
    </w:p>
    <w:p w14:paraId="3C44E9DA" w14:textId="63953243" w:rsidR="00DD196E" w:rsidRPr="00542EB9" w:rsidRDefault="00DD694D" w:rsidP="63C3AA9A">
      <w:pPr>
        <w:rPr>
          <w:noProof/>
        </w:rPr>
      </w:pPr>
      <w:r w:rsidRPr="00542EB9">
        <w:rPr>
          <w:noProof/>
        </w:rPr>
        <w:t>Wit</w:t>
      </w:r>
      <w:r w:rsidR="00F46832" w:rsidRPr="00542EB9">
        <w:rPr>
          <w:noProof/>
        </w:rPr>
        <w:t>h</w:t>
      </w:r>
      <w:r w:rsidRPr="00542EB9">
        <w:rPr>
          <w:noProof/>
        </w:rPr>
        <w:t xml:space="preserve"> the </w:t>
      </w:r>
      <w:r w:rsidR="42F74624" w:rsidRPr="00542EB9">
        <w:rPr>
          <w:noProof/>
        </w:rPr>
        <w:t>enhanced harmonisation of legal provisions</w:t>
      </w:r>
      <w:r w:rsidR="00065B45" w:rsidRPr="00542EB9">
        <w:rPr>
          <w:noProof/>
        </w:rPr>
        <w:t>,</w:t>
      </w:r>
      <w:r w:rsidR="4F54B078" w:rsidRPr="00542EB9">
        <w:rPr>
          <w:noProof/>
        </w:rPr>
        <w:t xml:space="preserve"> this scenario </w:t>
      </w:r>
      <w:r w:rsidR="00065B45" w:rsidRPr="00542EB9">
        <w:rPr>
          <w:noProof/>
        </w:rPr>
        <w:t>establishes</w:t>
      </w:r>
      <w:r w:rsidR="6AB852C9" w:rsidRPr="00542EB9">
        <w:rPr>
          <w:noProof/>
        </w:rPr>
        <w:t xml:space="preserve"> </w:t>
      </w:r>
      <w:r w:rsidR="6AB852C9" w:rsidRPr="00542EB9">
        <w:rPr>
          <w:b/>
          <w:noProof/>
        </w:rPr>
        <w:t xml:space="preserve">a single, </w:t>
      </w:r>
      <w:r w:rsidR="220A07BA" w:rsidRPr="00542EB9">
        <w:rPr>
          <w:b/>
          <w:noProof/>
        </w:rPr>
        <w:t xml:space="preserve">more streamlined </w:t>
      </w:r>
      <w:r w:rsidR="6AB852C9" w:rsidRPr="00542EB9">
        <w:rPr>
          <w:b/>
          <w:noProof/>
        </w:rPr>
        <w:t>flexible framework</w:t>
      </w:r>
      <w:r w:rsidR="1DADA5F4" w:rsidRPr="00542EB9">
        <w:rPr>
          <w:b/>
          <w:noProof/>
        </w:rPr>
        <w:t xml:space="preserve"> but still maintains</w:t>
      </w:r>
      <w:r w:rsidR="6AB852C9" w:rsidRPr="00542EB9">
        <w:rPr>
          <w:b/>
          <w:noProof/>
        </w:rPr>
        <w:t xml:space="preserve"> </w:t>
      </w:r>
      <w:r w:rsidR="00F5051E" w:rsidRPr="00542EB9">
        <w:rPr>
          <w:b/>
          <w:noProof/>
        </w:rPr>
        <w:t>a clear division between existing programme</w:t>
      </w:r>
      <w:r w:rsidR="00807A28" w:rsidRPr="00542EB9">
        <w:rPr>
          <w:b/>
          <w:noProof/>
        </w:rPr>
        <w:t xml:space="preserve"> domains</w:t>
      </w:r>
      <w:r w:rsidR="003B7A99" w:rsidRPr="00542EB9">
        <w:rPr>
          <w:b/>
          <w:noProof/>
        </w:rPr>
        <w:t>:</w:t>
      </w:r>
      <w:r w:rsidR="01B3B882" w:rsidRPr="00542EB9">
        <w:rPr>
          <w:b/>
          <w:noProof/>
        </w:rPr>
        <w:t xml:space="preserve"> Single Market Programme, Customs Programme, Fiscalis Programme and Union Anti-Fraud Programme</w:t>
      </w:r>
      <w:r w:rsidR="36D5EA22" w:rsidRPr="00542EB9">
        <w:rPr>
          <w:b/>
          <w:noProof/>
        </w:rPr>
        <w:t>.</w:t>
      </w:r>
      <w:r w:rsidR="6AB852C9" w:rsidRPr="00542EB9">
        <w:rPr>
          <w:noProof/>
        </w:rPr>
        <w:t xml:space="preserve"> </w:t>
      </w:r>
      <w:r w:rsidR="1B7978AA" w:rsidRPr="00542EB9">
        <w:rPr>
          <w:noProof/>
        </w:rPr>
        <w:t xml:space="preserve"> </w:t>
      </w:r>
      <w:r w:rsidR="00787775" w:rsidRPr="00542EB9">
        <w:rPr>
          <w:noProof/>
        </w:rPr>
        <w:t>T</w:t>
      </w:r>
      <w:r w:rsidR="00A10991" w:rsidRPr="00542EB9">
        <w:rPr>
          <w:noProof/>
        </w:rPr>
        <w:t>his scenario w</w:t>
      </w:r>
      <w:r w:rsidR="00F3331F" w:rsidRPr="00542EB9">
        <w:rPr>
          <w:noProof/>
        </w:rPr>
        <w:t xml:space="preserve">ould </w:t>
      </w:r>
      <w:r w:rsidR="004A6217" w:rsidRPr="00542EB9">
        <w:rPr>
          <w:noProof/>
        </w:rPr>
        <w:t xml:space="preserve">mean for </w:t>
      </w:r>
      <w:r w:rsidR="00F3331F" w:rsidRPr="00542EB9">
        <w:rPr>
          <w:noProof/>
        </w:rPr>
        <w:t xml:space="preserve">the Single Market Programme </w:t>
      </w:r>
      <w:r w:rsidR="00A57F67" w:rsidRPr="00542EB9">
        <w:rPr>
          <w:noProof/>
        </w:rPr>
        <w:t xml:space="preserve">to </w:t>
      </w:r>
      <w:r w:rsidR="00F3331F" w:rsidRPr="00542EB9">
        <w:rPr>
          <w:noProof/>
        </w:rPr>
        <w:t>replicate the current pillar-based approach</w:t>
      </w:r>
      <w:r w:rsidR="007E26BF" w:rsidRPr="00542EB9">
        <w:rPr>
          <w:noProof/>
        </w:rPr>
        <w:t xml:space="preserve"> but </w:t>
      </w:r>
      <w:r w:rsidR="00530D7C" w:rsidRPr="00542EB9">
        <w:rPr>
          <w:noProof/>
        </w:rPr>
        <w:t xml:space="preserve">would </w:t>
      </w:r>
      <w:r w:rsidR="007E26BF" w:rsidRPr="00542EB9">
        <w:rPr>
          <w:noProof/>
        </w:rPr>
        <w:t xml:space="preserve">also incorporate the </w:t>
      </w:r>
      <w:r w:rsidR="00CE55F7" w:rsidRPr="00542EB9">
        <w:rPr>
          <w:noProof/>
        </w:rPr>
        <w:t>new strands</w:t>
      </w:r>
      <w:r w:rsidR="00F46832" w:rsidRPr="00542EB9">
        <w:rPr>
          <w:noProof/>
        </w:rPr>
        <w:t xml:space="preserve"> (customs, taxation and anti-fraud)</w:t>
      </w:r>
      <w:r w:rsidR="002F535B" w:rsidRPr="00542EB9">
        <w:rPr>
          <w:noProof/>
        </w:rPr>
        <w:t xml:space="preserve"> as new pillars</w:t>
      </w:r>
      <w:r w:rsidR="00CE55F7" w:rsidRPr="00542EB9">
        <w:rPr>
          <w:noProof/>
        </w:rPr>
        <w:t xml:space="preserve">. </w:t>
      </w:r>
    </w:p>
    <w:p w14:paraId="27650BFC" w14:textId="5235E8A7" w:rsidR="296B93BF" w:rsidRPr="00542EB9" w:rsidRDefault="00EA0D6C" w:rsidP="5DD21FD3">
      <w:pPr>
        <w:rPr>
          <w:noProof/>
        </w:rPr>
      </w:pPr>
      <w:r w:rsidRPr="00542EB9">
        <w:rPr>
          <w:noProof/>
        </w:rPr>
        <w:t xml:space="preserve">In that sense, the integrated scenario </w:t>
      </w:r>
      <w:r w:rsidR="004A00D5" w:rsidRPr="00542EB9">
        <w:rPr>
          <w:noProof/>
        </w:rPr>
        <w:t>creates</w:t>
      </w:r>
      <w:r w:rsidR="009D5245" w:rsidRPr="00542EB9">
        <w:rPr>
          <w:noProof/>
        </w:rPr>
        <w:t xml:space="preserve"> a horizontal structure</w:t>
      </w:r>
      <w:r w:rsidR="005E4AE4" w:rsidRPr="00542EB9">
        <w:rPr>
          <w:noProof/>
        </w:rPr>
        <w:t xml:space="preserve"> </w:t>
      </w:r>
      <w:r w:rsidR="00F901AC" w:rsidRPr="00542EB9">
        <w:rPr>
          <w:noProof/>
        </w:rPr>
        <w:t>grouping</w:t>
      </w:r>
      <w:r w:rsidR="005E4AE4" w:rsidRPr="00542EB9">
        <w:rPr>
          <w:noProof/>
        </w:rPr>
        <w:t xml:space="preserve"> </w:t>
      </w:r>
      <w:r w:rsidR="007A171C" w:rsidRPr="00542EB9">
        <w:rPr>
          <w:noProof/>
        </w:rPr>
        <w:t xml:space="preserve">all existing administrative support and budget lines in </w:t>
      </w:r>
      <w:r w:rsidR="002F535B" w:rsidRPr="00542EB9">
        <w:rPr>
          <w:noProof/>
        </w:rPr>
        <w:t xml:space="preserve">one </w:t>
      </w:r>
      <w:r w:rsidR="007A171C" w:rsidRPr="00542EB9">
        <w:rPr>
          <w:noProof/>
        </w:rPr>
        <w:t>scope</w:t>
      </w:r>
      <w:r w:rsidR="005E4AE4" w:rsidRPr="00542EB9">
        <w:rPr>
          <w:noProof/>
        </w:rPr>
        <w:t xml:space="preserve"> </w:t>
      </w:r>
      <w:r w:rsidRPr="00542EB9">
        <w:rPr>
          <w:noProof/>
        </w:rPr>
        <w:t>with the intention to</w:t>
      </w:r>
      <w:r w:rsidR="005E4AE4" w:rsidRPr="00542EB9">
        <w:rPr>
          <w:noProof/>
        </w:rPr>
        <w:t xml:space="preserve"> promote flexibility, simplification and more synergies. This scenario preserves existing policy objectives and governance models, to avoid disruptions and to ensure continuity.</w:t>
      </w:r>
    </w:p>
    <w:p w14:paraId="0124E883" w14:textId="26695411" w:rsidR="00D6797F" w:rsidRPr="00542EB9" w:rsidRDefault="003D1598" w:rsidP="5DD21FD3">
      <w:pPr>
        <w:rPr>
          <w:noProof/>
        </w:rPr>
      </w:pPr>
      <w:r w:rsidRPr="00542EB9">
        <w:rPr>
          <w:noProof/>
        </w:rPr>
        <w:t>The horizontal structure brings together diverse and complex activities and d</w:t>
      </w:r>
      <w:r w:rsidR="00C412F3" w:rsidRPr="00542EB9">
        <w:rPr>
          <w:noProof/>
        </w:rPr>
        <w:t xml:space="preserve">ue to the cross-thematic nature, its coordination and governance </w:t>
      </w:r>
      <w:r w:rsidR="00593E72" w:rsidRPr="00542EB9">
        <w:rPr>
          <w:noProof/>
        </w:rPr>
        <w:t xml:space="preserve">must </w:t>
      </w:r>
      <w:r w:rsidR="00484074" w:rsidRPr="00542EB9">
        <w:rPr>
          <w:noProof/>
        </w:rPr>
        <w:t>consider</w:t>
      </w:r>
      <w:r w:rsidR="00C412F3" w:rsidRPr="00542EB9">
        <w:rPr>
          <w:noProof/>
        </w:rPr>
        <w:t xml:space="preserve"> the specific </w:t>
      </w:r>
      <w:r w:rsidR="0047291C" w:rsidRPr="00542EB9">
        <w:rPr>
          <w:noProof/>
        </w:rPr>
        <w:t xml:space="preserve">interests </w:t>
      </w:r>
      <w:r w:rsidR="00C412F3" w:rsidRPr="00542EB9">
        <w:rPr>
          <w:noProof/>
        </w:rPr>
        <w:t xml:space="preserve">of stakeholders and programmes involved. </w:t>
      </w:r>
    </w:p>
    <w:p w14:paraId="59DE60CB" w14:textId="10E9A814" w:rsidR="00AD075E" w:rsidRPr="00542EB9" w:rsidRDefault="0B3BB8C3" w:rsidP="5DD21FD3">
      <w:pPr>
        <w:pStyle w:val="Heading3"/>
        <w:rPr>
          <w:noProof/>
        </w:rPr>
      </w:pPr>
      <w:bookmarkStart w:id="44" w:name="_Toc191905102"/>
      <w:bookmarkStart w:id="45" w:name="_Toc191909142"/>
      <w:bookmarkStart w:id="46" w:name="_Toc191909143"/>
      <w:bookmarkEnd w:id="44"/>
      <w:bookmarkEnd w:id="45"/>
      <w:r w:rsidRPr="00542EB9">
        <w:rPr>
          <w:noProof/>
        </w:rPr>
        <w:t xml:space="preserve">Option </w:t>
      </w:r>
      <w:r w:rsidR="0F9483D0" w:rsidRPr="00542EB9">
        <w:rPr>
          <w:noProof/>
        </w:rPr>
        <w:t>2</w:t>
      </w:r>
      <w:r w:rsidR="213D1D3B" w:rsidRPr="00542EB9">
        <w:rPr>
          <w:noProof/>
        </w:rPr>
        <w:t>:</w:t>
      </w:r>
      <w:r w:rsidRPr="00542EB9">
        <w:rPr>
          <w:noProof/>
        </w:rPr>
        <w:t xml:space="preserve"> </w:t>
      </w:r>
      <w:r w:rsidR="6197023E" w:rsidRPr="00542EB9">
        <w:rPr>
          <w:noProof/>
        </w:rPr>
        <w:t>Unified scenario</w:t>
      </w:r>
      <w:bookmarkEnd w:id="46"/>
    </w:p>
    <w:p w14:paraId="39F644F8" w14:textId="792B2C66" w:rsidR="002114A3" w:rsidRPr="00542EB9" w:rsidRDefault="00692231" w:rsidP="5DD21FD3">
      <w:pPr>
        <w:rPr>
          <w:noProof/>
        </w:rPr>
      </w:pPr>
      <w:r w:rsidRPr="00542EB9">
        <w:rPr>
          <w:noProof/>
        </w:rPr>
        <w:t xml:space="preserve">This scenario </w:t>
      </w:r>
      <w:r w:rsidR="002A257F" w:rsidRPr="00542EB9">
        <w:rPr>
          <w:noProof/>
        </w:rPr>
        <w:t>mean</w:t>
      </w:r>
      <w:r w:rsidR="00F56062" w:rsidRPr="00542EB9">
        <w:rPr>
          <w:noProof/>
        </w:rPr>
        <w:t>s</w:t>
      </w:r>
      <w:r w:rsidR="002A257F" w:rsidRPr="00542EB9">
        <w:rPr>
          <w:noProof/>
        </w:rPr>
        <w:t xml:space="preserve"> a </w:t>
      </w:r>
      <w:r w:rsidR="002A257F" w:rsidRPr="00542EB9">
        <w:rPr>
          <w:b/>
          <w:noProof/>
        </w:rPr>
        <w:t>complete merger of all policy priorities under the scope delivered under a single common basic act with one set of legal and institutional requirements for all activities</w:t>
      </w:r>
      <w:r w:rsidR="002A257F" w:rsidRPr="00542EB9">
        <w:rPr>
          <w:noProof/>
        </w:rPr>
        <w:t xml:space="preserve">. </w:t>
      </w:r>
    </w:p>
    <w:p w14:paraId="07A53D43" w14:textId="3C08D1D7" w:rsidR="00F96096" w:rsidRPr="00542EB9" w:rsidRDefault="50380073" w:rsidP="5DD21FD3">
      <w:pPr>
        <w:rPr>
          <w:noProof/>
        </w:rPr>
      </w:pPr>
      <w:r w:rsidRPr="00542EB9">
        <w:rPr>
          <w:noProof/>
        </w:rPr>
        <w:t>This scenario</w:t>
      </w:r>
      <w:r w:rsidR="10F381BE" w:rsidRPr="00542EB9">
        <w:rPr>
          <w:noProof/>
        </w:rPr>
        <w:t xml:space="preserve"> aims for enhanced operational and administrative synergies,</w:t>
      </w:r>
      <w:r w:rsidR="28843570" w:rsidRPr="00542EB9">
        <w:rPr>
          <w:noProof/>
        </w:rPr>
        <w:t xml:space="preserve"> stronger cooperation between public administrations for enhanced interoperability across the single market,</w:t>
      </w:r>
      <w:r w:rsidR="10F381BE" w:rsidRPr="00542EB9">
        <w:rPr>
          <w:noProof/>
        </w:rPr>
        <w:t xml:space="preserve"> increased efficiency and </w:t>
      </w:r>
      <w:r w:rsidR="6560253B" w:rsidRPr="00542EB9">
        <w:rPr>
          <w:noProof/>
        </w:rPr>
        <w:t>flexibility</w:t>
      </w:r>
      <w:r w:rsidR="57E070D6" w:rsidRPr="00542EB9">
        <w:rPr>
          <w:noProof/>
        </w:rPr>
        <w:t xml:space="preserve">, reducing the administrative burden through simplified </w:t>
      </w:r>
      <w:r w:rsidR="2F3F279A" w:rsidRPr="00542EB9">
        <w:rPr>
          <w:noProof/>
        </w:rPr>
        <w:t>programme/EU funding</w:t>
      </w:r>
      <w:r w:rsidR="57E070D6" w:rsidRPr="00542EB9">
        <w:rPr>
          <w:noProof/>
        </w:rPr>
        <w:t xml:space="preserve"> proce</w:t>
      </w:r>
      <w:r w:rsidR="4FE41C00" w:rsidRPr="00542EB9">
        <w:rPr>
          <w:noProof/>
        </w:rPr>
        <w:t xml:space="preserve">dures and </w:t>
      </w:r>
      <w:r w:rsidR="3AA1D239" w:rsidRPr="00542EB9">
        <w:rPr>
          <w:noProof/>
        </w:rPr>
        <w:t>improved digital</w:t>
      </w:r>
      <w:r w:rsidR="0F53242D" w:rsidRPr="00542EB9">
        <w:rPr>
          <w:noProof/>
        </w:rPr>
        <w:t>-ready policymaking</w:t>
      </w:r>
      <w:r w:rsidR="4FE41C00" w:rsidRPr="00542EB9">
        <w:rPr>
          <w:noProof/>
        </w:rPr>
        <w:t>.</w:t>
      </w:r>
      <w:r w:rsidR="2B909EAB" w:rsidRPr="00542EB9">
        <w:rPr>
          <w:noProof/>
        </w:rPr>
        <w:t xml:space="preserve"> </w:t>
      </w:r>
    </w:p>
    <w:p w14:paraId="16337584" w14:textId="002D5FA4" w:rsidR="004E0CA9" w:rsidRPr="00542EB9" w:rsidRDefault="004E0CA9" w:rsidP="004E0CA9">
      <w:pPr>
        <w:rPr>
          <w:noProof/>
        </w:rPr>
      </w:pPr>
      <w:r w:rsidRPr="00542EB9">
        <w:rPr>
          <w:noProof/>
        </w:rPr>
        <w:t>This approach aims to address</w:t>
      </w:r>
      <w:r w:rsidR="303AD9EE" w:rsidRPr="00542EB9">
        <w:rPr>
          <w:noProof/>
        </w:rPr>
        <w:t>,</w:t>
      </w:r>
      <w:r w:rsidRPr="00542EB9">
        <w:rPr>
          <w:noProof/>
        </w:rPr>
        <w:t xml:space="preserve"> in </w:t>
      </w:r>
      <w:r w:rsidR="5FA50074" w:rsidRPr="00542EB9">
        <w:rPr>
          <w:noProof/>
        </w:rPr>
        <w:t xml:space="preserve">an </w:t>
      </w:r>
      <w:r w:rsidRPr="00542EB9">
        <w:rPr>
          <w:noProof/>
        </w:rPr>
        <w:t>agile manner</w:t>
      </w:r>
      <w:r w:rsidR="2FA08023" w:rsidRPr="00542EB9">
        <w:rPr>
          <w:noProof/>
        </w:rPr>
        <w:t>,</w:t>
      </w:r>
      <w:r w:rsidRPr="00542EB9">
        <w:rPr>
          <w:noProof/>
        </w:rPr>
        <w:t xml:space="preserve"> complex and emerging challenges. It also </w:t>
      </w:r>
      <w:r w:rsidR="00EB4CCB" w:rsidRPr="00542EB9">
        <w:rPr>
          <w:noProof/>
        </w:rPr>
        <w:t xml:space="preserve">targets </w:t>
      </w:r>
      <w:r w:rsidRPr="00542EB9">
        <w:rPr>
          <w:noProof/>
        </w:rPr>
        <w:t>further reduc</w:t>
      </w:r>
      <w:r w:rsidR="00EB4CCB" w:rsidRPr="00542EB9">
        <w:rPr>
          <w:noProof/>
        </w:rPr>
        <w:t>ing</w:t>
      </w:r>
      <w:r w:rsidRPr="00542EB9">
        <w:rPr>
          <w:noProof/>
        </w:rPr>
        <w:t xml:space="preserve"> administrative burdens on national administrations and stakeholders by simplifying </w:t>
      </w:r>
      <w:r w:rsidR="00EB4CCB" w:rsidRPr="00542EB9">
        <w:rPr>
          <w:noProof/>
        </w:rPr>
        <w:t xml:space="preserve">and streamlining programme </w:t>
      </w:r>
      <w:r w:rsidRPr="00542EB9">
        <w:rPr>
          <w:noProof/>
        </w:rPr>
        <w:t xml:space="preserve">procedures and making them faster as well as </w:t>
      </w:r>
      <w:r w:rsidR="00FB437D" w:rsidRPr="00542EB9">
        <w:rPr>
          <w:noProof/>
        </w:rPr>
        <w:t>utilising modern technologies and digital solutions in EU programme management</w:t>
      </w:r>
      <w:r w:rsidRPr="00542EB9">
        <w:rPr>
          <w:noProof/>
        </w:rPr>
        <w:t xml:space="preserve">. </w:t>
      </w:r>
    </w:p>
    <w:p w14:paraId="68FCBA1E" w14:textId="01CFE4A4" w:rsidR="293B9477" w:rsidRPr="00542EB9" w:rsidRDefault="26AC505E">
      <w:pPr>
        <w:rPr>
          <w:noProof/>
        </w:rPr>
      </w:pPr>
      <w:r w:rsidRPr="00542EB9">
        <w:rPr>
          <w:noProof/>
        </w:rPr>
        <w:t xml:space="preserve">Such simplification </w:t>
      </w:r>
      <w:r w:rsidR="005707ED" w:rsidRPr="00542EB9">
        <w:rPr>
          <w:noProof/>
        </w:rPr>
        <w:t>is intended</w:t>
      </w:r>
      <w:r w:rsidRPr="00542EB9">
        <w:rPr>
          <w:noProof/>
        </w:rPr>
        <w:t xml:space="preserve"> to promote EU policies and programmes, increasing visibility and recognition among stakeholders, while fostering their involvement and ensure the relevance of the programme</w:t>
      </w:r>
      <w:r w:rsidR="45CD445B" w:rsidRPr="00542EB9">
        <w:rPr>
          <w:noProof/>
        </w:rPr>
        <w:t>.</w:t>
      </w:r>
    </w:p>
    <w:p w14:paraId="6DFE31DC" w14:textId="2455E31D" w:rsidR="006B087E" w:rsidRPr="00542EB9" w:rsidRDefault="2CEB5DE4" w:rsidP="00A82D89">
      <w:pPr>
        <w:pStyle w:val="Heading1"/>
        <w:rPr>
          <w:noProof/>
        </w:rPr>
      </w:pPr>
      <w:bookmarkStart w:id="47" w:name="_Toc191909145"/>
      <w:bookmarkStart w:id="48" w:name="_Toc198549051"/>
      <w:r w:rsidRPr="00542EB9">
        <w:rPr>
          <w:noProof/>
        </w:rPr>
        <w:t>What are the impacts of the policy options?</w:t>
      </w:r>
      <w:bookmarkEnd w:id="47"/>
      <w:bookmarkEnd w:id="48"/>
    </w:p>
    <w:p w14:paraId="591669A3" w14:textId="77777777" w:rsidR="006468A9" w:rsidRPr="00542EB9" w:rsidRDefault="006468A9" w:rsidP="006468A9">
      <w:pPr>
        <w:rPr>
          <w:noProof/>
        </w:rPr>
      </w:pPr>
      <w:r w:rsidRPr="00542EB9">
        <w:rPr>
          <w:noProof/>
        </w:rPr>
        <w:t>The ongoing implementation of the current financial framework provides some lessons on how to increase the EU budget’s agility and better align it with our priorities and objectives. Flexibility is key in guaranteeing the budget’s ability to respond to a changing reality. Evolving needs and crises since 2021 have been addressed by repurposing and reallocating existing funds, in sometimes lengthy procedures, as well as creating new ad hoc funds, programmes, or measures, further compounding the issue of scattering of EU funding. Greater focus and simplification are needed from the start to maximise the impact of EU funding, at a time of reflection on the future financial framework.</w:t>
      </w:r>
    </w:p>
    <w:p w14:paraId="0FBE2065" w14:textId="283E345F" w:rsidR="009F6447" w:rsidRPr="00542EB9" w:rsidRDefault="006468A9" w:rsidP="004D1AEE">
      <w:pPr>
        <w:pStyle w:val="BodyText1"/>
        <w:rPr>
          <w:rFonts w:ascii="Times New Roman" w:hAnsi="Times New Roman"/>
          <w:noProof/>
          <w:sz w:val="24"/>
          <w:szCs w:val="24"/>
        </w:rPr>
      </w:pPr>
      <w:r w:rsidRPr="00542EB9">
        <w:rPr>
          <w:rFonts w:ascii="Times New Roman" w:hAnsi="Times New Roman"/>
          <w:noProof/>
          <w:sz w:val="24"/>
          <w:szCs w:val="24"/>
        </w:rPr>
        <w:t>Moreover, experience has demonstrated that reallocating funds between different programmes</w:t>
      </w:r>
      <w:r w:rsidR="00E966D0" w:rsidRPr="00542EB9">
        <w:rPr>
          <w:rFonts w:ascii="Times New Roman" w:hAnsi="Times New Roman"/>
          <w:noProof/>
          <w:sz w:val="24"/>
          <w:szCs w:val="24"/>
        </w:rPr>
        <w:t xml:space="preserve">, </w:t>
      </w:r>
      <w:r w:rsidR="000E002B" w:rsidRPr="00542EB9">
        <w:rPr>
          <w:rFonts w:ascii="Times New Roman" w:hAnsi="Times New Roman"/>
          <w:noProof/>
          <w:sz w:val="24"/>
          <w:szCs w:val="24"/>
        </w:rPr>
        <w:t>especially</w:t>
      </w:r>
      <w:r w:rsidR="00E966D0" w:rsidRPr="00542EB9">
        <w:rPr>
          <w:rFonts w:ascii="Times New Roman" w:hAnsi="Times New Roman"/>
          <w:noProof/>
          <w:sz w:val="24"/>
          <w:szCs w:val="24"/>
        </w:rPr>
        <w:t xml:space="preserve"> across headings</w:t>
      </w:r>
      <w:r w:rsidR="000E002B" w:rsidRPr="00542EB9">
        <w:rPr>
          <w:rFonts w:ascii="Times New Roman" w:hAnsi="Times New Roman"/>
          <w:noProof/>
          <w:sz w:val="24"/>
          <w:szCs w:val="24"/>
        </w:rPr>
        <w:t>,</w:t>
      </w:r>
      <w:r w:rsidRPr="00542EB9">
        <w:rPr>
          <w:rFonts w:ascii="Times New Roman" w:hAnsi="Times New Roman"/>
          <w:noProof/>
          <w:sz w:val="24"/>
          <w:szCs w:val="24"/>
        </w:rPr>
        <w:t xml:space="preserve"> within the seven-year MFF period is challenging, particularly when </w:t>
      </w:r>
      <w:r w:rsidR="00D17512" w:rsidRPr="00542EB9">
        <w:rPr>
          <w:rFonts w:ascii="Times New Roman" w:hAnsi="Times New Roman"/>
          <w:noProof/>
          <w:sz w:val="24"/>
          <w:szCs w:val="24"/>
        </w:rPr>
        <w:t>quick</w:t>
      </w:r>
      <w:r w:rsidR="005D5533" w:rsidRPr="00542EB9">
        <w:rPr>
          <w:rFonts w:ascii="Times New Roman" w:hAnsi="Times New Roman"/>
          <w:noProof/>
          <w:sz w:val="24"/>
          <w:szCs w:val="24"/>
        </w:rPr>
        <w:t xml:space="preserve"> reaction to </w:t>
      </w:r>
      <w:r w:rsidRPr="00542EB9">
        <w:rPr>
          <w:rFonts w:ascii="Times New Roman" w:hAnsi="Times New Roman"/>
          <w:noProof/>
          <w:sz w:val="24"/>
          <w:szCs w:val="24"/>
        </w:rPr>
        <w:t xml:space="preserve">unforeseen circumstances, such as emerging policy needs or crisis arise. As a result, </w:t>
      </w:r>
      <w:r w:rsidR="00F820C8" w:rsidRPr="00542EB9">
        <w:rPr>
          <w:rFonts w:ascii="Times New Roman" w:hAnsi="Times New Roman"/>
          <w:noProof/>
          <w:sz w:val="24"/>
          <w:szCs w:val="24"/>
        </w:rPr>
        <w:t>it is essential to</w:t>
      </w:r>
      <w:r w:rsidRPr="00542EB9">
        <w:rPr>
          <w:rFonts w:ascii="Times New Roman" w:hAnsi="Times New Roman"/>
          <w:noProof/>
          <w:sz w:val="24"/>
          <w:szCs w:val="24"/>
        </w:rPr>
        <w:t xml:space="preserve"> provide sufficient budgetary and programming flexibility to address emerging policy priorities or respond effectively to unexpected events. </w:t>
      </w:r>
    </w:p>
    <w:p w14:paraId="1A5C8A17" w14:textId="5677E3E4" w:rsidR="006B087E" w:rsidRPr="00542EB9" w:rsidRDefault="00BE7DD6" w:rsidP="5DD21FD3">
      <w:pPr>
        <w:pStyle w:val="Heading2"/>
        <w:rPr>
          <w:noProof/>
        </w:rPr>
      </w:pPr>
      <w:bookmarkStart w:id="49" w:name="_Toc191909147"/>
      <w:bookmarkStart w:id="50" w:name="_Toc198549052"/>
      <w:r w:rsidRPr="00542EB9">
        <w:rPr>
          <w:noProof/>
        </w:rPr>
        <w:t>Integrated scenario</w:t>
      </w:r>
      <w:bookmarkEnd w:id="49"/>
      <w:bookmarkEnd w:id="50"/>
      <w:r w:rsidR="08379ED1" w:rsidRPr="00542EB9">
        <w:rPr>
          <w:noProof/>
        </w:rPr>
        <w:t xml:space="preserve"> </w:t>
      </w:r>
    </w:p>
    <w:p w14:paraId="69C09E1E" w14:textId="7E445A0D" w:rsidR="00D55EE2" w:rsidRPr="00542EB9" w:rsidRDefault="00D13EB7" w:rsidP="5DD21FD3">
      <w:pPr>
        <w:pStyle w:val="Text2"/>
        <w:ind w:left="0"/>
        <w:rPr>
          <w:noProof/>
        </w:rPr>
      </w:pPr>
      <w:r w:rsidRPr="00542EB9">
        <w:rPr>
          <w:noProof/>
        </w:rPr>
        <w:t xml:space="preserve">The </w:t>
      </w:r>
      <w:r w:rsidR="00D8671B" w:rsidRPr="00542EB9">
        <w:rPr>
          <w:noProof/>
        </w:rPr>
        <w:t>integrated scenario</w:t>
      </w:r>
      <w:r w:rsidRPr="00542EB9">
        <w:rPr>
          <w:noProof/>
        </w:rPr>
        <w:t xml:space="preserve"> is constituted </w:t>
      </w:r>
      <w:r w:rsidR="00224C1E" w:rsidRPr="00542EB9">
        <w:rPr>
          <w:noProof/>
        </w:rPr>
        <w:t xml:space="preserve">by </w:t>
      </w:r>
      <w:r w:rsidR="00E05CE8" w:rsidRPr="00542EB9">
        <w:rPr>
          <w:noProof/>
        </w:rPr>
        <w:t>consolidating</w:t>
      </w:r>
      <w:r w:rsidR="00224C1E" w:rsidRPr="00542EB9">
        <w:rPr>
          <w:noProof/>
        </w:rPr>
        <w:t xml:space="preserve"> </w:t>
      </w:r>
      <w:r w:rsidR="009A123D" w:rsidRPr="00542EB9">
        <w:rPr>
          <w:noProof/>
        </w:rPr>
        <w:t>parts of the</w:t>
      </w:r>
      <w:r w:rsidR="00224C1E" w:rsidRPr="00542EB9">
        <w:rPr>
          <w:noProof/>
        </w:rPr>
        <w:t xml:space="preserve"> S</w:t>
      </w:r>
      <w:r w:rsidR="007F5E75" w:rsidRPr="00542EB9">
        <w:rPr>
          <w:noProof/>
        </w:rPr>
        <w:t xml:space="preserve">ingle </w:t>
      </w:r>
      <w:r w:rsidR="00224C1E" w:rsidRPr="00542EB9">
        <w:rPr>
          <w:noProof/>
        </w:rPr>
        <w:t>M</w:t>
      </w:r>
      <w:r w:rsidR="007F5E75" w:rsidRPr="00542EB9">
        <w:rPr>
          <w:noProof/>
        </w:rPr>
        <w:t xml:space="preserve">arket </w:t>
      </w:r>
      <w:r w:rsidR="00224C1E" w:rsidRPr="00542EB9">
        <w:rPr>
          <w:noProof/>
        </w:rPr>
        <w:t>P</w:t>
      </w:r>
      <w:r w:rsidR="007F5E75" w:rsidRPr="00542EB9">
        <w:rPr>
          <w:noProof/>
        </w:rPr>
        <w:t>rogramme</w:t>
      </w:r>
      <w:r w:rsidR="00224C1E" w:rsidRPr="00542EB9">
        <w:rPr>
          <w:noProof/>
        </w:rPr>
        <w:t>, the</w:t>
      </w:r>
      <w:r w:rsidR="007F5E75" w:rsidRPr="00542EB9">
        <w:rPr>
          <w:noProof/>
        </w:rPr>
        <w:t xml:space="preserve"> Customs</w:t>
      </w:r>
      <w:r w:rsidR="00266677" w:rsidRPr="00542EB9">
        <w:rPr>
          <w:noProof/>
        </w:rPr>
        <w:t xml:space="preserve"> (and Customs Control Equipment Instrument), the </w:t>
      </w:r>
      <w:r w:rsidR="007F5E75" w:rsidRPr="00542EB9">
        <w:rPr>
          <w:noProof/>
        </w:rPr>
        <w:t>Fiscalis, and the Union Anti-Fraud Programme</w:t>
      </w:r>
      <w:r w:rsidR="00266677" w:rsidRPr="00542EB9">
        <w:rPr>
          <w:noProof/>
        </w:rPr>
        <w:t>s</w:t>
      </w:r>
      <w:r w:rsidR="007F5E75" w:rsidRPr="00542EB9">
        <w:rPr>
          <w:noProof/>
        </w:rPr>
        <w:t>.</w:t>
      </w:r>
      <w:r w:rsidR="003D62C3" w:rsidRPr="00542EB9">
        <w:rPr>
          <w:noProof/>
        </w:rPr>
        <w:t xml:space="preserve"> </w:t>
      </w:r>
      <w:r w:rsidR="0038458A" w:rsidRPr="00542EB9">
        <w:rPr>
          <w:noProof/>
        </w:rPr>
        <w:t>T</w:t>
      </w:r>
      <w:r w:rsidR="00DF6DF9" w:rsidRPr="00542EB9">
        <w:rPr>
          <w:noProof/>
        </w:rPr>
        <w:t xml:space="preserve">he experience of the Single Market Programme, which </w:t>
      </w:r>
      <w:r w:rsidR="0069468D" w:rsidRPr="00542EB9">
        <w:rPr>
          <w:noProof/>
        </w:rPr>
        <w:t>follows</w:t>
      </w:r>
      <w:r w:rsidR="00DF6DF9" w:rsidRPr="00542EB9">
        <w:rPr>
          <w:noProof/>
        </w:rPr>
        <w:t xml:space="preserve"> the format of </w:t>
      </w:r>
      <w:r w:rsidR="0069468D" w:rsidRPr="00542EB9">
        <w:rPr>
          <w:noProof/>
        </w:rPr>
        <w:t>an</w:t>
      </w:r>
      <w:r w:rsidR="00DF6DF9" w:rsidRPr="00542EB9">
        <w:rPr>
          <w:noProof/>
        </w:rPr>
        <w:t xml:space="preserve"> integrated scenario, </w:t>
      </w:r>
      <w:r w:rsidR="0038458A" w:rsidRPr="00542EB9">
        <w:rPr>
          <w:noProof/>
        </w:rPr>
        <w:t xml:space="preserve">has revealed </w:t>
      </w:r>
      <w:r w:rsidR="00B73522" w:rsidRPr="00542EB9">
        <w:rPr>
          <w:noProof/>
        </w:rPr>
        <w:t xml:space="preserve">that there are definite challenges and limits that </w:t>
      </w:r>
      <w:r w:rsidR="00A55966" w:rsidRPr="00542EB9">
        <w:rPr>
          <w:noProof/>
        </w:rPr>
        <w:t>can</w:t>
      </w:r>
      <w:r w:rsidR="00B73522" w:rsidRPr="00542EB9">
        <w:rPr>
          <w:noProof/>
        </w:rPr>
        <w:t>not be ignored</w:t>
      </w:r>
      <w:r w:rsidR="00606C94" w:rsidRPr="00542EB9">
        <w:rPr>
          <w:noProof/>
        </w:rPr>
        <w:t xml:space="preserve"> in such scenario</w:t>
      </w:r>
      <w:r w:rsidR="00B73522" w:rsidRPr="00542EB9">
        <w:rPr>
          <w:noProof/>
        </w:rPr>
        <w:t xml:space="preserve">. </w:t>
      </w:r>
      <w:r w:rsidR="00370398" w:rsidRPr="00542EB9">
        <w:rPr>
          <w:noProof/>
        </w:rPr>
        <w:t>The Customs, the Fiscalis and the Anti-fraud Programmes</w:t>
      </w:r>
      <w:r w:rsidR="002A2B58" w:rsidRPr="00542EB9">
        <w:rPr>
          <w:noProof/>
        </w:rPr>
        <w:t xml:space="preserve"> indirectly </w:t>
      </w:r>
      <w:r w:rsidR="00BA314C" w:rsidRPr="00542EB9">
        <w:rPr>
          <w:noProof/>
        </w:rPr>
        <w:t xml:space="preserve">assessed the advantages and the </w:t>
      </w:r>
      <w:r w:rsidR="009835AE" w:rsidRPr="00542EB9">
        <w:rPr>
          <w:noProof/>
        </w:rPr>
        <w:t>potential downsides of their stand-alone nature.</w:t>
      </w:r>
    </w:p>
    <w:p w14:paraId="2FE0F135" w14:textId="24F10EB8" w:rsidR="001376A6" w:rsidRPr="00542EB9" w:rsidRDefault="009835AE" w:rsidP="001376A6">
      <w:pPr>
        <w:pStyle w:val="BodyText1"/>
        <w:rPr>
          <w:rFonts w:ascii="Times New Roman" w:hAnsi="Times New Roman"/>
          <w:noProof/>
          <w:sz w:val="24"/>
          <w:szCs w:val="24"/>
        </w:rPr>
      </w:pPr>
      <w:r w:rsidRPr="00542EB9">
        <w:rPr>
          <w:rFonts w:ascii="Times New Roman" w:hAnsi="Times New Roman"/>
          <w:noProof/>
          <w:sz w:val="24"/>
          <w:szCs w:val="24"/>
        </w:rPr>
        <w:t>Based primarily on the SMP experience</w:t>
      </w:r>
      <w:r w:rsidR="00D026F1" w:rsidRPr="00542EB9">
        <w:rPr>
          <w:rFonts w:ascii="Times New Roman" w:hAnsi="Times New Roman"/>
          <w:noProof/>
          <w:sz w:val="24"/>
          <w:szCs w:val="24"/>
        </w:rPr>
        <w:t xml:space="preserve"> and the findings of the programme’s interim evaluation</w:t>
      </w:r>
      <w:r w:rsidRPr="00542EB9">
        <w:rPr>
          <w:rFonts w:ascii="Times New Roman" w:hAnsi="Times New Roman"/>
          <w:noProof/>
          <w:sz w:val="24"/>
          <w:szCs w:val="24"/>
        </w:rPr>
        <w:t xml:space="preserve">, </w:t>
      </w:r>
      <w:r w:rsidR="00556C02" w:rsidRPr="00542EB9">
        <w:rPr>
          <w:rFonts w:ascii="Times New Roman" w:hAnsi="Times New Roman"/>
          <w:noProof/>
          <w:sz w:val="24"/>
          <w:szCs w:val="24"/>
        </w:rPr>
        <w:t xml:space="preserve">the integrated scenario </w:t>
      </w:r>
      <w:r w:rsidR="00775739" w:rsidRPr="00542EB9">
        <w:rPr>
          <w:rFonts w:ascii="Times New Roman" w:hAnsi="Times New Roman"/>
          <w:noProof/>
          <w:sz w:val="24"/>
          <w:szCs w:val="24"/>
        </w:rPr>
        <w:t xml:space="preserve">overall </w:t>
      </w:r>
      <w:r w:rsidR="002C160B" w:rsidRPr="00542EB9">
        <w:rPr>
          <w:rFonts w:ascii="Times New Roman" w:hAnsi="Times New Roman"/>
          <w:noProof/>
          <w:sz w:val="24"/>
          <w:szCs w:val="24"/>
        </w:rPr>
        <w:t>programme</w:t>
      </w:r>
      <w:r w:rsidR="006C6155" w:rsidRPr="00542EB9">
        <w:rPr>
          <w:rFonts w:ascii="Times New Roman" w:hAnsi="Times New Roman"/>
          <w:noProof/>
          <w:sz w:val="24"/>
          <w:szCs w:val="24"/>
        </w:rPr>
        <w:t xml:space="preserve"> design </w:t>
      </w:r>
      <w:r w:rsidR="009132D2" w:rsidRPr="00542EB9">
        <w:rPr>
          <w:rFonts w:ascii="Times New Roman" w:hAnsi="Times New Roman"/>
          <w:noProof/>
          <w:sz w:val="24"/>
          <w:szCs w:val="24"/>
        </w:rPr>
        <w:t xml:space="preserve">would address the </w:t>
      </w:r>
      <w:r w:rsidR="00D968ED" w:rsidRPr="00542EB9">
        <w:rPr>
          <w:rFonts w:ascii="Times New Roman" w:hAnsi="Times New Roman"/>
          <w:noProof/>
          <w:sz w:val="24"/>
          <w:szCs w:val="24"/>
        </w:rPr>
        <w:t xml:space="preserve">limited flexibility identified for the baseline and </w:t>
      </w:r>
      <w:r w:rsidR="00ED7722" w:rsidRPr="00542EB9">
        <w:rPr>
          <w:rFonts w:ascii="Times New Roman" w:hAnsi="Times New Roman"/>
          <w:noProof/>
          <w:sz w:val="24"/>
          <w:szCs w:val="24"/>
        </w:rPr>
        <w:t xml:space="preserve">would drive towards </w:t>
      </w:r>
      <w:r w:rsidR="002C160B" w:rsidRPr="00542EB9">
        <w:rPr>
          <w:rFonts w:ascii="Times New Roman" w:hAnsi="Times New Roman"/>
          <w:noProof/>
          <w:sz w:val="24"/>
          <w:szCs w:val="24"/>
        </w:rPr>
        <w:t xml:space="preserve">simplifications and </w:t>
      </w:r>
      <w:r w:rsidR="00ED7722" w:rsidRPr="00542EB9">
        <w:rPr>
          <w:rFonts w:ascii="Times New Roman" w:hAnsi="Times New Roman"/>
          <w:noProof/>
          <w:sz w:val="24"/>
          <w:szCs w:val="24"/>
        </w:rPr>
        <w:t xml:space="preserve">more </w:t>
      </w:r>
      <w:r w:rsidR="002C160B" w:rsidRPr="00542EB9">
        <w:rPr>
          <w:rFonts w:ascii="Times New Roman" w:hAnsi="Times New Roman"/>
          <w:noProof/>
          <w:sz w:val="24"/>
          <w:szCs w:val="24"/>
        </w:rPr>
        <w:t xml:space="preserve">synergies. </w:t>
      </w:r>
    </w:p>
    <w:p w14:paraId="17C857E0" w14:textId="77777777" w:rsidR="00003000" w:rsidRPr="00542EB9" w:rsidRDefault="00003000" w:rsidP="00003000">
      <w:pPr>
        <w:widowControl w:val="0"/>
        <w:spacing w:before="120" w:after="120"/>
        <w:rPr>
          <w:rFonts w:eastAsia="Times New Roman"/>
          <w:noProof/>
        </w:rPr>
      </w:pPr>
      <w:r w:rsidRPr="00542EB9">
        <w:rPr>
          <w:rFonts w:eastAsia="Times New Roman"/>
          <w:noProof/>
        </w:rPr>
        <w:t>The main direct benefits will accrue to public authorities, including competent authorities at national level and the European Commission. This benefit will largely relate to better policymaking and law enforcement. Citizens, consumers and businesses will gain much less direct benefit as described below.</w:t>
      </w:r>
    </w:p>
    <w:p w14:paraId="59D28375" w14:textId="192A06DE" w:rsidR="007C4D0E" w:rsidRPr="00542EB9" w:rsidRDefault="00EE1FB1" w:rsidP="007C4D0E">
      <w:pPr>
        <w:widowControl w:val="0"/>
        <w:spacing w:before="120" w:after="120"/>
        <w:rPr>
          <w:rFonts w:eastAsia="Times New Roman"/>
          <w:noProof/>
        </w:rPr>
      </w:pPr>
      <w:r w:rsidRPr="00542EB9">
        <w:rPr>
          <w:rFonts w:eastAsia="Times New Roman"/>
          <w:noProof/>
        </w:rPr>
        <w:t xml:space="preserve">The </w:t>
      </w:r>
      <w:r w:rsidRPr="00542EB9">
        <w:rPr>
          <w:rFonts w:eastAsia="Times New Roman"/>
          <w:b/>
          <w:noProof/>
        </w:rPr>
        <w:t>integrated scenario</w:t>
      </w:r>
      <w:r w:rsidRPr="00542EB9">
        <w:rPr>
          <w:rFonts w:eastAsia="Times New Roman"/>
          <w:noProof/>
        </w:rPr>
        <w:t xml:space="preserve"> would offer</w:t>
      </w:r>
      <w:r w:rsidR="0022432B" w:rsidRPr="00542EB9">
        <w:rPr>
          <w:rFonts w:eastAsia="Times New Roman"/>
          <w:noProof/>
        </w:rPr>
        <w:t xml:space="preserve"> the</w:t>
      </w:r>
      <w:r w:rsidRPr="00542EB9">
        <w:rPr>
          <w:rFonts w:eastAsia="Times New Roman"/>
          <w:noProof/>
        </w:rPr>
        <w:t xml:space="preserve"> d</w:t>
      </w:r>
      <w:r w:rsidR="007C4D0E" w:rsidRPr="00542EB9">
        <w:rPr>
          <w:rFonts w:eastAsia="Times New Roman"/>
          <w:noProof/>
        </w:rPr>
        <w:t>irect</w:t>
      </w:r>
      <w:r w:rsidR="003A5C99" w:rsidRPr="00542EB9">
        <w:rPr>
          <w:rFonts w:eastAsia="Times New Roman"/>
          <w:noProof/>
        </w:rPr>
        <w:t xml:space="preserve"> and indirect</w:t>
      </w:r>
      <w:r w:rsidR="007C4D0E" w:rsidRPr="00542EB9">
        <w:rPr>
          <w:rFonts w:eastAsia="Times New Roman"/>
          <w:noProof/>
        </w:rPr>
        <w:t xml:space="preserve"> benefits for </w:t>
      </w:r>
      <w:r w:rsidR="007C4D0E" w:rsidRPr="00542EB9">
        <w:rPr>
          <w:rFonts w:eastAsia="Times New Roman"/>
          <w:b/>
          <w:bCs/>
          <w:noProof/>
        </w:rPr>
        <w:t>national authorities</w:t>
      </w:r>
      <w:r w:rsidR="007C4D0E" w:rsidRPr="00542EB9">
        <w:rPr>
          <w:rFonts w:eastAsia="Times New Roman"/>
          <w:noProof/>
        </w:rPr>
        <w:t xml:space="preserve"> </w:t>
      </w:r>
      <w:r w:rsidR="0022432B" w:rsidRPr="00542EB9">
        <w:rPr>
          <w:rFonts w:eastAsia="Times New Roman"/>
          <w:noProof/>
        </w:rPr>
        <w:t>identified in the baseline</w:t>
      </w:r>
      <w:r w:rsidR="006963B2" w:rsidRPr="00542EB9">
        <w:rPr>
          <w:rFonts w:eastAsia="Times New Roman"/>
          <w:noProof/>
        </w:rPr>
        <w:t xml:space="preserve">. These </w:t>
      </w:r>
      <w:r w:rsidR="007C4D0E" w:rsidRPr="00542EB9">
        <w:rPr>
          <w:rFonts w:eastAsia="Times New Roman"/>
          <w:noProof/>
        </w:rPr>
        <w:t>materialise as an increased capacity, skills and knowledge, better access to facilities, expertise, increased digitalisation of public administration and law enforcement, enhanced co-operation with other authorities, secure and effective exchange of confidential information with the Commission and a reduced burden (e.g. better case management; easier and more secure transfer of documents and exchange of information). Indirect benefits are seen with regards to a better implementation and enforcement of Union law, a reduced cost of implementation and enforcement of Union law, increased tax and customs revenues and a reduction in tax fraud, evasion and avoidance.</w:t>
      </w:r>
    </w:p>
    <w:p w14:paraId="089661A1" w14:textId="3D0DBD93" w:rsidR="00CC7DC6" w:rsidRPr="00542EB9" w:rsidRDefault="00CC7DC6" w:rsidP="00CC7DC6">
      <w:pPr>
        <w:spacing w:before="60" w:after="60"/>
        <w:rPr>
          <w:rFonts w:eastAsia="Times New Roman"/>
          <w:noProof/>
        </w:rPr>
      </w:pPr>
      <w:r w:rsidRPr="00542EB9">
        <w:rPr>
          <w:rFonts w:eastAsia="Times New Roman"/>
          <w:noProof/>
        </w:rPr>
        <w:t>The</w:t>
      </w:r>
      <w:r w:rsidRPr="00542EB9">
        <w:rPr>
          <w:rFonts w:eastAsia="Times New Roman"/>
          <w:b/>
          <w:noProof/>
        </w:rPr>
        <w:t xml:space="preserve"> integrated scenario</w:t>
      </w:r>
      <w:r w:rsidRPr="00542EB9">
        <w:rPr>
          <w:rFonts w:eastAsia="Times New Roman"/>
          <w:noProof/>
        </w:rPr>
        <w:t xml:space="preserve"> in addition </w:t>
      </w:r>
      <w:r w:rsidR="003A43F7" w:rsidRPr="00542EB9">
        <w:rPr>
          <w:rFonts w:eastAsia="Times New Roman"/>
          <w:noProof/>
        </w:rPr>
        <w:t xml:space="preserve">would </w:t>
      </w:r>
      <w:r w:rsidRPr="00542EB9">
        <w:rPr>
          <w:rFonts w:eastAsia="Times New Roman"/>
          <w:noProof/>
        </w:rPr>
        <w:t xml:space="preserve">ensure that more/better activities are implemented to support </w:t>
      </w:r>
      <w:r w:rsidRPr="00542EB9">
        <w:rPr>
          <w:rFonts w:eastAsia="Times New Roman"/>
          <w:b/>
          <w:noProof/>
        </w:rPr>
        <w:t>national authorities</w:t>
      </w:r>
      <w:r w:rsidRPr="00542EB9">
        <w:rPr>
          <w:rFonts w:eastAsia="Times New Roman"/>
          <w:noProof/>
        </w:rPr>
        <w:t xml:space="preserve"> (to build capacity, enhance co-operation, etc.) thanks to synergies, flexibilities and simplfications in programme design and participation in grant-funded projects made easier and more effective with streamlined conditions (single set of requirements, Common Rulebook, etc.).</w:t>
      </w:r>
    </w:p>
    <w:p w14:paraId="04E89F09" w14:textId="484AE554" w:rsidR="00AE746B" w:rsidRPr="00542EB9" w:rsidRDefault="00DB3A6C" w:rsidP="00AE746B">
      <w:pPr>
        <w:widowControl w:val="0"/>
        <w:spacing w:before="120" w:after="120"/>
        <w:rPr>
          <w:rFonts w:eastAsia="Times New Roman"/>
          <w:noProof/>
        </w:rPr>
      </w:pPr>
      <w:r w:rsidRPr="00542EB9">
        <w:rPr>
          <w:noProof/>
        </w:rPr>
        <w:t xml:space="preserve">The integrated scenario would offer the direct and indirect benefits for </w:t>
      </w:r>
      <w:r w:rsidRPr="00542EB9">
        <w:rPr>
          <w:b/>
          <w:bCs/>
          <w:noProof/>
        </w:rPr>
        <w:t>Commission services</w:t>
      </w:r>
      <w:r w:rsidRPr="00542EB9">
        <w:rPr>
          <w:noProof/>
        </w:rPr>
        <w:t xml:space="preserve"> identified in the baseline.</w:t>
      </w:r>
      <w:r w:rsidR="00AE746B" w:rsidRPr="00542EB9">
        <w:rPr>
          <w:rFonts w:eastAsia="Times New Roman"/>
          <w:noProof/>
        </w:rPr>
        <w:t xml:space="preserve"> Direct benefits are increased capacity, skills and knowledge, better access to facilities, expertise, increased digitalisation of public administration and law enforcement as well as enhanced co-operation with other authorities. </w:t>
      </w:r>
      <w:r w:rsidR="00F92736" w:rsidRPr="00542EB9">
        <w:rPr>
          <w:rFonts w:eastAsia="Times New Roman"/>
          <w:noProof/>
        </w:rPr>
        <w:t xml:space="preserve">Another direct benefit would be </w:t>
      </w:r>
      <w:r w:rsidR="00AE746B" w:rsidRPr="00542EB9">
        <w:rPr>
          <w:rFonts w:eastAsia="Times New Roman"/>
          <w:noProof/>
        </w:rPr>
        <w:t>the secure and effective exchange of confidential information with third parties, a reduced burden (e.g. better case management; easier and more secure transfer of documents and exchange of information). Indirectly the European Commission benefits from a better implementation and enforcement of Union law, a reduced cost of implementation and enforcement of Union law, increased tax and customs revenues, a reduction in tax fraud, evasion and avoidance</w:t>
      </w:r>
      <w:r w:rsidR="00985CD9" w:rsidRPr="00542EB9">
        <w:rPr>
          <w:rFonts w:eastAsia="Times New Roman"/>
          <w:noProof/>
        </w:rPr>
        <w:t>.</w:t>
      </w:r>
    </w:p>
    <w:p w14:paraId="2A3A9FD1" w14:textId="67BAC329" w:rsidR="008B1929" w:rsidRPr="00542EB9" w:rsidRDefault="003E197E" w:rsidP="001376A6">
      <w:pPr>
        <w:pStyle w:val="BodyText1"/>
        <w:rPr>
          <w:rFonts w:ascii="Times New Roman" w:hAnsi="Times New Roman"/>
          <w:noProof/>
          <w:sz w:val="24"/>
          <w:szCs w:val="24"/>
        </w:rPr>
      </w:pPr>
      <w:r w:rsidRPr="00542EB9">
        <w:rPr>
          <w:rFonts w:ascii="Times New Roman" w:hAnsi="Times New Roman"/>
          <w:noProof/>
          <w:sz w:val="24"/>
          <w:szCs w:val="24"/>
        </w:rPr>
        <w:t xml:space="preserve">The </w:t>
      </w:r>
      <w:r w:rsidRPr="00542EB9">
        <w:rPr>
          <w:rFonts w:ascii="Times New Roman" w:hAnsi="Times New Roman"/>
          <w:b/>
          <w:noProof/>
          <w:sz w:val="24"/>
          <w:szCs w:val="24"/>
        </w:rPr>
        <w:t>integrated scenario</w:t>
      </w:r>
      <w:r w:rsidRPr="00542EB9">
        <w:rPr>
          <w:rFonts w:ascii="Times New Roman" w:hAnsi="Times New Roman"/>
          <w:noProof/>
          <w:sz w:val="24"/>
          <w:szCs w:val="24"/>
        </w:rPr>
        <w:t xml:space="preserve"> </w:t>
      </w:r>
      <w:r w:rsidR="003A43F7" w:rsidRPr="00542EB9">
        <w:rPr>
          <w:rFonts w:ascii="Times New Roman" w:hAnsi="Times New Roman"/>
          <w:noProof/>
          <w:sz w:val="24"/>
          <w:szCs w:val="24"/>
        </w:rPr>
        <w:t xml:space="preserve">would offer the same type of benefits (such as resource savings) for </w:t>
      </w:r>
      <w:r w:rsidR="003A43F7" w:rsidRPr="00542EB9">
        <w:rPr>
          <w:rFonts w:ascii="Times New Roman" w:hAnsi="Times New Roman"/>
          <w:b/>
          <w:noProof/>
          <w:sz w:val="24"/>
          <w:szCs w:val="24"/>
        </w:rPr>
        <w:t>Commission services</w:t>
      </w:r>
      <w:r w:rsidR="003A43F7" w:rsidRPr="00542EB9">
        <w:rPr>
          <w:rFonts w:ascii="Times New Roman" w:hAnsi="Times New Roman"/>
          <w:noProof/>
          <w:sz w:val="24"/>
          <w:szCs w:val="24"/>
        </w:rPr>
        <w:t xml:space="preserve"> except where more/better activities to support the Commission’s policymaking and law enforcement role are implemented due to synergies, flexibilities and simplifications in programme design (e.g. joint procurement) and programme management is less burdensome (harmonised, legal provisions, common reporting templates, single set of requirements, common rulebook, etc.).</w:t>
      </w:r>
    </w:p>
    <w:p w14:paraId="06C3BC27" w14:textId="1E41EABB" w:rsidR="00CF3482" w:rsidRPr="00542EB9" w:rsidRDefault="003D5CD0" w:rsidP="001376A6">
      <w:pPr>
        <w:pStyle w:val="BodyText1"/>
        <w:rPr>
          <w:rFonts w:ascii="Times New Roman" w:hAnsi="Times New Roman"/>
          <w:noProof/>
          <w:sz w:val="24"/>
          <w:szCs w:val="24"/>
        </w:rPr>
      </w:pPr>
      <w:r w:rsidRPr="00542EB9">
        <w:rPr>
          <w:rFonts w:ascii="Times New Roman" w:hAnsi="Times New Roman"/>
          <w:noProof/>
          <w:sz w:val="24"/>
          <w:szCs w:val="24"/>
        </w:rPr>
        <w:t>Costs would not be different</w:t>
      </w:r>
      <w:r w:rsidR="00CB7243" w:rsidRPr="00542EB9">
        <w:rPr>
          <w:rFonts w:ascii="Times New Roman" w:hAnsi="Times New Roman"/>
          <w:noProof/>
          <w:sz w:val="24"/>
          <w:szCs w:val="24"/>
        </w:rPr>
        <w:t xml:space="preserve"> from those identified in the baseline</w:t>
      </w:r>
      <w:r w:rsidRPr="00542EB9">
        <w:rPr>
          <w:rFonts w:ascii="Times New Roman" w:hAnsi="Times New Roman"/>
          <w:noProof/>
          <w:sz w:val="24"/>
          <w:szCs w:val="24"/>
        </w:rPr>
        <w:t xml:space="preserve"> in case of the integrated </w:t>
      </w:r>
      <w:r w:rsidR="00CC3B3D" w:rsidRPr="00542EB9">
        <w:rPr>
          <w:rFonts w:ascii="Times New Roman" w:hAnsi="Times New Roman"/>
          <w:noProof/>
          <w:sz w:val="24"/>
          <w:szCs w:val="24"/>
        </w:rPr>
        <w:t xml:space="preserve">scenario </w:t>
      </w:r>
      <w:r w:rsidRPr="00542EB9">
        <w:rPr>
          <w:rFonts w:ascii="Times New Roman" w:hAnsi="Times New Roman"/>
          <w:noProof/>
          <w:sz w:val="24"/>
          <w:szCs w:val="24"/>
        </w:rPr>
        <w:t xml:space="preserve">for </w:t>
      </w:r>
      <w:r w:rsidRPr="00542EB9">
        <w:rPr>
          <w:rFonts w:ascii="Times New Roman" w:hAnsi="Times New Roman"/>
          <w:b/>
          <w:bCs/>
          <w:noProof/>
          <w:sz w:val="24"/>
          <w:szCs w:val="24"/>
        </w:rPr>
        <w:t>citizens, consumers, businesses</w:t>
      </w:r>
      <w:r w:rsidRPr="00542EB9">
        <w:rPr>
          <w:rFonts w:ascii="Times New Roman" w:hAnsi="Times New Roman"/>
          <w:noProof/>
          <w:sz w:val="24"/>
          <w:szCs w:val="24"/>
        </w:rPr>
        <w:t xml:space="preserve">, except for a possible reduction in hassle in accessing services to the extent that services are less fragmented across policy areas, however also a possible increase in hassle, depending on need to adapt to different forms of service provision. </w:t>
      </w:r>
      <w:r w:rsidR="003D3514" w:rsidRPr="00542EB9">
        <w:rPr>
          <w:rFonts w:ascii="Times New Roman" w:hAnsi="Times New Roman"/>
          <w:b/>
          <w:noProof/>
          <w:sz w:val="24"/>
          <w:szCs w:val="24"/>
        </w:rPr>
        <w:t>Applicants and beneficiaries</w:t>
      </w:r>
      <w:r w:rsidR="003D3514" w:rsidRPr="00542EB9">
        <w:rPr>
          <w:rFonts w:ascii="Times New Roman" w:hAnsi="Times New Roman"/>
          <w:noProof/>
          <w:sz w:val="24"/>
          <w:szCs w:val="24"/>
        </w:rPr>
        <w:t xml:space="preserve"> would incur an administrative burden associated with EU grant funding</w:t>
      </w:r>
      <w:r w:rsidR="00770FD4" w:rsidRPr="00542EB9">
        <w:rPr>
          <w:rFonts w:ascii="Times New Roman" w:hAnsi="Times New Roman"/>
          <w:noProof/>
          <w:sz w:val="24"/>
          <w:szCs w:val="24"/>
        </w:rPr>
        <w:t xml:space="preserve">, </w:t>
      </w:r>
      <w:r w:rsidR="008F2519" w:rsidRPr="00542EB9">
        <w:rPr>
          <w:rFonts w:ascii="Times New Roman" w:hAnsi="Times New Roman"/>
          <w:noProof/>
          <w:sz w:val="24"/>
          <w:szCs w:val="24"/>
        </w:rPr>
        <w:t>varying by pillar and action</w:t>
      </w:r>
      <w:r w:rsidR="00CF3482" w:rsidRPr="00542EB9">
        <w:rPr>
          <w:rFonts w:ascii="Times New Roman" w:hAnsi="Times New Roman"/>
          <w:noProof/>
          <w:sz w:val="24"/>
          <w:szCs w:val="24"/>
        </w:rPr>
        <w:t>.</w:t>
      </w:r>
      <w:r w:rsidR="00D1045D" w:rsidRPr="00542EB9">
        <w:rPr>
          <w:rFonts w:ascii="Times New Roman" w:hAnsi="Times New Roman"/>
          <w:noProof/>
          <w:sz w:val="24"/>
          <w:szCs w:val="24"/>
        </w:rPr>
        <w:t xml:space="preserve"> </w:t>
      </w:r>
      <w:r w:rsidR="006A1D03" w:rsidRPr="00542EB9">
        <w:rPr>
          <w:rFonts w:ascii="Times New Roman" w:hAnsi="Times New Roman"/>
          <w:noProof/>
          <w:sz w:val="24"/>
          <w:szCs w:val="24"/>
        </w:rPr>
        <w:t>R</w:t>
      </w:r>
      <w:r w:rsidR="004A110A" w:rsidRPr="00542EB9">
        <w:rPr>
          <w:rFonts w:ascii="Times New Roman" w:hAnsi="Times New Roman"/>
          <w:noProof/>
          <w:sz w:val="24"/>
          <w:szCs w:val="24"/>
        </w:rPr>
        <w:t>efinements</w:t>
      </w:r>
      <w:r w:rsidR="00D1045D" w:rsidRPr="00542EB9">
        <w:rPr>
          <w:rFonts w:ascii="Times New Roman" w:hAnsi="Times New Roman"/>
          <w:noProof/>
          <w:sz w:val="24"/>
          <w:szCs w:val="24"/>
        </w:rPr>
        <w:t xml:space="preserve"> could be intended to reduce the administrative burden on applicants and beneficiaries. </w:t>
      </w:r>
      <w:r w:rsidR="00CA4807" w:rsidRPr="00542EB9">
        <w:rPr>
          <w:rFonts w:ascii="Times New Roman" w:hAnsi="Times New Roman"/>
          <w:noProof/>
          <w:sz w:val="24"/>
          <w:szCs w:val="24"/>
        </w:rPr>
        <w:t>A common rulebook may reduce costs</w:t>
      </w:r>
      <w:r w:rsidR="006331C6" w:rsidRPr="00542EB9">
        <w:rPr>
          <w:rFonts w:ascii="Times New Roman" w:hAnsi="Times New Roman"/>
          <w:noProof/>
          <w:sz w:val="24"/>
          <w:szCs w:val="24"/>
        </w:rPr>
        <w:t xml:space="preserve">, </w:t>
      </w:r>
      <w:r w:rsidR="00CC524C" w:rsidRPr="00542EB9">
        <w:rPr>
          <w:rFonts w:ascii="Times New Roman" w:hAnsi="Times New Roman"/>
          <w:noProof/>
          <w:sz w:val="24"/>
          <w:szCs w:val="24"/>
        </w:rPr>
        <w:t xml:space="preserve">if not adopted the administrative burden for </w:t>
      </w:r>
      <w:r w:rsidR="00F040AE" w:rsidRPr="00542EB9">
        <w:rPr>
          <w:rFonts w:ascii="Times New Roman" w:hAnsi="Times New Roman"/>
          <w:noProof/>
          <w:sz w:val="24"/>
          <w:szCs w:val="24"/>
        </w:rPr>
        <w:t xml:space="preserve">applicants and beneficiaries would remain similar to the </w:t>
      </w:r>
      <w:r w:rsidR="0054295C" w:rsidRPr="00542EB9">
        <w:rPr>
          <w:rFonts w:ascii="Times New Roman" w:hAnsi="Times New Roman"/>
          <w:noProof/>
          <w:sz w:val="24"/>
          <w:szCs w:val="24"/>
        </w:rPr>
        <w:t xml:space="preserve">one incurred </w:t>
      </w:r>
      <w:r w:rsidR="00B65E52" w:rsidRPr="00542EB9">
        <w:rPr>
          <w:rFonts w:ascii="Times New Roman" w:hAnsi="Times New Roman"/>
          <w:noProof/>
          <w:sz w:val="24"/>
          <w:szCs w:val="24"/>
        </w:rPr>
        <w:t>under</w:t>
      </w:r>
      <w:r w:rsidR="0054295C" w:rsidRPr="00542EB9">
        <w:rPr>
          <w:rFonts w:ascii="Times New Roman" w:hAnsi="Times New Roman"/>
          <w:noProof/>
          <w:sz w:val="24"/>
          <w:szCs w:val="24"/>
        </w:rPr>
        <w:t xml:space="preserve"> the </w:t>
      </w:r>
      <w:r w:rsidR="006A1D03" w:rsidRPr="00542EB9">
        <w:rPr>
          <w:rFonts w:ascii="Times New Roman" w:hAnsi="Times New Roman"/>
          <w:noProof/>
          <w:sz w:val="24"/>
          <w:szCs w:val="24"/>
        </w:rPr>
        <w:t>baseline</w:t>
      </w:r>
      <w:r w:rsidR="0054295C" w:rsidRPr="00542EB9">
        <w:rPr>
          <w:rFonts w:ascii="Times New Roman" w:hAnsi="Times New Roman"/>
          <w:noProof/>
          <w:sz w:val="24"/>
          <w:szCs w:val="24"/>
        </w:rPr>
        <w:t>.</w:t>
      </w:r>
      <w:r w:rsidR="00F34E7A" w:rsidRPr="00542EB9">
        <w:rPr>
          <w:rFonts w:ascii="Times New Roman" w:hAnsi="Times New Roman"/>
          <w:noProof/>
          <w:sz w:val="24"/>
          <w:szCs w:val="24"/>
        </w:rPr>
        <w:t xml:space="preserve"> For national authorities the same costs apply compared to the baseline situation, noting that for the integrated scenario administrative costs may be reduced due to a single set of requirements and a common rulebook.</w:t>
      </w:r>
    </w:p>
    <w:p w14:paraId="63EA4FA4" w14:textId="412BE914" w:rsidR="00D1045D" w:rsidRPr="00542EB9" w:rsidRDefault="00B65E52" w:rsidP="001376A6">
      <w:pPr>
        <w:pStyle w:val="BodyText1"/>
        <w:rPr>
          <w:rFonts w:ascii="Times New Roman" w:hAnsi="Times New Roman"/>
          <w:noProof/>
          <w:sz w:val="24"/>
          <w:szCs w:val="24"/>
        </w:rPr>
      </w:pPr>
      <w:r w:rsidRPr="00542EB9">
        <w:rPr>
          <w:rFonts w:ascii="Times New Roman" w:hAnsi="Times New Roman"/>
          <w:noProof/>
          <w:sz w:val="24"/>
          <w:szCs w:val="24"/>
        </w:rPr>
        <w:t xml:space="preserve">Costs incurred by </w:t>
      </w:r>
      <w:r w:rsidRPr="00542EB9">
        <w:rPr>
          <w:rFonts w:ascii="Times New Roman" w:hAnsi="Times New Roman"/>
          <w:b/>
          <w:noProof/>
          <w:sz w:val="24"/>
          <w:szCs w:val="24"/>
        </w:rPr>
        <w:t>national authorities</w:t>
      </w:r>
      <w:r w:rsidRPr="00542EB9">
        <w:rPr>
          <w:rFonts w:ascii="Times New Roman" w:hAnsi="Times New Roman"/>
          <w:noProof/>
          <w:sz w:val="24"/>
          <w:szCs w:val="24"/>
        </w:rPr>
        <w:t xml:space="preserve"> would be similar </w:t>
      </w:r>
      <w:r w:rsidR="006705B8" w:rsidRPr="00542EB9">
        <w:rPr>
          <w:rFonts w:ascii="Times New Roman" w:hAnsi="Times New Roman"/>
          <w:noProof/>
          <w:sz w:val="24"/>
          <w:szCs w:val="24"/>
        </w:rPr>
        <w:t>if not identical</w:t>
      </w:r>
      <w:r w:rsidRPr="00542EB9">
        <w:rPr>
          <w:rFonts w:ascii="Times New Roman" w:hAnsi="Times New Roman"/>
          <w:noProof/>
          <w:sz w:val="24"/>
          <w:szCs w:val="24"/>
        </w:rPr>
        <w:t xml:space="preserve"> to those incurred under the </w:t>
      </w:r>
      <w:r w:rsidR="006A1D03" w:rsidRPr="00542EB9">
        <w:rPr>
          <w:rFonts w:ascii="Times New Roman" w:hAnsi="Times New Roman"/>
          <w:noProof/>
          <w:sz w:val="24"/>
          <w:szCs w:val="24"/>
        </w:rPr>
        <w:t>baseline</w:t>
      </w:r>
      <w:r w:rsidRPr="00542EB9">
        <w:rPr>
          <w:rFonts w:ascii="Times New Roman" w:hAnsi="Times New Roman"/>
          <w:noProof/>
          <w:sz w:val="24"/>
          <w:szCs w:val="24"/>
        </w:rPr>
        <w:t>.</w:t>
      </w:r>
      <w:r w:rsidR="00487642" w:rsidRPr="00542EB9">
        <w:rPr>
          <w:rFonts w:ascii="Times New Roman" w:hAnsi="Times New Roman"/>
          <w:noProof/>
          <w:sz w:val="24"/>
          <w:szCs w:val="24"/>
        </w:rPr>
        <w:t xml:space="preserve"> </w:t>
      </w:r>
    </w:p>
    <w:p w14:paraId="69D5A61E" w14:textId="7412CBE8" w:rsidR="00024DEA" w:rsidRPr="00542EB9" w:rsidRDefault="00024DEA" w:rsidP="005C20F2">
      <w:pPr>
        <w:pStyle w:val="Text2"/>
        <w:ind w:left="0"/>
        <w:rPr>
          <w:noProof/>
        </w:rPr>
      </w:pPr>
      <w:r w:rsidRPr="00542EB9">
        <w:rPr>
          <w:noProof/>
        </w:rPr>
        <w:t xml:space="preserve">On the level of the </w:t>
      </w:r>
      <w:r w:rsidRPr="00542EB9">
        <w:rPr>
          <w:b/>
          <w:noProof/>
        </w:rPr>
        <w:t>Commission services</w:t>
      </w:r>
      <w:r w:rsidRPr="00542EB9">
        <w:rPr>
          <w:noProof/>
        </w:rPr>
        <w:t xml:space="preserve">, the direct cost for implementing the programme is fixed with a maximum ceiling of 5% of SMP programme budget, 2% of UAFP programme budget whereas the Customs and Fiscalis programmes do not include such defined ceiling. </w:t>
      </w:r>
    </w:p>
    <w:p w14:paraId="4E755BF1" w14:textId="3E9475BD" w:rsidR="00730962" w:rsidRPr="00542EB9" w:rsidRDefault="00730962" w:rsidP="008614B1">
      <w:pPr>
        <w:pStyle w:val="Bullets2"/>
        <w:numPr>
          <w:ilvl w:val="0"/>
          <w:numId w:val="0"/>
        </w:numPr>
        <w:spacing w:before="60" w:after="60"/>
        <w:rPr>
          <w:rFonts w:ascii="Times New Roman" w:hAnsi="Times New Roman"/>
          <w:sz w:val="24"/>
          <w:szCs w:val="24"/>
          <w:lang w:val="en-GB"/>
        </w:rPr>
      </w:pPr>
      <w:r w:rsidRPr="00542EB9">
        <w:rPr>
          <w:rFonts w:ascii="Times New Roman" w:hAnsi="Times New Roman"/>
          <w:sz w:val="24"/>
          <w:szCs w:val="24"/>
          <w:lang w:val="en-GB"/>
        </w:rPr>
        <w:t>Indirect costs could decrease to the extent that services are less fragmented across policy areas. However, administrative burden may increase depending on need to adapt to different forms of service provision.</w:t>
      </w:r>
    </w:p>
    <w:p w14:paraId="7B4A8BB0" w14:textId="03912781" w:rsidR="00C0406C" w:rsidRPr="00553437" w:rsidRDefault="00C0406C" w:rsidP="00C0406C">
      <w:pPr>
        <w:pStyle w:val="BodyText1"/>
        <w:rPr>
          <w:rFonts w:ascii="Times New Roman" w:hAnsi="Times New Roman"/>
          <w:noProof/>
          <w:sz w:val="24"/>
          <w:szCs w:val="24"/>
        </w:rPr>
      </w:pPr>
      <w:r w:rsidRPr="00542EB9">
        <w:rPr>
          <w:rFonts w:ascii="Times New Roman" w:hAnsi="Times New Roman"/>
          <w:noProof/>
          <w:sz w:val="24"/>
          <w:szCs w:val="24"/>
        </w:rPr>
        <w:t xml:space="preserve">The </w:t>
      </w:r>
      <w:r w:rsidRPr="00542EB9">
        <w:rPr>
          <w:rFonts w:ascii="Times New Roman" w:hAnsi="Times New Roman"/>
          <w:b/>
          <w:noProof/>
          <w:sz w:val="24"/>
          <w:szCs w:val="24"/>
        </w:rPr>
        <w:t>integrated</w:t>
      </w:r>
      <w:r w:rsidRPr="00542EB9">
        <w:rPr>
          <w:rFonts w:ascii="Times New Roman" w:hAnsi="Times New Roman"/>
          <w:noProof/>
          <w:sz w:val="24"/>
          <w:szCs w:val="24"/>
        </w:rPr>
        <w:t xml:space="preserve"> scenario would be beneficial with regards to programme management and implementation of activities that could be materialized through likely, yet limited, budgetary flexibility</w:t>
      </w:r>
      <w:r w:rsidRPr="00553437">
        <w:rPr>
          <w:rFonts w:ascii="Times New Roman" w:hAnsi="Times New Roman"/>
          <w:noProof/>
          <w:sz w:val="24"/>
          <w:szCs w:val="24"/>
        </w:rPr>
        <w:t>, depending on the level of increased administrative burden due to a new layer of programme-level coordination and adaptation costs.</w:t>
      </w:r>
    </w:p>
    <w:p w14:paraId="15003A72" w14:textId="708E8CB7" w:rsidR="006F4366" w:rsidRPr="00553437" w:rsidRDefault="006F4366" w:rsidP="00C0406C">
      <w:pPr>
        <w:pStyle w:val="BodyText1"/>
        <w:rPr>
          <w:rFonts w:ascii="Times New Roman" w:hAnsi="Times New Roman"/>
          <w:noProof/>
          <w:sz w:val="24"/>
          <w:szCs w:val="24"/>
        </w:rPr>
      </w:pPr>
      <w:r w:rsidRPr="00553437">
        <w:rPr>
          <w:rFonts w:ascii="Times New Roman" w:hAnsi="Times New Roman"/>
          <w:noProof/>
          <w:sz w:val="24"/>
          <w:szCs w:val="24"/>
        </w:rPr>
        <w:t xml:space="preserve">Under the integrated scenario, synergies, flexibilities and simplifications in programme design result in better services and enhanced higher-level effects for </w:t>
      </w:r>
      <w:r w:rsidRPr="00553437">
        <w:rPr>
          <w:rFonts w:ascii="Times New Roman" w:hAnsi="Times New Roman"/>
          <w:b/>
          <w:bCs/>
          <w:noProof/>
          <w:sz w:val="24"/>
          <w:szCs w:val="24"/>
        </w:rPr>
        <w:t>citizens, consumers and business</w:t>
      </w:r>
      <w:r w:rsidRPr="00553437">
        <w:rPr>
          <w:rFonts w:ascii="Times New Roman" w:hAnsi="Times New Roman"/>
          <w:noProof/>
          <w:sz w:val="24"/>
          <w:szCs w:val="24"/>
        </w:rPr>
        <w:t xml:space="preserve"> (e.g. product safety, standards, </w:t>
      </w:r>
      <w:r w:rsidR="004F040F" w:rsidRPr="00553437">
        <w:rPr>
          <w:rFonts w:ascii="Times New Roman" w:hAnsi="Times New Roman"/>
          <w:noProof/>
          <w:sz w:val="24"/>
          <w:szCs w:val="24"/>
        </w:rPr>
        <w:t xml:space="preserve">green transition, </w:t>
      </w:r>
      <w:r w:rsidRPr="00553437">
        <w:rPr>
          <w:rFonts w:ascii="Times New Roman" w:hAnsi="Times New Roman"/>
          <w:noProof/>
          <w:sz w:val="24"/>
          <w:szCs w:val="24"/>
        </w:rPr>
        <w:t>enforcement of competition rules, etc.).</w:t>
      </w:r>
    </w:p>
    <w:p w14:paraId="471AB9F4" w14:textId="1A405C68" w:rsidR="009F4493" w:rsidRPr="00542EB9" w:rsidRDefault="00556CF3" w:rsidP="00DF31A8">
      <w:pPr>
        <w:pStyle w:val="BodyText1"/>
        <w:rPr>
          <w:rFonts w:ascii="Times New Roman" w:hAnsi="Times New Roman"/>
          <w:noProof/>
          <w:sz w:val="24"/>
          <w:szCs w:val="24"/>
        </w:rPr>
      </w:pPr>
      <w:r w:rsidRPr="00553437">
        <w:rPr>
          <w:rFonts w:ascii="Times New Roman" w:hAnsi="Times New Roman"/>
          <w:noProof/>
          <w:sz w:val="24"/>
          <w:szCs w:val="24"/>
        </w:rPr>
        <w:t>T</w:t>
      </w:r>
      <w:r w:rsidR="007F0AD0" w:rsidRPr="00553437">
        <w:rPr>
          <w:rFonts w:ascii="Times New Roman" w:hAnsi="Times New Roman"/>
          <w:noProof/>
          <w:sz w:val="24"/>
          <w:szCs w:val="24"/>
        </w:rPr>
        <w:t xml:space="preserve">he </w:t>
      </w:r>
      <w:r w:rsidR="009527B4" w:rsidRPr="00553437">
        <w:rPr>
          <w:rFonts w:ascii="Times New Roman" w:hAnsi="Times New Roman"/>
          <w:noProof/>
          <w:sz w:val="24"/>
          <w:szCs w:val="24"/>
        </w:rPr>
        <w:t>i</w:t>
      </w:r>
      <w:r w:rsidR="007F0AD0" w:rsidRPr="00553437">
        <w:rPr>
          <w:rFonts w:ascii="Times New Roman" w:hAnsi="Times New Roman"/>
          <w:noProof/>
          <w:sz w:val="24"/>
          <w:szCs w:val="24"/>
        </w:rPr>
        <w:t xml:space="preserve">ntegrated scenario would offer </w:t>
      </w:r>
      <w:r w:rsidR="00E93A1E" w:rsidRPr="00553437">
        <w:rPr>
          <w:rFonts w:ascii="Times New Roman" w:hAnsi="Times New Roman"/>
          <w:noProof/>
          <w:sz w:val="24"/>
          <w:szCs w:val="24"/>
        </w:rPr>
        <w:t xml:space="preserve">some </w:t>
      </w:r>
      <w:r w:rsidR="00190A67" w:rsidRPr="00553437">
        <w:rPr>
          <w:rFonts w:ascii="Times New Roman" w:hAnsi="Times New Roman"/>
          <w:b/>
          <w:bCs/>
          <w:noProof/>
          <w:sz w:val="24"/>
          <w:szCs w:val="24"/>
        </w:rPr>
        <w:t>flexibilities</w:t>
      </w:r>
      <w:r w:rsidR="007F0AD0" w:rsidRPr="00553437">
        <w:rPr>
          <w:rFonts w:ascii="Times New Roman" w:hAnsi="Times New Roman"/>
          <w:noProof/>
          <w:sz w:val="24"/>
          <w:szCs w:val="24"/>
        </w:rPr>
        <w:t xml:space="preserve"> in terms of increased possibilities to reallocate </w:t>
      </w:r>
      <w:r w:rsidR="000E04D5" w:rsidRPr="00553437">
        <w:rPr>
          <w:rFonts w:ascii="Times New Roman" w:hAnsi="Times New Roman"/>
          <w:noProof/>
          <w:sz w:val="24"/>
          <w:szCs w:val="24"/>
        </w:rPr>
        <w:t>budget provisions</w:t>
      </w:r>
      <w:r w:rsidR="007F0AD0" w:rsidRPr="00553437">
        <w:rPr>
          <w:rFonts w:ascii="Times New Roman" w:hAnsi="Times New Roman"/>
          <w:noProof/>
          <w:sz w:val="24"/>
          <w:szCs w:val="24"/>
        </w:rPr>
        <w:t xml:space="preserve">. This would be </w:t>
      </w:r>
      <w:r w:rsidR="00E9039C" w:rsidRPr="00553437">
        <w:rPr>
          <w:rFonts w:ascii="Times New Roman" w:hAnsi="Times New Roman"/>
          <w:noProof/>
          <w:sz w:val="24"/>
          <w:szCs w:val="24"/>
        </w:rPr>
        <w:t>potentially</w:t>
      </w:r>
      <w:r w:rsidR="00A80EF4" w:rsidRPr="00553437">
        <w:rPr>
          <w:rFonts w:ascii="Times New Roman" w:hAnsi="Times New Roman"/>
          <w:noProof/>
          <w:sz w:val="24"/>
          <w:szCs w:val="24"/>
        </w:rPr>
        <w:t xml:space="preserve"> </w:t>
      </w:r>
      <w:r w:rsidR="007F0AD0" w:rsidRPr="00553437">
        <w:rPr>
          <w:rFonts w:ascii="Times New Roman" w:hAnsi="Times New Roman"/>
          <w:noProof/>
          <w:sz w:val="24"/>
          <w:szCs w:val="24"/>
        </w:rPr>
        <w:t>relate</w:t>
      </w:r>
      <w:r w:rsidR="00F336F4" w:rsidRPr="00553437">
        <w:rPr>
          <w:rFonts w:ascii="Times New Roman" w:hAnsi="Times New Roman"/>
          <w:noProof/>
          <w:sz w:val="24"/>
          <w:szCs w:val="24"/>
        </w:rPr>
        <w:t>d</w:t>
      </w:r>
      <w:r w:rsidR="007F0AD0" w:rsidRPr="00553437">
        <w:rPr>
          <w:rFonts w:ascii="Times New Roman" w:hAnsi="Times New Roman"/>
          <w:noProof/>
          <w:sz w:val="24"/>
          <w:szCs w:val="24"/>
        </w:rPr>
        <w:t xml:space="preserve"> </w:t>
      </w:r>
      <w:r w:rsidR="00F336F4" w:rsidRPr="00553437">
        <w:rPr>
          <w:rFonts w:ascii="Times New Roman" w:hAnsi="Times New Roman"/>
          <w:noProof/>
          <w:sz w:val="24"/>
          <w:szCs w:val="24"/>
        </w:rPr>
        <w:t>to</w:t>
      </w:r>
      <w:r w:rsidR="007F0AD0" w:rsidRPr="00553437">
        <w:rPr>
          <w:rFonts w:ascii="Times New Roman" w:hAnsi="Times New Roman"/>
          <w:noProof/>
          <w:sz w:val="24"/>
          <w:szCs w:val="24"/>
        </w:rPr>
        <w:t xml:space="preserve"> the fields of taxation, customs and anti-fraud</w:t>
      </w:r>
      <w:r w:rsidR="007F0AD0" w:rsidRPr="00542EB9">
        <w:rPr>
          <w:rFonts w:ascii="Times New Roman" w:hAnsi="Times New Roman"/>
          <w:noProof/>
          <w:sz w:val="24"/>
          <w:szCs w:val="24"/>
        </w:rPr>
        <w:t>, where the merging of the three separate programmes into the integrated programme would create new possibilities to transfer budget without budgetary authority agreement</w:t>
      </w:r>
      <w:r w:rsidR="00BC118C" w:rsidRPr="00542EB9">
        <w:rPr>
          <w:rFonts w:ascii="Times New Roman" w:hAnsi="Times New Roman"/>
          <w:noProof/>
          <w:sz w:val="24"/>
          <w:szCs w:val="24"/>
        </w:rPr>
        <w:t xml:space="preserve">. However, </w:t>
      </w:r>
      <w:r w:rsidR="009710B3" w:rsidRPr="00542EB9">
        <w:rPr>
          <w:rFonts w:ascii="Times New Roman" w:hAnsi="Times New Roman"/>
          <w:noProof/>
          <w:sz w:val="24"/>
          <w:szCs w:val="24"/>
        </w:rPr>
        <w:t xml:space="preserve">budgetary transfers will most likely take place between budget lines managed by the same </w:t>
      </w:r>
      <w:r w:rsidR="00BF5794" w:rsidRPr="00542EB9">
        <w:rPr>
          <w:rFonts w:ascii="Times New Roman" w:hAnsi="Times New Roman"/>
          <w:noProof/>
          <w:sz w:val="24"/>
          <w:szCs w:val="24"/>
        </w:rPr>
        <w:t>Commission service</w:t>
      </w:r>
      <w:r w:rsidR="007957C2" w:rsidRPr="00542EB9">
        <w:rPr>
          <w:rFonts w:ascii="Times New Roman" w:hAnsi="Times New Roman"/>
          <w:noProof/>
          <w:sz w:val="24"/>
          <w:szCs w:val="24"/>
        </w:rPr>
        <w:t>.</w:t>
      </w:r>
      <w:r w:rsidR="00B9280B" w:rsidRPr="00542EB9">
        <w:rPr>
          <w:rFonts w:ascii="Times New Roman" w:hAnsi="Times New Roman"/>
          <w:noProof/>
          <w:sz w:val="24"/>
          <w:szCs w:val="24"/>
        </w:rPr>
        <w:t xml:space="preserve"> </w:t>
      </w:r>
    </w:p>
    <w:p w14:paraId="1C62C426" w14:textId="6CFFD197" w:rsidR="00DF31A8" w:rsidRPr="00542EB9" w:rsidRDefault="00B9280B" w:rsidP="00DF31A8">
      <w:pPr>
        <w:pStyle w:val="BodyText1"/>
        <w:rPr>
          <w:rFonts w:ascii="Times New Roman" w:hAnsi="Times New Roman"/>
          <w:noProof/>
          <w:sz w:val="24"/>
          <w:szCs w:val="24"/>
        </w:rPr>
      </w:pPr>
      <w:r w:rsidRPr="00542EB9">
        <w:rPr>
          <w:rFonts w:ascii="Times New Roman" w:hAnsi="Times New Roman"/>
          <w:noProof/>
          <w:sz w:val="24"/>
          <w:szCs w:val="24"/>
        </w:rPr>
        <w:t xml:space="preserve">Any </w:t>
      </w:r>
      <w:r w:rsidRPr="00542EB9">
        <w:rPr>
          <w:rFonts w:ascii="Times New Roman" w:hAnsi="Times New Roman"/>
          <w:b/>
          <w:bCs/>
          <w:noProof/>
          <w:sz w:val="24"/>
          <w:szCs w:val="24"/>
        </w:rPr>
        <w:t>simplifications</w:t>
      </w:r>
      <w:r w:rsidRPr="00542EB9">
        <w:rPr>
          <w:rFonts w:ascii="Times New Roman" w:hAnsi="Times New Roman"/>
          <w:noProof/>
          <w:sz w:val="24"/>
          <w:szCs w:val="24"/>
        </w:rPr>
        <w:t xml:space="preserve"> in programme management and administration </w:t>
      </w:r>
      <w:r w:rsidR="00E02B33" w:rsidRPr="00542EB9">
        <w:rPr>
          <w:rFonts w:ascii="Times New Roman" w:hAnsi="Times New Roman"/>
          <w:noProof/>
          <w:sz w:val="24"/>
          <w:szCs w:val="24"/>
        </w:rPr>
        <w:t>possible in</w:t>
      </w:r>
      <w:r w:rsidRPr="00542EB9">
        <w:rPr>
          <w:rFonts w:ascii="Times New Roman" w:hAnsi="Times New Roman"/>
          <w:noProof/>
          <w:sz w:val="24"/>
          <w:szCs w:val="24"/>
        </w:rPr>
        <w:t xml:space="preserve"> the </w:t>
      </w:r>
      <w:r w:rsidR="00E02B33" w:rsidRPr="00542EB9">
        <w:rPr>
          <w:rFonts w:ascii="Times New Roman" w:hAnsi="Times New Roman"/>
          <w:noProof/>
          <w:sz w:val="24"/>
          <w:szCs w:val="24"/>
        </w:rPr>
        <w:t>baseline are</w:t>
      </w:r>
      <w:r w:rsidRPr="00542EB9">
        <w:rPr>
          <w:rFonts w:ascii="Times New Roman" w:hAnsi="Times New Roman"/>
          <w:noProof/>
          <w:sz w:val="24"/>
          <w:szCs w:val="24"/>
        </w:rPr>
        <w:t xml:space="preserve"> also possible under th</w:t>
      </w:r>
      <w:r w:rsidR="00E02B33" w:rsidRPr="00542EB9">
        <w:rPr>
          <w:rFonts w:ascii="Times New Roman" w:hAnsi="Times New Roman"/>
          <w:noProof/>
          <w:sz w:val="24"/>
          <w:szCs w:val="24"/>
        </w:rPr>
        <w:t>is</w:t>
      </w:r>
      <w:r w:rsidRPr="00542EB9">
        <w:rPr>
          <w:rFonts w:ascii="Times New Roman" w:hAnsi="Times New Roman"/>
          <w:noProof/>
          <w:sz w:val="24"/>
          <w:szCs w:val="24"/>
        </w:rPr>
        <w:t xml:space="preserve"> scenario</w:t>
      </w:r>
      <w:r w:rsidR="0054132A" w:rsidRPr="00542EB9">
        <w:rPr>
          <w:rFonts w:ascii="Times New Roman" w:hAnsi="Times New Roman"/>
          <w:noProof/>
          <w:sz w:val="24"/>
          <w:szCs w:val="24"/>
        </w:rPr>
        <w:t xml:space="preserve">. </w:t>
      </w:r>
      <w:r w:rsidR="00DF31A8" w:rsidRPr="00542EB9">
        <w:rPr>
          <w:rFonts w:ascii="Times New Roman" w:hAnsi="Times New Roman"/>
          <w:noProof/>
          <w:sz w:val="24"/>
          <w:szCs w:val="24"/>
        </w:rPr>
        <w:t>Some additional simplifications would be possible, e.g.</w:t>
      </w:r>
      <w:r w:rsidR="0054132A" w:rsidRPr="00542EB9">
        <w:rPr>
          <w:rFonts w:ascii="Times New Roman" w:hAnsi="Times New Roman"/>
          <w:noProof/>
          <w:sz w:val="24"/>
          <w:szCs w:val="24"/>
        </w:rPr>
        <w:t xml:space="preserve"> </w:t>
      </w:r>
      <w:r w:rsidR="00DF31A8" w:rsidRPr="00542EB9">
        <w:rPr>
          <w:rFonts w:ascii="Times New Roman" w:hAnsi="Times New Roman"/>
          <w:noProof/>
          <w:sz w:val="24"/>
          <w:szCs w:val="24"/>
        </w:rPr>
        <w:t xml:space="preserve">a single legal basis for the four previously separate programmes. </w:t>
      </w:r>
      <w:r w:rsidR="005F2C2F" w:rsidRPr="00542EB9">
        <w:rPr>
          <w:rFonts w:ascii="Times New Roman" w:hAnsi="Times New Roman"/>
          <w:noProof/>
          <w:sz w:val="24"/>
          <w:szCs w:val="24"/>
        </w:rPr>
        <w:t>Support from</w:t>
      </w:r>
      <w:r w:rsidR="00223D5C" w:rsidRPr="00542EB9">
        <w:rPr>
          <w:rFonts w:ascii="Times New Roman" w:hAnsi="Times New Roman"/>
          <w:noProof/>
          <w:sz w:val="24"/>
          <w:szCs w:val="24"/>
        </w:rPr>
        <w:t xml:space="preserve"> stakeholders having responded to the public consultation </w:t>
      </w:r>
      <w:r w:rsidR="005F2C2F" w:rsidRPr="00542EB9">
        <w:rPr>
          <w:rFonts w:ascii="Times New Roman" w:hAnsi="Times New Roman"/>
          <w:noProof/>
          <w:sz w:val="24"/>
          <w:szCs w:val="24"/>
        </w:rPr>
        <w:t xml:space="preserve">was given </w:t>
      </w:r>
      <w:r w:rsidR="00126D6B" w:rsidRPr="00542EB9">
        <w:rPr>
          <w:rFonts w:ascii="Times New Roman" w:hAnsi="Times New Roman"/>
          <w:noProof/>
          <w:sz w:val="24"/>
          <w:szCs w:val="24"/>
        </w:rPr>
        <w:t>to</w:t>
      </w:r>
      <w:r w:rsidR="00223D5C" w:rsidRPr="00542EB9">
        <w:rPr>
          <w:rFonts w:ascii="Times New Roman" w:hAnsi="Times New Roman"/>
          <w:noProof/>
          <w:sz w:val="24"/>
          <w:szCs w:val="24"/>
        </w:rPr>
        <w:t xml:space="preserve"> “reducing the number of EU funding programmes</w:t>
      </w:r>
      <w:r w:rsidR="00126D6B" w:rsidRPr="00542EB9">
        <w:rPr>
          <w:rFonts w:ascii="Times New Roman" w:hAnsi="Times New Roman"/>
          <w:noProof/>
          <w:sz w:val="24"/>
          <w:szCs w:val="24"/>
        </w:rPr>
        <w:t>” to potentially</w:t>
      </w:r>
      <w:r w:rsidR="00223D5C" w:rsidRPr="00542EB9">
        <w:rPr>
          <w:rFonts w:ascii="Times New Roman" w:hAnsi="Times New Roman"/>
          <w:noProof/>
          <w:sz w:val="24"/>
          <w:szCs w:val="24"/>
        </w:rPr>
        <w:t xml:space="preserve"> help the EU budget become more effective and efficient (</w:t>
      </w:r>
      <w:r w:rsidR="00B27857" w:rsidRPr="00542EB9">
        <w:rPr>
          <w:rFonts w:ascii="Times New Roman" w:hAnsi="Times New Roman"/>
          <w:noProof/>
          <w:sz w:val="24"/>
          <w:szCs w:val="24"/>
        </w:rPr>
        <w:t>46</w:t>
      </w:r>
      <w:r w:rsidR="00223D5C" w:rsidRPr="00542EB9">
        <w:rPr>
          <w:rFonts w:ascii="Times New Roman" w:hAnsi="Times New Roman"/>
          <w:noProof/>
          <w:sz w:val="24"/>
          <w:szCs w:val="24"/>
        </w:rPr>
        <w:t>%,</w:t>
      </w:r>
      <w:r w:rsidR="00223D5C" w:rsidRPr="00542EB9" w:rsidDel="00F06011">
        <w:rPr>
          <w:rFonts w:ascii="Times New Roman" w:hAnsi="Times New Roman"/>
          <w:noProof/>
          <w:sz w:val="24"/>
          <w:szCs w:val="24"/>
        </w:rPr>
        <w:t xml:space="preserve"> </w:t>
      </w:r>
      <w:r w:rsidR="00B27857" w:rsidRPr="00542EB9">
        <w:rPr>
          <w:rFonts w:ascii="Times New Roman" w:hAnsi="Times New Roman"/>
          <w:noProof/>
          <w:sz w:val="24"/>
          <w:szCs w:val="24"/>
        </w:rPr>
        <w:t>307</w:t>
      </w:r>
      <w:r w:rsidR="00F06011" w:rsidRPr="00542EB9">
        <w:rPr>
          <w:rFonts w:ascii="Times New Roman" w:hAnsi="Times New Roman"/>
          <w:noProof/>
          <w:sz w:val="24"/>
          <w:szCs w:val="24"/>
        </w:rPr>
        <w:t xml:space="preserve"> </w:t>
      </w:r>
      <w:r w:rsidR="00223D5C" w:rsidRPr="00542EB9">
        <w:rPr>
          <w:rFonts w:ascii="Times New Roman" w:hAnsi="Times New Roman"/>
          <w:noProof/>
          <w:sz w:val="24"/>
          <w:szCs w:val="24"/>
        </w:rPr>
        <w:t>out of</w:t>
      </w:r>
      <w:r w:rsidR="00F06011" w:rsidRPr="00542EB9">
        <w:rPr>
          <w:rFonts w:ascii="Times New Roman" w:hAnsi="Times New Roman"/>
          <w:noProof/>
          <w:sz w:val="24"/>
          <w:szCs w:val="24"/>
        </w:rPr>
        <w:t xml:space="preserve"> </w:t>
      </w:r>
      <w:r w:rsidR="00B27857" w:rsidRPr="00542EB9">
        <w:rPr>
          <w:rFonts w:ascii="Times New Roman" w:hAnsi="Times New Roman"/>
          <w:noProof/>
          <w:sz w:val="24"/>
          <w:szCs w:val="24"/>
        </w:rPr>
        <w:t>665</w:t>
      </w:r>
      <w:r w:rsidR="00F06011" w:rsidRPr="00542EB9">
        <w:rPr>
          <w:rFonts w:ascii="Times New Roman" w:hAnsi="Times New Roman"/>
          <w:noProof/>
          <w:sz w:val="24"/>
          <w:szCs w:val="24"/>
        </w:rPr>
        <w:t>)</w:t>
      </w:r>
      <w:r w:rsidR="00223D5C" w:rsidRPr="00542EB9">
        <w:rPr>
          <w:rFonts w:ascii="Times New Roman" w:hAnsi="Times New Roman"/>
          <w:noProof/>
          <w:sz w:val="24"/>
          <w:szCs w:val="24"/>
        </w:rPr>
        <w:t xml:space="preserve">. </w:t>
      </w:r>
      <w:r w:rsidR="00DF31A8" w:rsidRPr="00542EB9">
        <w:rPr>
          <w:rFonts w:ascii="Times New Roman" w:hAnsi="Times New Roman"/>
          <w:noProof/>
          <w:sz w:val="24"/>
          <w:szCs w:val="24"/>
        </w:rPr>
        <w:t xml:space="preserve">However, </w:t>
      </w:r>
      <w:r w:rsidR="00AE5269" w:rsidRPr="00542EB9">
        <w:rPr>
          <w:rFonts w:ascii="Times New Roman" w:hAnsi="Times New Roman"/>
          <w:noProof/>
          <w:sz w:val="24"/>
          <w:szCs w:val="24"/>
        </w:rPr>
        <w:t>considering the variety of programmes’</w:t>
      </w:r>
      <w:r w:rsidR="00DF31A8" w:rsidRPr="00542EB9">
        <w:rPr>
          <w:rFonts w:ascii="Times New Roman" w:hAnsi="Times New Roman"/>
          <w:noProof/>
          <w:sz w:val="24"/>
          <w:szCs w:val="24"/>
        </w:rPr>
        <w:t xml:space="preserve"> </w:t>
      </w:r>
      <w:r w:rsidR="00034C7A" w:rsidRPr="00542EB9">
        <w:rPr>
          <w:rFonts w:ascii="Times New Roman" w:hAnsi="Times New Roman"/>
          <w:noProof/>
          <w:sz w:val="24"/>
          <w:szCs w:val="24"/>
        </w:rPr>
        <w:t>beneficiaries</w:t>
      </w:r>
      <w:r w:rsidR="00D30211" w:rsidRPr="00542EB9">
        <w:rPr>
          <w:rFonts w:ascii="Times New Roman" w:hAnsi="Times New Roman"/>
          <w:noProof/>
          <w:sz w:val="24"/>
          <w:szCs w:val="24"/>
        </w:rPr>
        <w:t xml:space="preserve"> / stakeholders, </w:t>
      </w:r>
      <w:r w:rsidR="00DF31A8" w:rsidRPr="00542EB9">
        <w:rPr>
          <w:rFonts w:ascii="Times New Roman" w:hAnsi="Times New Roman"/>
          <w:noProof/>
          <w:sz w:val="24"/>
          <w:szCs w:val="24"/>
        </w:rPr>
        <w:t>it is likely that multiple committees covering different policy areas and multiple work programmes covering different policy areas will continue to be needed.</w:t>
      </w:r>
      <w:r w:rsidR="00C31273" w:rsidRPr="00542EB9">
        <w:rPr>
          <w:rFonts w:ascii="Times New Roman" w:hAnsi="Times New Roman"/>
          <w:noProof/>
          <w:sz w:val="24"/>
          <w:szCs w:val="24"/>
        </w:rPr>
        <w:t xml:space="preserve"> </w:t>
      </w:r>
      <w:r w:rsidR="000461BF" w:rsidRPr="00542EB9">
        <w:rPr>
          <w:rFonts w:ascii="Times New Roman" w:hAnsi="Times New Roman"/>
          <w:noProof/>
          <w:sz w:val="24"/>
          <w:szCs w:val="24"/>
        </w:rPr>
        <w:t xml:space="preserve"> </w:t>
      </w:r>
    </w:p>
    <w:p w14:paraId="75B95F1B" w14:textId="1F26088F" w:rsidR="00DF667F" w:rsidRPr="00542EB9" w:rsidRDefault="00BC4178" w:rsidP="009527B4">
      <w:pPr>
        <w:pStyle w:val="BodyText1"/>
        <w:rPr>
          <w:rFonts w:ascii="Times New Roman" w:hAnsi="Times New Roman"/>
          <w:noProof/>
          <w:sz w:val="24"/>
          <w:szCs w:val="24"/>
        </w:rPr>
      </w:pPr>
      <w:r w:rsidRPr="00542EB9">
        <w:rPr>
          <w:rFonts w:ascii="Times New Roman" w:hAnsi="Times New Roman"/>
          <w:noProof/>
          <w:sz w:val="24"/>
          <w:szCs w:val="24"/>
        </w:rPr>
        <w:t xml:space="preserve">There may be possibilities for additional </w:t>
      </w:r>
      <w:r w:rsidRPr="00542EB9">
        <w:rPr>
          <w:rFonts w:ascii="Times New Roman" w:hAnsi="Times New Roman"/>
          <w:b/>
          <w:bCs/>
          <w:noProof/>
          <w:sz w:val="24"/>
          <w:szCs w:val="24"/>
        </w:rPr>
        <w:t>synergies</w:t>
      </w:r>
      <w:r w:rsidRPr="00542EB9">
        <w:rPr>
          <w:rFonts w:ascii="Times New Roman" w:hAnsi="Times New Roman"/>
          <w:noProof/>
          <w:sz w:val="24"/>
          <w:szCs w:val="24"/>
        </w:rPr>
        <w:t>. These might arise primarily in policy fields managed by DG TAXUD through the incorporation of the Customs Programme, Fiscalis Programme and relevant budget lines from the SMP into a single programme. In these fields, the creation of a single integrated programme might lead to training courses covering more than one policy area, joint procurement actions, common purchases of databases, joint studies, Eurobarometer and joint framework contracts or common IT projects. Beyond this, it is not certain that joint working between different DGs and across policy areas will be any greater than at present.</w:t>
      </w:r>
    </w:p>
    <w:p w14:paraId="29A2CE6A" w14:textId="2D1873E9" w:rsidR="009527B4" w:rsidRPr="00542EB9" w:rsidRDefault="009527B4" w:rsidP="009527B4">
      <w:pPr>
        <w:pStyle w:val="BodyText1"/>
        <w:rPr>
          <w:rFonts w:ascii="Times New Roman" w:hAnsi="Times New Roman"/>
          <w:noProof/>
          <w:sz w:val="24"/>
          <w:szCs w:val="24"/>
        </w:rPr>
      </w:pPr>
      <w:r w:rsidRPr="00542EB9">
        <w:rPr>
          <w:rFonts w:ascii="Times New Roman" w:hAnsi="Times New Roman"/>
          <w:noProof/>
          <w:sz w:val="24"/>
          <w:szCs w:val="24"/>
        </w:rPr>
        <w:t>The integrated scenario</w:t>
      </w:r>
      <w:r w:rsidR="00113716" w:rsidRPr="00542EB9">
        <w:rPr>
          <w:rFonts w:ascii="Times New Roman" w:hAnsi="Times New Roman"/>
          <w:noProof/>
          <w:sz w:val="24"/>
          <w:szCs w:val="24"/>
        </w:rPr>
        <w:t xml:space="preserve">, </w:t>
      </w:r>
      <w:r w:rsidRPr="00542EB9">
        <w:rPr>
          <w:rFonts w:ascii="Times New Roman" w:hAnsi="Times New Roman"/>
          <w:noProof/>
          <w:sz w:val="24"/>
          <w:szCs w:val="24"/>
        </w:rPr>
        <w:t xml:space="preserve">compared with </w:t>
      </w:r>
      <w:r w:rsidR="00CC478F" w:rsidRPr="00542EB9">
        <w:rPr>
          <w:rFonts w:ascii="Times New Roman" w:hAnsi="Times New Roman"/>
          <w:noProof/>
          <w:sz w:val="24"/>
          <w:szCs w:val="24"/>
        </w:rPr>
        <w:t>the baseline</w:t>
      </w:r>
      <w:r w:rsidRPr="00542EB9">
        <w:rPr>
          <w:rFonts w:ascii="Times New Roman" w:hAnsi="Times New Roman"/>
          <w:noProof/>
          <w:sz w:val="24"/>
          <w:szCs w:val="24"/>
        </w:rPr>
        <w:t xml:space="preserve"> </w:t>
      </w:r>
      <w:r w:rsidR="00736EFD" w:rsidRPr="00542EB9">
        <w:rPr>
          <w:rFonts w:ascii="Times New Roman" w:hAnsi="Times New Roman"/>
          <w:noProof/>
          <w:sz w:val="24"/>
          <w:szCs w:val="24"/>
        </w:rPr>
        <w:t xml:space="preserve">is likely to create </w:t>
      </w:r>
      <w:r w:rsidR="00CC478F" w:rsidRPr="00542EB9">
        <w:rPr>
          <w:rFonts w:ascii="Times New Roman" w:hAnsi="Times New Roman"/>
          <w:noProof/>
          <w:sz w:val="24"/>
          <w:szCs w:val="24"/>
        </w:rPr>
        <w:t xml:space="preserve">additional complexities </w:t>
      </w:r>
      <w:r w:rsidRPr="00542EB9">
        <w:rPr>
          <w:rFonts w:ascii="Times New Roman" w:hAnsi="Times New Roman"/>
          <w:noProof/>
          <w:sz w:val="24"/>
          <w:szCs w:val="24"/>
        </w:rPr>
        <w:t>in programme management</w:t>
      </w:r>
      <w:r w:rsidR="00CC478F" w:rsidRPr="00542EB9">
        <w:rPr>
          <w:rFonts w:ascii="Times New Roman" w:hAnsi="Times New Roman"/>
          <w:noProof/>
          <w:sz w:val="24"/>
          <w:szCs w:val="24"/>
        </w:rPr>
        <w:t>. It is based on the assumption that the implementation would engage mo</w:t>
      </w:r>
      <w:r w:rsidR="00502AC8" w:rsidRPr="00542EB9">
        <w:rPr>
          <w:rFonts w:ascii="Times New Roman" w:hAnsi="Times New Roman"/>
          <w:noProof/>
          <w:sz w:val="24"/>
          <w:szCs w:val="24"/>
        </w:rPr>
        <w:t xml:space="preserve">re pillars and related Commission services. </w:t>
      </w:r>
      <w:r w:rsidR="007D6A1E" w:rsidRPr="00542EB9">
        <w:rPr>
          <w:rFonts w:ascii="Times New Roman" w:hAnsi="Times New Roman"/>
          <w:noProof/>
          <w:sz w:val="24"/>
          <w:szCs w:val="24"/>
        </w:rPr>
        <w:t>A mitigation of this risk</w:t>
      </w:r>
      <w:r w:rsidR="00D8550C" w:rsidRPr="00542EB9">
        <w:rPr>
          <w:rFonts w:ascii="Times New Roman" w:hAnsi="Times New Roman"/>
          <w:noProof/>
          <w:sz w:val="24"/>
          <w:szCs w:val="24"/>
        </w:rPr>
        <w:t xml:space="preserve"> could occur through additional programme-level coordination between pillars, </w:t>
      </w:r>
      <w:r w:rsidR="00080192" w:rsidRPr="00542EB9">
        <w:rPr>
          <w:rFonts w:ascii="Times New Roman" w:hAnsi="Times New Roman"/>
          <w:noProof/>
          <w:sz w:val="24"/>
          <w:szCs w:val="24"/>
        </w:rPr>
        <w:t xml:space="preserve">or through helping beneficiaries and applicants </w:t>
      </w:r>
      <w:r w:rsidR="005256BF" w:rsidRPr="00542EB9">
        <w:rPr>
          <w:rFonts w:ascii="Times New Roman" w:hAnsi="Times New Roman"/>
          <w:noProof/>
          <w:sz w:val="24"/>
          <w:szCs w:val="24"/>
        </w:rPr>
        <w:t>to cover additional set-up costs in programme management</w:t>
      </w:r>
      <w:r w:rsidR="00EA51AA" w:rsidRPr="00542EB9">
        <w:rPr>
          <w:rFonts w:ascii="Times New Roman" w:hAnsi="Times New Roman"/>
          <w:noProof/>
          <w:sz w:val="24"/>
          <w:szCs w:val="24"/>
        </w:rPr>
        <w:t>.</w:t>
      </w:r>
    </w:p>
    <w:p w14:paraId="1EBDFB76" w14:textId="2B14CF79" w:rsidR="00C97A51" w:rsidRPr="00542EB9" w:rsidRDefault="003442BF" w:rsidP="5DD21FD3">
      <w:pPr>
        <w:pStyle w:val="Text2"/>
        <w:ind w:left="0"/>
        <w:rPr>
          <w:noProof/>
        </w:rPr>
      </w:pPr>
      <w:r w:rsidRPr="00542EB9">
        <w:rPr>
          <w:noProof/>
        </w:rPr>
        <w:t>T</w:t>
      </w:r>
      <w:r w:rsidR="000D1C21" w:rsidRPr="00542EB9">
        <w:rPr>
          <w:noProof/>
        </w:rPr>
        <w:t>he</w:t>
      </w:r>
      <w:r w:rsidRPr="00542EB9">
        <w:rPr>
          <w:noProof/>
        </w:rPr>
        <w:t xml:space="preserve"> interim evaluation of the </w:t>
      </w:r>
      <w:r w:rsidR="000D1C21" w:rsidRPr="00542EB9">
        <w:rPr>
          <w:noProof/>
        </w:rPr>
        <w:t xml:space="preserve">SMP has </w:t>
      </w:r>
      <w:r w:rsidR="00E4575D" w:rsidRPr="00542EB9">
        <w:rPr>
          <w:noProof/>
        </w:rPr>
        <w:t xml:space="preserve">demonstrated </w:t>
      </w:r>
      <w:r w:rsidR="000D1C21" w:rsidRPr="00542EB9">
        <w:rPr>
          <w:noProof/>
        </w:rPr>
        <w:t>some positive results in terms of efficiency and flexibility (in particular</w:t>
      </w:r>
      <w:r w:rsidR="004D1AEE" w:rsidRPr="00542EB9">
        <w:rPr>
          <w:noProof/>
        </w:rPr>
        <w:t>,</w:t>
      </w:r>
      <w:r w:rsidR="000D1C21" w:rsidRPr="00542EB9">
        <w:rPr>
          <w:noProof/>
        </w:rPr>
        <w:t xml:space="preserve"> regarding the programme’s budgetary implementation, administrative synergy and visibility (i.e. publicity about the programme)</w:t>
      </w:r>
      <w:r w:rsidR="008510FF" w:rsidRPr="00542EB9">
        <w:rPr>
          <w:noProof/>
        </w:rPr>
        <w:t xml:space="preserve">. </w:t>
      </w:r>
      <w:r w:rsidR="00DD5B60" w:rsidRPr="00542EB9">
        <w:rPr>
          <w:noProof/>
        </w:rPr>
        <w:t xml:space="preserve">However, </w:t>
      </w:r>
      <w:r w:rsidR="00D55EE2" w:rsidRPr="00542EB9">
        <w:rPr>
          <w:noProof/>
        </w:rPr>
        <w:t xml:space="preserve">it has also been </w:t>
      </w:r>
      <w:r w:rsidR="00087964" w:rsidRPr="00542EB9">
        <w:rPr>
          <w:noProof/>
        </w:rPr>
        <w:t xml:space="preserve">shown </w:t>
      </w:r>
      <w:r w:rsidR="000D1C21" w:rsidRPr="00542EB9">
        <w:rPr>
          <w:noProof/>
        </w:rPr>
        <w:t>that policy synergies and flexibility remain the main challenges, partly related to the variety of actions and activities performed, the range of co-financing mechanisms and stakeholders covered</w:t>
      </w:r>
      <w:r w:rsidR="009776AC" w:rsidRPr="00542EB9">
        <w:rPr>
          <w:noProof/>
        </w:rPr>
        <w:t>.</w:t>
      </w:r>
      <w:r w:rsidR="00422029" w:rsidRPr="00542EB9">
        <w:rPr>
          <w:noProof/>
        </w:rPr>
        <w:t xml:space="preserve"> </w:t>
      </w:r>
      <w:r w:rsidR="00AB00C9" w:rsidRPr="00542EB9">
        <w:rPr>
          <w:noProof/>
        </w:rPr>
        <w:t>A</w:t>
      </w:r>
      <w:r w:rsidR="003701FD" w:rsidRPr="00542EB9">
        <w:rPr>
          <w:noProof/>
        </w:rPr>
        <w:t>lthough driven by a rationale highlighting benefits of combining previous programmes and budget lines, challenges and substantial shortcomings</w:t>
      </w:r>
      <w:r w:rsidR="005B766A" w:rsidRPr="00542EB9">
        <w:rPr>
          <w:noProof/>
        </w:rPr>
        <w:t xml:space="preserve"> </w:t>
      </w:r>
      <w:r w:rsidR="00087964" w:rsidRPr="00542EB9">
        <w:rPr>
          <w:noProof/>
        </w:rPr>
        <w:t xml:space="preserve">are </w:t>
      </w:r>
      <w:r w:rsidR="005B766A" w:rsidRPr="00542EB9">
        <w:rPr>
          <w:noProof/>
        </w:rPr>
        <w:t xml:space="preserve">to be considered while assessing </w:t>
      </w:r>
      <w:r w:rsidR="008036A8" w:rsidRPr="00542EB9">
        <w:rPr>
          <w:noProof/>
        </w:rPr>
        <w:t>th</w:t>
      </w:r>
      <w:r w:rsidR="00C97A51" w:rsidRPr="00542EB9">
        <w:rPr>
          <w:noProof/>
        </w:rPr>
        <w:t xml:space="preserve">is integrated policy option. </w:t>
      </w:r>
    </w:p>
    <w:p w14:paraId="7D929954" w14:textId="2F0C02F7" w:rsidR="0086524D" w:rsidRPr="00542EB9" w:rsidRDefault="00F17618" w:rsidP="5DD21FD3">
      <w:pPr>
        <w:pStyle w:val="Text2"/>
        <w:ind w:left="0"/>
        <w:rPr>
          <w:noProof/>
        </w:rPr>
      </w:pPr>
      <w:r w:rsidRPr="00542EB9">
        <w:rPr>
          <w:noProof/>
        </w:rPr>
        <w:t>Findings</w:t>
      </w:r>
      <w:r w:rsidR="0086524D" w:rsidRPr="00542EB9">
        <w:rPr>
          <w:noProof/>
        </w:rPr>
        <w:t xml:space="preserve"> from the interim evaluation of the </w:t>
      </w:r>
      <w:r w:rsidRPr="00542EB9">
        <w:rPr>
          <w:noProof/>
        </w:rPr>
        <w:t xml:space="preserve">SMP </w:t>
      </w:r>
      <w:r w:rsidR="00AE0527" w:rsidRPr="00542EB9">
        <w:rPr>
          <w:noProof/>
        </w:rPr>
        <w:t>can serve as a basis to inform the potential impacts a</w:t>
      </w:r>
      <w:r w:rsidRPr="00542EB9">
        <w:rPr>
          <w:noProof/>
        </w:rPr>
        <w:t xml:space="preserve"> wider</w:t>
      </w:r>
      <w:r w:rsidR="00AE0527" w:rsidRPr="00542EB9">
        <w:rPr>
          <w:noProof/>
        </w:rPr>
        <w:t xml:space="preserve"> integrated scenario would </w:t>
      </w:r>
      <w:r w:rsidR="003A5ED2" w:rsidRPr="00542EB9">
        <w:rPr>
          <w:noProof/>
        </w:rPr>
        <w:t>demonstrate</w:t>
      </w:r>
      <w:r w:rsidR="0086524D" w:rsidRPr="00542EB9">
        <w:rPr>
          <w:noProof/>
        </w:rPr>
        <w:t>.</w:t>
      </w:r>
    </w:p>
    <w:p w14:paraId="38B40C29" w14:textId="6D8E54BC" w:rsidR="000C79E3" w:rsidRPr="00542EB9" w:rsidRDefault="000C79E3" w:rsidP="004D1AEE">
      <w:pPr>
        <w:pStyle w:val="Text2"/>
        <w:numPr>
          <w:ilvl w:val="0"/>
          <w:numId w:val="97"/>
        </w:numPr>
        <w:rPr>
          <w:noProof/>
        </w:rPr>
      </w:pPr>
      <w:r w:rsidRPr="00542EB9">
        <w:rPr>
          <w:noProof/>
        </w:rPr>
        <w:t xml:space="preserve">Consolidating budget lines under a single budgetary heading </w:t>
      </w:r>
      <w:r w:rsidR="006D46D8" w:rsidRPr="00542EB9">
        <w:rPr>
          <w:noProof/>
        </w:rPr>
        <w:t>is</w:t>
      </w:r>
      <w:r w:rsidRPr="00542EB9">
        <w:rPr>
          <w:noProof/>
        </w:rPr>
        <w:t xml:space="preserve"> </w:t>
      </w:r>
      <w:r w:rsidR="00C3073A" w:rsidRPr="00542EB9">
        <w:rPr>
          <w:noProof/>
        </w:rPr>
        <w:t xml:space="preserve">intended to </w:t>
      </w:r>
      <w:r w:rsidRPr="00542EB9">
        <w:rPr>
          <w:noProof/>
        </w:rPr>
        <w:t xml:space="preserve">facilitate the transfer of funds between lines, </w:t>
      </w:r>
      <w:r w:rsidR="00F26BF8" w:rsidRPr="00542EB9">
        <w:rPr>
          <w:noProof/>
        </w:rPr>
        <w:t>to</w:t>
      </w:r>
      <w:r w:rsidRPr="00542EB9">
        <w:rPr>
          <w:noProof/>
        </w:rPr>
        <w:t xml:space="preserve"> improve resource allocation efficiency, and</w:t>
      </w:r>
      <w:r w:rsidR="00C3073A" w:rsidRPr="00542EB9">
        <w:rPr>
          <w:noProof/>
        </w:rPr>
        <w:t xml:space="preserve"> </w:t>
      </w:r>
      <w:r w:rsidRPr="00542EB9">
        <w:rPr>
          <w:noProof/>
        </w:rPr>
        <w:t xml:space="preserve">allow a more efficient spending of resources. This approach </w:t>
      </w:r>
      <w:r w:rsidR="002E49EE" w:rsidRPr="00542EB9">
        <w:rPr>
          <w:noProof/>
        </w:rPr>
        <w:t>enables</w:t>
      </w:r>
      <w:r w:rsidRPr="00542EB9">
        <w:rPr>
          <w:noProof/>
        </w:rPr>
        <w:t xml:space="preserve"> better adjustment to unforeseen needs in certain budget line. Some budget lines might be able to anticipate unexpected additional budget needs, whereas others might have difficulties in consuming the whole allocated budget.</w:t>
      </w:r>
    </w:p>
    <w:p w14:paraId="54B543D3" w14:textId="67B652F4" w:rsidR="0086524D" w:rsidRPr="00542EB9" w:rsidRDefault="004A1889" w:rsidP="004D1AEE">
      <w:pPr>
        <w:pStyle w:val="Text2"/>
        <w:numPr>
          <w:ilvl w:val="0"/>
          <w:numId w:val="97"/>
        </w:numPr>
        <w:rPr>
          <w:noProof/>
        </w:rPr>
      </w:pPr>
      <w:r w:rsidRPr="00542EB9">
        <w:rPr>
          <w:noProof/>
        </w:rPr>
        <w:t>T</w:t>
      </w:r>
      <w:r w:rsidR="00443AC0" w:rsidRPr="00542EB9">
        <w:rPr>
          <w:noProof/>
        </w:rPr>
        <w:t>ransferring budget appropriations between different policy objectives</w:t>
      </w:r>
      <w:r w:rsidR="00D35730" w:rsidRPr="00542EB9">
        <w:rPr>
          <w:noProof/>
        </w:rPr>
        <w:t xml:space="preserve">, for instance with the flexibility clause, </w:t>
      </w:r>
      <w:r w:rsidRPr="00542EB9">
        <w:rPr>
          <w:noProof/>
        </w:rPr>
        <w:t xml:space="preserve">can </w:t>
      </w:r>
      <w:r w:rsidR="00543411" w:rsidRPr="00542EB9">
        <w:rPr>
          <w:noProof/>
        </w:rPr>
        <w:t>simplif</w:t>
      </w:r>
      <w:r w:rsidRPr="00542EB9">
        <w:rPr>
          <w:noProof/>
        </w:rPr>
        <w:t>y</w:t>
      </w:r>
      <w:r w:rsidR="00543411" w:rsidRPr="00542EB9">
        <w:rPr>
          <w:noProof/>
        </w:rPr>
        <w:t xml:space="preserve"> and enhance the process of transferring funds </w:t>
      </w:r>
      <w:r w:rsidR="00AD1EAE" w:rsidRPr="00542EB9">
        <w:rPr>
          <w:noProof/>
        </w:rPr>
        <w:t>between previously separate programmes.</w:t>
      </w:r>
      <w:r w:rsidR="009125CE" w:rsidRPr="00542EB9">
        <w:rPr>
          <w:noProof/>
        </w:rPr>
        <w:t xml:space="preserve"> </w:t>
      </w:r>
      <w:r w:rsidR="0011687E" w:rsidRPr="00542EB9">
        <w:rPr>
          <w:noProof/>
        </w:rPr>
        <w:t>B</w:t>
      </w:r>
      <w:r w:rsidR="009125CE" w:rsidRPr="00542EB9">
        <w:rPr>
          <w:noProof/>
        </w:rPr>
        <w:t xml:space="preserve">udgetary flexibility </w:t>
      </w:r>
      <w:r w:rsidR="00881D46" w:rsidRPr="00542EB9">
        <w:rPr>
          <w:noProof/>
        </w:rPr>
        <w:t xml:space="preserve">deriving from such integration </w:t>
      </w:r>
      <w:r w:rsidR="0011687E" w:rsidRPr="00542EB9">
        <w:rPr>
          <w:noProof/>
        </w:rPr>
        <w:t>allows a</w:t>
      </w:r>
      <w:r w:rsidR="00B65B5B" w:rsidRPr="00542EB9">
        <w:rPr>
          <w:noProof/>
        </w:rPr>
        <w:t xml:space="preserve"> degree of adaptive capacity</w:t>
      </w:r>
      <w:r w:rsidR="00364E13" w:rsidRPr="00542EB9">
        <w:rPr>
          <w:noProof/>
        </w:rPr>
        <w:t xml:space="preserve"> and </w:t>
      </w:r>
      <w:r w:rsidR="0034145D" w:rsidRPr="00542EB9">
        <w:rPr>
          <w:noProof/>
        </w:rPr>
        <w:t>enabl</w:t>
      </w:r>
      <w:r w:rsidR="00364E13" w:rsidRPr="00542EB9">
        <w:rPr>
          <w:noProof/>
        </w:rPr>
        <w:t>e</w:t>
      </w:r>
      <w:r w:rsidR="00F42FFF" w:rsidRPr="00542EB9">
        <w:rPr>
          <w:noProof/>
        </w:rPr>
        <w:t>s</w:t>
      </w:r>
      <w:r w:rsidR="00D044C3" w:rsidRPr="00542EB9">
        <w:rPr>
          <w:noProof/>
        </w:rPr>
        <w:t xml:space="preserve"> </w:t>
      </w:r>
      <w:r w:rsidR="0034145D" w:rsidRPr="00542EB9">
        <w:rPr>
          <w:noProof/>
        </w:rPr>
        <w:t xml:space="preserve">improved allocation of resources to meet varying </w:t>
      </w:r>
      <w:r w:rsidR="00064AF9" w:rsidRPr="00542EB9">
        <w:rPr>
          <w:noProof/>
        </w:rPr>
        <w:t>demands</w:t>
      </w:r>
      <w:r w:rsidR="005055DD" w:rsidRPr="00542EB9">
        <w:rPr>
          <w:noProof/>
        </w:rPr>
        <w:t>/needs</w:t>
      </w:r>
      <w:r w:rsidR="00064AF9" w:rsidRPr="00542EB9">
        <w:rPr>
          <w:noProof/>
        </w:rPr>
        <w:t xml:space="preserve"> across policy areas. </w:t>
      </w:r>
      <w:r w:rsidR="001760A1" w:rsidRPr="00542EB9">
        <w:rPr>
          <w:noProof/>
        </w:rPr>
        <w:t xml:space="preserve">However, </w:t>
      </w:r>
      <w:r w:rsidR="00D730E8" w:rsidRPr="00542EB9">
        <w:rPr>
          <w:noProof/>
        </w:rPr>
        <w:t>amounts of</w:t>
      </w:r>
      <w:r w:rsidR="001760A1" w:rsidRPr="00542EB9">
        <w:rPr>
          <w:noProof/>
        </w:rPr>
        <w:t xml:space="preserve"> </w:t>
      </w:r>
      <w:r w:rsidR="00D03E0C" w:rsidRPr="00542EB9">
        <w:rPr>
          <w:noProof/>
        </w:rPr>
        <w:t>budgetary</w:t>
      </w:r>
      <w:r w:rsidR="001760A1" w:rsidRPr="00542EB9">
        <w:rPr>
          <w:noProof/>
        </w:rPr>
        <w:t xml:space="preserve"> </w:t>
      </w:r>
      <w:r w:rsidR="0060078F" w:rsidRPr="00542EB9">
        <w:rPr>
          <w:noProof/>
        </w:rPr>
        <w:t>transfers</w:t>
      </w:r>
      <w:r w:rsidR="00E72E27" w:rsidRPr="00542EB9">
        <w:rPr>
          <w:noProof/>
        </w:rPr>
        <w:t xml:space="preserve"> </w:t>
      </w:r>
      <w:r w:rsidR="00364E13" w:rsidRPr="00542EB9">
        <w:rPr>
          <w:noProof/>
        </w:rPr>
        <w:t>might</w:t>
      </w:r>
      <w:r w:rsidR="00E72E27" w:rsidRPr="00542EB9">
        <w:rPr>
          <w:noProof/>
        </w:rPr>
        <w:t xml:space="preserve"> b</w:t>
      </w:r>
      <w:r w:rsidR="00364E13" w:rsidRPr="00542EB9">
        <w:rPr>
          <w:noProof/>
        </w:rPr>
        <w:t>e</w:t>
      </w:r>
      <w:r w:rsidR="00E72E27" w:rsidRPr="00542EB9">
        <w:rPr>
          <w:noProof/>
        </w:rPr>
        <w:t xml:space="preserve"> </w:t>
      </w:r>
      <w:r w:rsidR="005651FB" w:rsidRPr="00542EB9">
        <w:rPr>
          <w:noProof/>
        </w:rPr>
        <w:t>limited</w:t>
      </w:r>
      <w:r w:rsidR="00B04633" w:rsidRPr="00542EB9">
        <w:rPr>
          <w:noProof/>
        </w:rPr>
        <w:t xml:space="preserve">, </w:t>
      </w:r>
      <w:r w:rsidR="00EC33D3" w:rsidRPr="00542EB9">
        <w:rPr>
          <w:noProof/>
        </w:rPr>
        <w:t xml:space="preserve">indicating the potential for flexibility has not been fully exploited. </w:t>
      </w:r>
    </w:p>
    <w:p w14:paraId="6E43630C" w14:textId="2072D946" w:rsidR="000C79E3" w:rsidRPr="00542EB9" w:rsidRDefault="00273C63" w:rsidP="004D1AEE">
      <w:pPr>
        <w:pStyle w:val="Text2"/>
        <w:numPr>
          <w:ilvl w:val="0"/>
          <w:numId w:val="97"/>
        </w:numPr>
        <w:rPr>
          <w:noProof/>
        </w:rPr>
      </w:pPr>
      <w:r w:rsidRPr="00542EB9">
        <w:rPr>
          <w:noProof/>
        </w:rPr>
        <w:t>M</w:t>
      </w:r>
      <w:r w:rsidR="000C79E3" w:rsidRPr="00542EB9">
        <w:rPr>
          <w:noProof/>
        </w:rPr>
        <w:t>erging multiple budget lines</w:t>
      </w:r>
      <w:r w:rsidRPr="00542EB9">
        <w:rPr>
          <w:noProof/>
        </w:rPr>
        <w:t xml:space="preserve"> </w:t>
      </w:r>
      <w:r w:rsidR="000C79E3" w:rsidRPr="00542EB9">
        <w:rPr>
          <w:noProof/>
        </w:rPr>
        <w:t xml:space="preserve">streamline procedures and reduce administrative complexity in </w:t>
      </w:r>
      <w:r w:rsidR="0095117D" w:rsidRPr="00542EB9">
        <w:rPr>
          <w:noProof/>
        </w:rPr>
        <w:t>view of</w:t>
      </w:r>
      <w:r w:rsidR="000C79E3" w:rsidRPr="00542EB9">
        <w:rPr>
          <w:noProof/>
        </w:rPr>
        <w:t xml:space="preserve"> simplify</w:t>
      </w:r>
      <w:r w:rsidR="0095117D" w:rsidRPr="00542EB9">
        <w:rPr>
          <w:noProof/>
        </w:rPr>
        <w:t>ing</w:t>
      </w:r>
      <w:r w:rsidR="000C79E3" w:rsidRPr="00542EB9">
        <w:rPr>
          <w:noProof/>
        </w:rPr>
        <w:t xml:space="preserve"> programme management. This include</w:t>
      </w:r>
      <w:r w:rsidR="0095117D" w:rsidRPr="00542EB9">
        <w:rPr>
          <w:noProof/>
        </w:rPr>
        <w:t>s</w:t>
      </w:r>
      <w:r w:rsidR="000C79E3" w:rsidRPr="00542EB9">
        <w:rPr>
          <w:noProof/>
        </w:rPr>
        <w:t xml:space="preserve"> minimising duplications in costs and procedures and enabling more predictable financing for actions benefiting multiple objectives. </w:t>
      </w:r>
      <w:r w:rsidR="00BA146D" w:rsidRPr="00542EB9">
        <w:rPr>
          <w:noProof/>
        </w:rPr>
        <w:t xml:space="preserve">Such programme </w:t>
      </w:r>
      <w:r w:rsidR="000C79E3" w:rsidRPr="00542EB9">
        <w:rPr>
          <w:noProof/>
        </w:rPr>
        <w:t>design feature</w:t>
      </w:r>
      <w:r w:rsidR="0095117D" w:rsidRPr="00542EB9">
        <w:rPr>
          <w:noProof/>
        </w:rPr>
        <w:t>s</w:t>
      </w:r>
      <w:r w:rsidR="00F42FFF" w:rsidRPr="00542EB9">
        <w:rPr>
          <w:noProof/>
        </w:rPr>
        <w:t xml:space="preserve"> </w:t>
      </w:r>
      <w:r w:rsidR="000C79E3" w:rsidRPr="00542EB9">
        <w:rPr>
          <w:noProof/>
        </w:rPr>
        <w:t xml:space="preserve">internal governance </w:t>
      </w:r>
      <w:r w:rsidR="00BA146D" w:rsidRPr="00542EB9">
        <w:rPr>
          <w:noProof/>
        </w:rPr>
        <w:t xml:space="preserve">opportunities </w:t>
      </w:r>
      <w:r w:rsidR="000C79E3" w:rsidRPr="00542EB9">
        <w:rPr>
          <w:noProof/>
        </w:rPr>
        <w:t xml:space="preserve">such as overarching coordination </w:t>
      </w:r>
      <w:r w:rsidR="00BA146D" w:rsidRPr="00542EB9">
        <w:rPr>
          <w:noProof/>
        </w:rPr>
        <w:t>mechanisms</w:t>
      </w:r>
      <w:r w:rsidR="000C79E3" w:rsidRPr="00542EB9">
        <w:rPr>
          <w:noProof/>
        </w:rPr>
        <w:t xml:space="preserve"> </w:t>
      </w:r>
      <w:r w:rsidR="00383265" w:rsidRPr="00542EB9">
        <w:rPr>
          <w:noProof/>
        </w:rPr>
        <w:t xml:space="preserve">and overall </w:t>
      </w:r>
      <w:r w:rsidR="000C79E3" w:rsidRPr="00542EB9">
        <w:rPr>
          <w:noProof/>
        </w:rPr>
        <w:t>savings in the time and efforts invested in programme management.</w:t>
      </w:r>
    </w:p>
    <w:p w14:paraId="2A3BC19D" w14:textId="1C548E35" w:rsidR="000C79E3" w:rsidRPr="00542EB9" w:rsidRDefault="000C79E3" w:rsidP="004D1AEE">
      <w:pPr>
        <w:pStyle w:val="Text2"/>
        <w:numPr>
          <w:ilvl w:val="0"/>
          <w:numId w:val="97"/>
        </w:numPr>
        <w:rPr>
          <w:noProof/>
        </w:rPr>
      </w:pPr>
      <w:r w:rsidRPr="00542EB9">
        <w:rPr>
          <w:noProof/>
        </w:rPr>
        <w:t>Establishing a single programme rather than multiple programmes reduce</w:t>
      </w:r>
      <w:r w:rsidR="0095117D" w:rsidRPr="00542EB9">
        <w:rPr>
          <w:noProof/>
        </w:rPr>
        <w:t>s</w:t>
      </w:r>
      <w:r w:rsidRPr="00542EB9">
        <w:rPr>
          <w:noProof/>
        </w:rPr>
        <w:t xml:space="preserve"> duplications of costs and efforts in acquiring products and services, such as access to datasets, studies, Eurobarometer surveys, and communication campaigns, which could be managed through joint actions or framework contracts. This approach </w:t>
      </w:r>
      <w:r w:rsidR="00CB12AA" w:rsidRPr="00542EB9">
        <w:rPr>
          <w:noProof/>
        </w:rPr>
        <w:t>could contribute</w:t>
      </w:r>
      <w:r w:rsidR="037A7EAF" w:rsidRPr="00542EB9">
        <w:rPr>
          <w:noProof/>
        </w:rPr>
        <w:t xml:space="preserve"> </w:t>
      </w:r>
      <w:r w:rsidR="00CB12AA" w:rsidRPr="00542EB9">
        <w:rPr>
          <w:noProof/>
        </w:rPr>
        <w:t>to</w:t>
      </w:r>
      <w:r w:rsidRPr="00542EB9">
        <w:rPr>
          <w:noProof/>
        </w:rPr>
        <w:t xml:space="preserve"> foster synergies, thereby resulting in greater efficiency through joint initiatives, and reduced duplications in efforts and procurement.</w:t>
      </w:r>
    </w:p>
    <w:p w14:paraId="15E044B6" w14:textId="1E237468" w:rsidR="00BC57B1" w:rsidRPr="00542EB9" w:rsidRDefault="00D32F74" w:rsidP="5DD21FD3">
      <w:pPr>
        <w:pStyle w:val="Text2"/>
        <w:ind w:left="0"/>
        <w:rPr>
          <w:noProof/>
        </w:rPr>
      </w:pPr>
      <w:r w:rsidRPr="00542EB9">
        <w:rPr>
          <w:noProof/>
        </w:rPr>
        <w:t>However,</w:t>
      </w:r>
      <w:r w:rsidR="00023BC5" w:rsidRPr="00542EB9">
        <w:rPr>
          <w:noProof/>
        </w:rPr>
        <w:t xml:space="preserve"> in the light of the lessons learned from the interim evaluation of the SMP </w:t>
      </w:r>
      <w:r w:rsidR="006A527A" w:rsidRPr="00542EB9">
        <w:rPr>
          <w:noProof/>
        </w:rPr>
        <w:t xml:space="preserve">being an integrated programme </w:t>
      </w:r>
      <w:r w:rsidR="00023BC5" w:rsidRPr="00542EB9">
        <w:rPr>
          <w:noProof/>
        </w:rPr>
        <w:t xml:space="preserve">and </w:t>
      </w:r>
      <w:r w:rsidR="00915890" w:rsidRPr="00542EB9">
        <w:rPr>
          <w:noProof/>
        </w:rPr>
        <w:t xml:space="preserve">more than </w:t>
      </w:r>
      <w:r w:rsidR="00BC57B1" w:rsidRPr="00542EB9">
        <w:rPr>
          <w:noProof/>
        </w:rPr>
        <w:t xml:space="preserve">three decades of implementation </w:t>
      </w:r>
      <w:r w:rsidR="00023BC5" w:rsidRPr="00542EB9">
        <w:rPr>
          <w:noProof/>
        </w:rPr>
        <w:t xml:space="preserve">experience with </w:t>
      </w:r>
      <w:r w:rsidR="00BC57B1" w:rsidRPr="00542EB9">
        <w:rPr>
          <w:noProof/>
        </w:rPr>
        <w:t xml:space="preserve">the </w:t>
      </w:r>
      <w:r w:rsidR="00B27B3F" w:rsidRPr="00542EB9">
        <w:rPr>
          <w:noProof/>
        </w:rPr>
        <w:t xml:space="preserve">self-standing </w:t>
      </w:r>
      <w:r w:rsidR="00BC57B1" w:rsidRPr="00542EB9">
        <w:rPr>
          <w:noProof/>
        </w:rPr>
        <w:t>Customs and Fiscalis programmes</w:t>
      </w:r>
      <w:r w:rsidR="00023BC5" w:rsidRPr="00542EB9">
        <w:rPr>
          <w:noProof/>
        </w:rPr>
        <w:t xml:space="preserve"> </w:t>
      </w:r>
      <w:r w:rsidR="001B1100" w:rsidRPr="00542EB9">
        <w:rPr>
          <w:noProof/>
        </w:rPr>
        <w:t>the following must be noted</w:t>
      </w:r>
      <w:r w:rsidR="009F7454" w:rsidRPr="00542EB9">
        <w:rPr>
          <w:noProof/>
        </w:rPr>
        <w:t>.</w:t>
      </w:r>
    </w:p>
    <w:p w14:paraId="73BEE0DF" w14:textId="5484BE4B" w:rsidR="00760822" w:rsidRPr="00542EB9" w:rsidRDefault="001B1100" w:rsidP="5DD21FD3">
      <w:pPr>
        <w:pStyle w:val="Text2"/>
        <w:ind w:left="0"/>
        <w:rPr>
          <w:noProof/>
        </w:rPr>
      </w:pPr>
      <w:r w:rsidRPr="00542EB9">
        <w:rPr>
          <w:noProof/>
        </w:rPr>
        <w:t>W</w:t>
      </w:r>
      <w:r w:rsidR="00074332" w:rsidRPr="00542EB9">
        <w:rPr>
          <w:noProof/>
        </w:rPr>
        <w:t>ith the challenge of the diversity of</w:t>
      </w:r>
      <w:r w:rsidR="0036D2B5" w:rsidRPr="00542EB9">
        <w:rPr>
          <w:noProof/>
        </w:rPr>
        <w:t xml:space="preserve"> </w:t>
      </w:r>
      <w:r w:rsidR="00B83465" w:rsidRPr="00542EB9">
        <w:rPr>
          <w:noProof/>
        </w:rPr>
        <w:t xml:space="preserve">policy areas, </w:t>
      </w:r>
      <w:r w:rsidR="003203E6" w:rsidRPr="00542EB9">
        <w:rPr>
          <w:noProof/>
        </w:rPr>
        <w:t xml:space="preserve">limited synergies </w:t>
      </w:r>
      <w:r w:rsidR="00074332" w:rsidRPr="00542EB9">
        <w:rPr>
          <w:noProof/>
        </w:rPr>
        <w:t xml:space="preserve">may be </w:t>
      </w:r>
      <w:r w:rsidR="003203E6" w:rsidRPr="00542EB9">
        <w:rPr>
          <w:noProof/>
        </w:rPr>
        <w:t>materialised</w:t>
      </w:r>
      <w:r w:rsidR="003755E6" w:rsidRPr="00542EB9">
        <w:rPr>
          <w:noProof/>
        </w:rPr>
        <w:t>,</w:t>
      </w:r>
      <w:r w:rsidR="006B129D" w:rsidRPr="00542EB9">
        <w:rPr>
          <w:noProof/>
        </w:rPr>
        <w:t xml:space="preserve"> </w:t>
      </w:r>
      <w:r w:rsidR="003755E6" w:rsidRPr="00542EB9">
        <w:rPr>
          <w:noProof/>
        </w:rPr>
        <w:t>possibly due to the</w:t>
      </w:r>
      <w:r w:rsidR="008B7BA8" w:rsidRPr="00542EB9">
        <w:rPr>
          <w:noProof/>
        </w:rPr>
        <w:t xml:space="preserve"> underlying </w:t>
      </w:r>
      <w:r w:rsidR="008F7C0C" w:rsidRPr="00542EB9">
        <w:rPr>
          <w:noProof/>
        </w:rPr>
        <w:t xml:space="preserve">absence of a dedicated budget for </w:t>
      </w:r>
      <w:r w:rsidR="00351B95" w:rsidRPr="00542EB9">
        <w:rPr>
          <w:noProof/>
        </w:rPr>
        <w:t>joint activities</w:t>
      </w:r>
      <w:r w:rsidR="00DC38DA" w:rsidRPr="00542EB9">
        <w:rPr>
          <w:noProof/>
        </w:rPr>
        <w:t xml:space="preserve"> in addition to </w:t>
      </w:r>
      <w:r w:rsidR="002D6462" w:rsidRPr="00542EB9">
        <w:rPr>
          <w:noProof/>
        </w:rPr>
        <w:t xml:space="preserve">“specific” budget lines. </w:t>
      </w:r>
    </w:p>
    <w:p w14:paraId="7832A11A" w14:textId="3B501549" w:rsidR="00CB4A50" w:rsidRPr="00542EB9" w:rsidRDefault="00AC55E0" w:rsidP="5DD21FD3">
      <w:pPr>
        <w:pStyle w:val="Text2"/>
        <w:ind w:left="0"/>
        <w:rPr>
          <w:noProof/>
        </w:rPr>
      </w:pPr>
      <w:r w:rsidRPr="00542EB9">
        <w:rPr>
          <w:noProof/>
        </w:rPr>
        <w:t xml:space="preserve">Nevertheless, the </w:t>
      </w:r>
      <w:r w:rsidR="00892C14" w:rsidRPr="00542EB9">
        <w:rPr>
          <w:noProof/>
        </w:rPr>
        <w:t>consolidation</w:t>
      </w:r>
      <w:r w:rsidRPr="00542EB9">
        <w:rPr>
          <w:noProof/>
        </w:rPr>
        <w:t xml:space="preserve"> </w:t>
      </w:r>
      <w:r w:rsidR="00A35E99" w:rsidRPr="00542EB9">
        <w:rPr>
          <w:noProof/>
        </w:rPr>
        <w:t xml:space="preserve">of </w:t>
      </w:r>
      <w:r w:rsidR="00B80961" w:rsidRPr="00542EB9">
        <w:rPr>
          <w:noProof/>
        </w:rPr>
        <w:t xml:space="preserve">the </w:t>
      </w:r>
      <w:r w:rsidR="00315456" w:rsidRPr="00542EB9">
        <w:rPr>
          <w:noProof/>
        </w:rPr>
        <w:t>Single Market Programme</w:t>
      </w:r>
      <w:r w:rsidR="00243C30" w:rsidRPr="00542EB9">
        <w:rPr>
          <w:noProof/>
        </w:rPr>
        <w:t xml:space="preserve"> (</w:t>
      </w:r>
      <w:r w:rsidR="00053D73" w:rsidRPr="00542EB9">
        <w:rPr>
          <w:noProof/>
        </w:rPr>
        <w:t>except the SME, and food and feed pillars)</w:t>
      </w:r>
      <w:r w:rsidR="00315456" w:rsidRPr="00542EB9">
        <w:rPr>
          <w:noProof/>
        </w:rPr>
        <w:t xml:space="preserve"> </w:t>
      </w:r>
      <w:r w:rsidR="006E4067" w:rsidRPr="00542EB9">
        <w:rPr>
          <w:noProof/>
        </w:rPr>
        <w:t>with</w:t>
      </w:r>
      <w:r w:rsidR="00892C14" w:rsidRPr="00542EB9">
        <w:rPr>
          <w:noProof/>
        </w:rPr>
        <w:t xml:space="preserve"> the</w:t>
      </w:r>
      <w:r w:rsidR="00315456" w:rsidRPr="00542EB9">
        <w:rPr>
          <w:noProof/>
        </w:rPr>
        <w:t xml:space="preserve"> Customs </w:t>
      </w:r>
      <w:r w:rsidR="00103428" w:rsidRPr="00542EB9">
        <w:rPr>
          <w:noProof/>
        </w:rPr>
        <w:t>p</w:t>
      </w:r>
      <w:r w:rsidR="00315456" w:rsidRPr="00542EB9">
        <w:rPr>
          <w:noProof/>
        </w:rPr>
        <w:t>rogramme</w:t>
      </w:r>
      <w:r w:rsidR="00103428" w:rsidRPr="00542EB9">
        <w:rPr>
          <w:noProof/>
        </w:rPr>
        <w:t xml:space="preserve"> (including the component on </w:t>
      </w:r>
      <w:r w:rsidR="007168DE" w:rsidRPr="00542EB9">
        <w:rPr>
          <w:noProof/>
        </w:rPr>
        <w:t>customs control equipment)</w:t>
      </w:r>
      <w:r w:rsidR="00315456" w:rsidRPr="00542EB9">
        <w:rPr>
          <w:noProof/>
        </w:rPr>
        <w:t xml:space="preserve">, Fiscalis </w:t>
      </w:r>
      <w:r w:rsidR="00103428" w:rsidRPr="00542EB9">
        <w:rPr>
          <w:noProof/>
        </w:rPr>
        <w:t>p</w:t>
      </w:r>
      <w:r w:rsidR="00315456" w:rsidRPr="00542EB9">
        <w:rPr>
          <w:noProof/>
        </w:rPr>
        <w:t xml:space="preserve">rogramme and Union Anti-Fraud Programme may </w:t>
      </w:r>
      <w:r w:rsidR="00314E4E" w:rsidRPr="00542EB9">
        <w:rPr>
          <w:noProof/>
        </w:rPr>
        <w:t>result in a</w:t>
      </w:r>
      <w:r w:rsidR="005538CE" w:rsidRPr="00542EB9">
        <w:rPr>
          <w:noProof/>
        </w:rPr>
        <w:t xml:space="preserve">n </w:t>
      </w:r>
      <w:r w:rsidR="003755E6" w:rsidRPr="00542EB9">
        <w:rPr>
          <w:noProof/>
        </w:rPr>
        <w:t xml:space="preserve">overall </w:t>
      </w:r>
      <w:r w:rsidR="005538CE" w:rsidRPr="00542EB9">
        <w:rPr>
          <w:noProof/>
        </w:rPr>
        <w:t xml:space="preserve">improved exploitation of the potential offered by an </w:t>
      </w:r>
      <w:r w:rsidR="00892C14" w:rsidRPr="00542EB9">
        <w:rPr>
          <w:noProof/>
        </w:rPr>
        <w:t>integrated scenario.</w:t>
      </w:r>
    </w:p>
    <w:p w14:paraId="10034B31" w14:textId="51358D8D" w:rsidR="009F38F8" w:rsidRPr="00542EB9" w:rsidRDefault="00AC7432" w:rsidP="009F38F8">
      <w:pPr>
        <w:pStyle w:val="Text2"/>
        <w:ind w:left="0"/>
        <w:rPr>
          <w:noProof/>
        </w:rPr>
      </w:pPr>
      <w:r w:rsidRPr="00542EB9">
        <w:rPr>
          <w:noProof/>
        </w:rPr>
        <w:t>In light of the above</w:t>
      </w:r>
      <w:r w:rsidR="00CE0231" w:rsidRPr="00542EB9">
        <w:rPr>
          <w:noProof/>
        </w:rPr>
        <w:t>,</w:t>
      </w:r>
      <w:r w:rsidRPr="00542EB9">
        <w:rPr>
          <w:noProof/>
        </w:rPr>
        <w:t xml:space="preserve"> possible</w:t>
      </w:r>
      <w:r w:rsidR="009F38F8" w:rsidRPr="00542EB9">
        <w:rPr>
          <w:noProof/>
        </w:rPr>
        <w:t xml:space="preserve"> challenges may arise. The table below provides an overview of the challenges which may arise under the </w:t>
      </w:r>
      <w:r w:rsidR="00C67F46" w:rsidRPr="00542EB9">
        <w:rPr>
          <w:noProof/>
        </w:rPr>
        <w:t>integrat</w:t>
      </w:r>
      <w:r w:rsidR="0025168F" w:rsidRPr="00542EB9">
        <w:rPr>
          <w:noProof/>
        </w:rPr>
        <w:t>ed</w:t>
      </w:r>
      <w:r w:rsidR="009F38F8" w:rsidRPr="00542EB9">
        <w:rPr>
          <w:noProof/>
        </w:rPr>
        <w:t xml:space="preserve"> scenario and possible mitigation measures to address these. </w:t>
      </w:r>
    </w:p>
    <w:tbl>
      <w:tblPr>
        <w:tblStyle w:val="TableGrid"/>
        <w:tblW w:w="5000" w:type="pct"/>
        <w:tblLook w:val="04A0" w:firstRow="1" w:lastRow="0" w:firstColumn="1" w:lastColumn="0" w:noHBand="0" w:noVBand="1"/>
      </w:tblPr>
      <w:tblGrid>
        <w:gridCol w:w="2906"/>
        <w:gridCol w:w="5987"/>
      </w:tblGrid>
      <w:tr w:rsidR="00646DC6" w:rsidRPr="00542EB9" w14:paraId="4A27BC04" w14:textId="77777777" w:rsidTr="00D82FEB">
        <w:tc>
          <w:tcPr>
            <w:tcW w:w="1634" w:type="pct"/>
            <w:shd w:val="clear" w:color="auto" w:fill="1F497D" w:themeFill="text2"/>
          </w:tcPr>
          <w:p w14:paraId="2DA05105" w14:textId="77777777" w:rsidR="00EF700B" w:rsidRPr="00D82FEB" w:rsidRDefault="00EF700B" w:rsidP="00EF700B">
            <w:pPr>
              <w:pStyle w:val="Text2"/>
              <w:rPr>
                <w:b/>
                <w:bCs/>
                <w:noProof/>
                <w:color w:val="FFFFFF" w:themeColor="background1"/>
              </w:rPr>
            </w:pPr>
            <w:r w:rsidRPr="00D82FEB">
              <w:rPr>
                <w:b/>
                <w:bCs/>
                <w:noProof/>
                <w:color w:val="FFFFFF" w:themeColor="background1"/>
              </w:rPr>
              <w:t>Risk</w:t>
            </w:r>
          </w:p>
        </w:tc>
        <w:tc>
          <w:tcPr>
            <w:tcW w:w="3366" w:type="pct"/>
            <w:shd w:val="clear" w:color="auto" w:fill="1F497D" w:themeFill="text2"/>
          </w:tcPr>
          <w:p w14:paraId="7A50E7C8" w14:textId="77777777" w:rsidR="00EF700B" w:rsidRPr="00D82FEB" w:rsidRDefault="00EF700B" w:rsidP="00EF700B">
            <w:pPr>
              <w:pStyle w:val="Text2"/>
              <w:rPr>
                <w:b/>
                <w:bCs/>
                <w:noProof/>
                <w:color w:val="FFFFFF" w:themeColor="background1"/>
              </w:rPr>
            </w:pPr>
            <w:r w:rsidRPr="00D82FEB">
              <w:rPr>
                <w:b/>
                <w:bCs/>
                <w:noProof/>
                <w:color w:val="FFFFFF" w:themeColor="background1"/>
              </w:rPr>
              <w:t>Possible mitigation measures</w:t>
            </w:r>
          </w:p>
        </w:tc>
      </w:tr>
      <w:tr w:rsidR="00646DC6" w:rsidRPr="00542EB9" w14:paraId="2ED62E6A" w14:textId="77777777" w:rsidTr="001C4511">
        <w:tc>
          <w:tcPr>
            <w:tcW w:w="1634" w:type="pct"/>
          </w:tcPr>
          <w:p w14:paraId="776263F9" w14:textId="77777777" w:rsidR="00EF700B" w:rsidRPr="00542EB9" w:rsidRDefault="00EF700B" w:rsidP="00306B02">
            <w:pPr>
              <w:pStyle w:val="Text2"/>
              <w:ind w:left="0"/>
              <w:rPr>
                <w:b/>
                <w:bCs/>
                <w:noProof/>
              </w:rPr>
            </w:pPr>
            <w:r w:rsidRPr="00542EB9">
              <w:rPr>
                <w:b/>
                <w:bCs/>
                <w:noProof/>
              </w:rPr>
              <w:t>Greater burden in programme management to the extent that additional programme-level co-ordination between the pillars is required</w:t>
            </w:r>
          </w:p>
        </w:tc>
        <w:tc>
          <w:tcPr>
            <w:tcW w:w="3366" w:type="pct"/>
          </w:tcPr>
          <w:p w14:paraId="14A24916" w14:textId="77777777" w:rsidR="00EF700B" w:rsidRPr="00542EB9" w:rsidRDefault="00EF700B" w:rsidP="00306B02">
            <w:pPr>
              <w:pStyle w:val="Text2"/>
              <w:ind w:left="0"/>
              <w:rPr>
                <w:noProof/>
              </w:rPr>
            </w:pPr>
            <w:r w:rsidRPr="00542EB9">
              <w:rPr>
                <w:noProof/>
              </w:rPr>
              <w:t>The role and remit of programme-level co-ordination will need to be specified very clearly. As far as possible, responsibility for managing pillars will be delegated to the responsible DGs, so that only essential management functions are undertaken at programme level.</w:t>
            </w:r>
          </w:p>
        </w:tc>
      </w:tr>
      <w:tr w:rsidR="00646DC6" w:rsidRPr="00542EB9" w14:paraId="63C28C1F" w14:textId="77777777" w:rsidTr="001C4511">
        <w:tc>
          <w:tcPr>
            <w:tcW w:w="1634" w:type="pct"/>
          </w:tcPr>
          <w:p w14:paraId="4B7D313B" w14:textId="77777777" w:rsidR="00EF700B" w:rsidRPr="00542EB9" w:rsidRDefault="00EF700B" w:rsidP="00306B02">
            <w:pPr>
              <w:pStyle w:val="Text2"/>
              <w:ind w:left="0"/>
              <w:rPr>
                <w:b/>
                <w:bCs/>
                <w:noProof/>
              </w:rPr>
            </w:pPr>
            <w:r w:rsidRPr="00542EB9">
              <w:rPr>
                <w:b/>
                <w:bCs/>
                <w:noProof/>
              </w:rPr>
              <w:t>Adjustment/adaptation costs for programme implementation bodies</w:t>
            </w:r>
          </w:p>
        </w:tc>
        <w:tc>
          <w:tcPr>
            <w:tcW w:w="3366" w:type="pct"/>
          </w:tcPr>
          <w:p w14:paraId="1CD6718A" w14:textId="0E8436EA" w:rsidR="00EF700B" w:rsidRPr="00542EB9" w:rsidRDefault="0008166A" w:rsidP="00306B02">
            <w:pPr>
              <w:pStyle w:val="Text2"/>
              <w:ind w:left="0"/>
              <w:rPr>
                <w:noProof/>
              </w:rPr>
            </w:pPr>
            <w:r w:rsidRPr="00542EB9">
              <w:rPr>
                <w:noProof/>
              </w:rPr>
              <w:t xml:space="preserve">The budget for programme management may be used in the early years of the programme to provide support to cover set-up costs </w:t>
            </w:r>
            <w:r w:rsidR="00EF700B" w:rsidRPr="00542EB9">
              <w:rPr>
                <w:noProof/>
              </w:rPr>
              <w:t>of the programme to cover set-up costs, e</w:t>
            </w:r>
            <w:r w:rsidR="00055EAE" w:rsidRPr="00542EB9">
              <w:rPr>
                <w:noProof/>
              </w:rPr>
              <w:t>.</w:t>
            </w:r>
            <w:r w:rsidR="00EF700B" w:rsidRPr="00542EB9">
              <w:rPr>
                <w:noProof/>
              </w:rPr>
              <w:t>g. additional staff resource, staff training, purchase or enhancement of IT tools and programme management systems, procurement of expertise.</w:t>
            </w:r>
          </w:p>
        </w:tc>
      </w:tr>
      <w:tr w:rsidR="00646DC6" w:rsidRPr="00542EB9" w14:paraId="1E58B945" w14:textId="77777777" w:rsidTr="001C4511">
        <w:tc>
          <w:tcPr>
            <w:tcW w:w="1634" w:type="pct"/>
          </w:tcPr>
          <w:p w14:paraId="2EEF0E6C" w14:textId="77777777" w:rsidR="00EF700B" w:rsidRPr="00542EB9" w:rsidRDefault="00EF700B" w:rsidP="00306B02">
            <w:pPr>
              <w:pStyle w:val="Text2"/>
              <w:ind w:left="0"/>
              <w:rPr>
                <w:b/>
                <w:bCs/>
                <w:noProof/>
              </w:rPr>
            </w:pPr>
            <w:r w:rsidRPr="00542EB9">
              <w:rPr>
                <w:b/>
                <w:bCs/>
                <w:noProof/>
              </w:rPr>
              <w:t>Long list of standardised indicators and risk of aggregated indicators being misleading</w:t>
            </w:r>
          </w:p>
        </w:tc>
        <w:tc>
          <w:tcPr>
            <w:tcW w:w="3366" w:type="pct"/>
          </w:tcPr>
          <w:p w14:paraId="24092080" w14:textId="346E86D6" w:rsidR="00EF700B" w:rsidRPr="00542EB9" w:rsidRDefault="005C7358" w:rsidP="00306B02">
            <w:pPr>
              <w:pStyle w:val="Text2"/>
              <w:ind w:left="0"/>
              <w:rPr>
                <w:noProof/>
              </w:rPr>
            </w:pPr>
            <w:r w:rsidRPr="00542EB9">
              <w:rPr>
                <w:noProof/>
              </w:rPr>
              <w:t>D</w:t>
            </w:r>
            <w:r w:rsidR="00EF700B" w:rsidRPr="00542EB9">
              <w:rPr>
                <w:noProof/>
              </w:rPr>
              <w:t>evelop a credible list of indicators that provides a fair reflection of the intended and achieved effects of the programme; and ii) achieve agreement amongst the relevant DGs.</w:t>
            </w:r>
          </w:p>
          <w:p w14:paraId="0D308B1F" w14:textId="77777777" w:rsidR="00EF700B" w:rsidRPr="00542EB9" w:rsidRDefault="00EF700B" w:rsidP="00306B02">
            <w:pPr>
              <w:pStyle w:val="Text2"/>
              <w:ind w:left="0"/>
              <w:rPr>
                <w:noProof/>
              </w:rPr>
            </w:pPr>
            <w:r w:rsidRPr="00542EB9">
              <w:rPr>
                <w:noProof/>
              </w:rPr>
              <w:t>A clear distinction would be required between indicators that are specific to pillars or generic to the whole programme – with the latter being relatively few in number in order to make programme-level reporting meaningful.</w:t>
            </w:r>
          </w:p>
        </w:tc>
      </w:tr>
    </w:tbl>
    <w:p w14:paraId="0B477AE9" w14:textId="77777777" w:rsidR="009F38F8" w:rsidRPr="00542EB9" w:rsidRDefault="009F38F8" w:rsidP="5DD21FD3">
      <w:pPr>
        <w:pStyle w:val="Text2"/>
        <w:ind w:left="0"/>
        <w:rPr>
          <w:noProof/>
        </w:rPr>
      </w:pPr>
    </w:p>
    <w:p w14:paraId="6A373D31" w14:textId="5EAFBCF5" w:rsidR="00CB4A50" w:rsidRPr="00542EB9" w:rsidRDefault="78AC9F73" w:rsidP="5DD21FD3">
      <w:pPr>
        <w:pStyle w:val="Heading2"/>
        <w:rPr>
          <w:noProof/>
        </w:rPr>
      </w:pPr>
      <w:bookmarkStart w:id="51" w:name="_Toc191909148"/>
      <w:bookmarkStart w:id="52" w:name="_Toc198549053"/>
      <w:r w:rsidRPr="00542EB9">
        <w:rPr>
          <w:noProof/>
        </w:rPr>
        <w:t>Unified scenario</w:t>
      </w:r>
      <w:bookmarkEnd w:id="51"/>
      <w:bookmarkEnd w:id="52"/>
    </w:p>
    <w:p w14:paraId="5375BAD0" w14:textId="491AC2E9" w:rsidR="00BF5669" w:rsidRPr="00542EB9" w:rsidRDefault="00911FB6" w:rsidP="5DD21FD3">
      <w:pPr>
        <w:pStyle w:val="Text2"/>
        <w:ind w:left="0"/>
        <w:rPr>
          <w:noProof/>
          <w:szCs w:val="24"/>
        </w:rPr>
      </w:pPr>
      <w:r w:rsidRPr="00542EB9">
        <w:rPr>
          <w:noProof/>
        </w:rPr>
        <w:t>By addressing</w:t>
      </w:r>
      <w:r w:rsidR="004104A6" w:rsidRPr="00542EB9">
        <w:rPr>
          <w:noProof/>
        </w:rPr>
        <w:t xml:space="preserve"> </w:t>
      </w:r>
      <w:r w:rsidR="00C82ECE" w:rsidRPr="00542EB9">
        <w:rPr>
          <w:noProof/>
        </w:rPr>
        <w:t xml:space="preserve">challenges and barriers </w:t>
      </w:r>
      <w:r w:rsidR="00FA6E00" w:rsidRPr="00542EB9">
        <w:rPr>
          <w:noProof/>
        </w:rPr>
        <w:t xml:space="preserve">with a unified </w:t>
      </w:r>
      <w:r w:rsidR="002633FD" w:rsidRPr="00542EB9">
        <w:rPr>
          <w:noProof/>
        </w:rPr>
        <w:t>approach</w:t>
      </w:r>
      <w:r w:rsidR="003E4177" w:rsidRPr="00542EB9">
        <w:rPr>
          <w:noProof/>
        </w:rPr>
        <w:t>,</w:t>
      </w:r>
      <w:r w:rsidR="00FA6E00" w:rsidRPr="00542EB9">
        <w:rPr>
          <w:noProof/>
        </w:rPr>
        <w:t xml:space="preserve"> </w:t>
      </w:r>
      <w:r w:rsidR="00324384" w:rsidRPr="00542EB9">
        <w:rPr>
          <w:noProof/>
        </w:rPr>
        <w:t>a programme covering various</w:t>
      </w:r>
      <w:r w:rsidR="00BF5669" w:rsidRPr="00542EB9">
        <w:rPr>
          <w:noProof/>
        </w:rPr>
        <w:t xml:space="preserve"> </w:t>
      </w:r>
      <w:r w:rsidR="005459CC" w:rsidRPr="00542EB9">
        <w:rPr>
          <w:noProof/>
        </w:rPr>
        <w:t>single market</w:t>
      </w:r>
      <w:r w:rsidR="002A4E67" w:rsidRPr="00542EB9">
        <w:rPr>
          <w:noProof/>
        </w:rPr>
        <w:t xml:space="preserve"> </w:t>
      </w:r>
      <w:r w:rsidR="00324384" w:rsidRPr="00542EB9">
        <w:rPr>
          <w:noProof/>
        </w:rPr>
        <w:t>areas</w:t>
      </w:r>
      <w:r w:rsidR="002A4E67" w:rsidRPr="00542EB9">
        <w:rPr>
          <w:noProof/>
        </w:rPr>
        <w:t xml:space="preserve"> </w:t>
      </w:r>
      <w:r w:rsidR="00A27D69" w:rsidRPr="00542EB9">
        <w:rPr>
          <w:noProof/>
        </w:rPr>
        <w:t xml:space="preserve">would </w:t>
      </w:r>
      <w:r w:rsidR="00923C57" w:rsidRPr="00542EB9">
        <w:rPr>
          <w:noProof/>
        </w:rPr>
        <w:t xml:space="preserve">further </w:t>
      </w:r>
      <w:r w:rsidR="002A4E67" w:rsidRPr="00542EB9">
        <w:rPr>
          <w:noProof/>
        </w:rPr>
        <w:t>unlock</w:t>
      </w:r>
      <w:r w:rsidR="00A27D69" w:rsidRPr="00542EB9">
        <w:rPr>
          <w:noProof/>
        </w:rPr>
        <w:t xml:space="preserve"> the potential </w:t>
      </w:r>
      <w:r w:rsidR="00923C57" w:rsidRPr="00542EB9">
        <w:rPr>
          <w:noProof/>
        </w:rPr>
        <w:t>and</w:t>
      </w:r>
      <w:r w:rsidR="002A4E67" w:rsidRPr="00542EB9">
        <w:rPr>
          <w:noProof/>
        </w:rPr>
        <w:t xml:space="preserve"> </w:t>
      </w:r>
      <w:r w:rsidR="002B4061" w:rsidRPr="00542EB9">
        <w:rPr>
          <w:noProof/>
        </w:rPr>
        <w:t>strengthen</w:t>
      </w:r>
      <w:r w:rsidR="002A4E67" w:rsidRPr="00542EB9">
        <w:rPr>
          <w:noProof/>
        </w:rPr>
        <w:t xml:space="preserve"> </w:t>
      </w:r>
      <w:r w:rsidR="00DC4E28" w:rsidRPr="00542EB9">
        <w:rPr>
          <w:noProof/>
        </w:rPr>
        <w:t xml:space="preserve">the Single Market </w:t>
      </w:r>
      <w:r w:rsidR="002A4E67" w:rsidRPr="00542EB9">
        <w:rPr>
          <w:noProof/>
        </w:rPr>
        <w:t xml:space="preserve">and </w:t>
      </w:r>
      <w:r w:rsidR="00DC4E28" w:rsidRPr="00542EB9">
        <w:rPr>
          <w:noProof/>
        </w:rPr>
        <w:t>thereby</w:t>
      </w:r>
      <w:r w:rsidR="002A4E67" w:rsidRPr="00542EB9">
        <w:rPr>
          <w:noProof/>
        </w:rPr>
        <w:t xml:space="preserve"> enhanc</w:t>
      </w:r>
      <w:r w:rsidR="00923C57" w:rsidRPr="00542EB9">
        <w:rPr>
          <w:noProof/>
        </w:rPr>
        <w:t>e</w:t>
      </w:r>
      <w:r w:rsidR="002A4E67" w:rsidRPr="00542EB9">
        <w:rPr>
          <w:noProof/>
        </w:rPr>
        <w:t xml:space="preserve"> Europe’s competitiveness and economic </w:t>
      </w:r>
      <w:r w:rsidR="002A4E67" w:rsidRPr="00542EB9">
        <w:rPr>
          <w:noProof/>
          <w:szCs w:val="24"/>
        </w:rPr>
        <w:t>security</w:t>
      </w:r>
      <w:r w:rsidR="003559FF" w:rsidRPr="00542EB9">
        <w:rPr>
          <w:noProof/>
          <w:szCs w:val="24"/>
        </w:rPr>
        <w:t xml:space="preserve"> while deepening the Customs Union</w:t>
      </w:r>
      <w:r w:rsidR="00BF5669" w:rsidRPr="00542EB9">
        <w:rPr>
          <w:noProof/>
          <w:szCs w:val="24"/>
        </w:rPr>
        <w:t xml:space="preserve">.  </w:t>
      </w:r>
    </w:p>
    <w:p w14:paraId="5E587E75" w14:textId="0BC8FCD3" w:rsidR="00904CAA" w:rsidRPr="00542EB9" w:rsidRDefault="00EE2785" w:rsidP="00904CAA">
      <w:pPr>
        <w:pStyle w:val="BodyText1"/>
        <w:rPr>
          <w:rFonts w:ascii="Times New Roman" w:hAnsi="Times New Roman"/>
          <w:noProof/>
          <w:sz w:val="24"/>
          <w:szCs w:val="24"/>
        </w:rPr>
      </w:pPr>
      <w:r w:rsidRPr="00542EB9">
        <w:rPr>
          <w:rFonts w:ascii="Times New Roman" w:hAnsi="Times New Roman"/>
          <w:noProof/>
          <w:sz w:val="24"/>
          <w:szCs w:val="24"/>
        </w:rPr>
        <w:t xml:space="preserve">The costs for </w:t>
      </w:r>
      <w:r w:rsidRPr="00542EB9">
        <w:rPr>
          <w:rFonts w:ascii="Times New Roman" w:hAnsi="Times New Roman"/>
          <w:b/>
          <w:noProof/>
          <w:sz w:val="24"/>
          <w:szCs w:val="24"/>
        </w:rPr>
        <w:t>applicants, beneficiaries, and national authorities</w:t>
      </w:r>
      <w:r w:rsidRPr="00542EB9">
        <w:rPr>
          <w:rFonts w:ascii="Times New Roman" w:hAnsi="Times New Roman"/>
          <w:noProof/>
          <w:sz w:val="24"/>
          <w:szCs w:val="24"/>
        </w:rPr>
        <w:t>,</w:t>
      </w:r>
      <w:r w:rsidR="00412748" w:rsidRPr="00542EB9">
        <w:rPr>
          <w:rFonts w:ascii="Times New Roman" w:hAnsi="Times New Roman"/>
          <w:noProof/>
          <w:sz w:val="24"/>
          <w:szCs w:val="24"/>
        </w:rPr>
        <w:t xml:space="preserve"> </w:t>
      </w:r>
      <w:r w:rsidRPr="00542EB9">
        <w:rPr>
          <w:rFonts w:ascii="Times New Roman" w:hAnsi="Times New Roman"/>
          <w:noProof/>
          <w:sz w:val="24"/>
          <w:szCs w:val="24"/>
        </w:rPr>
        <w:t xml:space="preserve">is similar to the costs under the integrated scenario. </w:t>
      </w:r>
      <w:r w:rsidR="000A4A04" w:rsidRPr="00542EB9">
        <w:rPr>
          <w:rFonts w:ascii="Times New Roman" w:hAnsi="Times New Roman"/>
          <w:noProof/>
          <w:sz w:val="24"/>
          <w:szCs w:val="24"/>
        </w:rPr>
        <w:t xml:space="preserve">Costs would not be different in case of the unified scenario for citizens, consumers, businesses, except for a possible </w:t>
      </w:r>
      <w:r w:rsidR="0019443C" w:rsidRPr="00542EB9">
        <w:rPr>
          <w:rFonts w:ascii="Times New Roman" w:hAnsi="Times New Roman"/>
          <w:noProof/>
          <w:sz w:val="24"/>
          <w:szCs w:val="24"/>
        </w:rPr>
        <w:t>burden</w:t>
      </w:r>
      <w:r w:rsidR="000A4A04" w:rsidRPr="00542EB9">
        <w:rPr>
          <w:rFonts w:ascii="Times New Roman" w:hAnsi="Times New Roman"/>
          <w:noProof/>
          <w:sz w:val="24"/>
          <w:szCs w:val="24"/>
        </w:rPr>
        <w:t xml:space="preserve"> reduction in accessing services to the extent that services are less fragmented across policy areas</w:t>
      </w:r>
      <w:r w:rsidR="00D01BEA" w:rsidRPr="00542EB9">
        <w:rPr>
          <w:rFonts w:ascii="Times New Roman" w:hAnsi="Times New Roman"/>
          <w:noProof/>
          <w:sz w:val="24"/>
          <w:szCs w:val="24"/>
        </w:rPr>
        <w:t xml:space="preserve">. </w:t>
      </w:r>
      <w:r w:rsidR="007F29EF" w:rsidRPr="00542EB9">
        <w:rPr>
          <w:rFonts w:ascii="Times New Roman" w:hAnsi="Times New Roman"/>
          <w:noProof/>
          <w:sz w:val="24"/>
          <w:szCs w:val="24"/>
        </w:rPr>
        <w:t xml:space="preserve">A majority of respondents to the public consultation </w:t>
      </w:r>
      <w:r w:rsidR="002D035B" w:rsidRPr="00542EB9">
        <w:rPr>
          <w:rFonts w:ascii="Times New Roman" w:hAnsi="Times New Roman"/>
          <w:noProof/>
          <w:sz w:val="24"/>
          <w:szCs w:val="24"/>
        </w:rPr>
        <w:t>(</w:t>
      </w:r>
      <w:r w:rsidR="00B10FF4" w:rsidRPr="00542EB9">
        <w:rPr>
          <w:rFonts w:ascii="Times New Roman" w:hAnsi="Times New Roman"/>
          <w:noProof/>
          <w:sz w:val="24"/>
          <w:szCs w:val="24"/>
        </w:rPr>
        <w:t xml:space="preserve">90%, </w:t>
      </w:r>
      <w:r w:rsidR="007A0552" w:rsidRPr="00542EB9">
        <w:rPr>
          <w:rFonts w:ascii="Times New Roman" w:hAnsi="Times New Roman"/>
          <w:noProof/>
          <w:sz w:val="24"/>
          <w:szCs w:val="24"/>
        </w:rPr>
        <w:t>588 out of 654</w:t>
      </w:r>
      <w:r w:rsidR="00E969CA" w:rsidRPr="00542EB9">
        <w:rPr>
          <w:rFonts w:ascii="Times New Roman" w:hAnsi="Times New Roman"/>
          <w:noProof/>
          <w:sz w:val="24"/>
          <w:szCs w:val="24"/>
        </w:rPr>
        <w:t xml:space="preserve">) </w:t>
      </w:r>
      <w:r w:rsidR="005C4ADF" w:rsidRPr="00542EB9">
        <w:rPr>
          <w:rFonts w:ascii="Times New Roman" w:hAnsi="Times New Roman"/>
          <w:noProof/>
          <w:sz w:val="24"/>
          <w:szCs w:val="24"/>
        </w:rPr>
        <w:t xml:space="preserve">emphasised that </w:t>
      </w:r>
      <w:r w:rsidR="00B43C35" w:rsidRPr="00542EB9">
        <w:rPr>
          <w:rFonts w:ascii="Times New Roman" w:hAnsi="Times New Roman"/>
          <w:noProof/>
          <w:sz w:val="24"/>
          <w:szCs w:val="24"/>
        </w:rPr>
        <w:t>that “simplifying access to and information about funding for beneficiaries” could help the EU budget become more effective and efficient.</w:t>
      </w:r>
      <w:r w:rsidR="000A4A04" w:rsidRPr="00542EB9">
        <w:rPr>
          <w:rFonts w:ascii="Times New Roman" w:hAnsi="Times New Roman"/>
          <w:noProof/>
          <w:sz w:val="24"/>
          <w:szCs w:val="24"/>
        </w:rPr>
        <w:t xml:space="preserve"> </w:t>
      </w:r>
      <w:r w:rsidR="009B67D6" w:rsidRPr="00542EB9">
        <w:rPr>
          <w:rFonts w:ascii="Times New Roman" w:hAnsi="Times New Roman"/>
          <w:noProof/>
          <w:sz w:val="24"/>
          <w:szCs w:val="24"/>
        </w:rPr>
        <w:t>A unified</w:t>
      </w:r>
      <w:r w:rsidR="00131B9C" w:rsidRPr="00542EB9">
        <w:rPr>
          <w:rFonts w:ascii="Times New Roman" w:hAnsi="Times New Roman"/>
          <w:noProof/>
          <w:sz w:val="24"/>
          <w:szCs w:val="24"/>
        </w:rPr>
        <w:t xml:space="preserve"> scenario could promote a more strategic and targeted use of resources</w:t>
      </w:r>
      <w:r w:rsidR="0098117F" w:rsidRPr="00542EB9">
        <w:rPr>
          <w:rFonts w:ascii="Times New Roman" w:hAnsi="Times New Roman"/>
          <w:noProof/>
          <w:sz w:val="24"/>
          <w:szCs w:val="24"/>
        </w:rPr>
        <w:t xml:space="preserve"> and</w:t>
      </w:r>
      <w:r w:rsidR="291883B3" w:rsidRPr="00542EB9">
        <w:rPr>
          <w:rFonts w:ascii="Times New Roman" w:hAnsi="Times New Roman"/>
          <w:noProof/>
          <w:sz w:val="24"/>
          <w:szCs w:val="24"/>
        </w:rPr>
        <w:t xml:space="preserve"> </w:t>
      </w:r>
      <w:r w:rsidR="00131B9C" w:rsidRPr="00542EB9">
        <w:rPr>
          <w:rFonts w:ascii="Times New Roman" w:hAnsi="Times New Roman"/>
          <w:noProof/>
          <w:sz w:val="24"/>
          <w:szCs w:val="24"/>
        </w:rPr>
        <w:t xml:space="preserve">further reduce administrative burdens on national administrations and </w:t>
      </w:r>
      <w:r w:rsidR="00040903" w:rsidRPr="00542EB9">
        <w:rPr>
          <w:rFonts w:ascii="Times New Roman" w:hAnsi="Times New Roman"/>
          <w:noProof/>
          <w:sz w:val="24"/>
          <w:szCs w:val="24"/>
        </w:rPr>
        <w:t>beneficiaries, applicants to grants</w:t>
      </w:r>
      <w:r w:rsidR="00131B9C" w:rsidRPr="00542EB9">
        <w:rPr>
          <w:rFonts w:ascii="Times New Roman" w:hAnsi="Times New Roman"/>
          <w:noProof/>
          <w:sz w:val="24"/>
          <w:szCs w:val="24"/>
        </w:rPr>
        <w:t>.</w:t>
      </w:r>
      <w:r w:rsidR="00AF5944" w:rsidRPr="00542EB9">
        <w:rPr>
          <w:rFonts w:ascii="Times New Roman" w:hAnsi="Times New Roman"/>
          <w:noProof/>
          <w:sz w:val="24"/>
          <w:szCs w:val="24"/>
        </w:rPr>
        <w:t xml:space="preserve"> </w:t>
      </w:r>
      <w:r w:rsidR="00374829" w:rsidRPr="00542EB9">
        <w:rPr>
          <w:rFonts w:ascii="Times New Roman" w:hAnsi="Times New Roman"/>
          <w:noProof/>
          <w:sz w:val="24"/>
          <w:szCs w:val="24"/>
        </w:rPr>
        <w:t xml:space="preserve">As under the integrated scenario, the introduction of a common rulebook for calls for proposals </w:t>
      </w:r>
      <w:r w:rsidR="0026347E" w:rsidRPr="00542EB9">
        <w:rPr>
          <w:rFonts w:ascii="Times New Roman" w:hAnsi="Times New Roman"/>
          <w:noProof/>
          <w:sz w:val="24"/>
          <w:szCs w:val="24"/>
        </w:rPr>
        <w:t>across</w:t>
      </w:r>
      <w:r w:rsidR="00374829" w:rsidRPr="00542EB9">
        <w:rPr>
          <w:rFonts w:ascii="Times New Roman" w:hAnsi="Times New Roman"/>
          <w:noProof/>
          <w:sz w:val="24"/>
          <w:szCs w:val="24"/>
        </w:rPr>
        <w:t xml:space="preserve"> the programme might reduce the administrative burden for </w:t>
      </w:r>
      <w:r w:rsidR="007D7B2D" w:rsidRPr="00542EB9">
        <w:rPr>
          <w:rFonts w:ascii="Times New Roman" w:hAnsi="Times New Roman"/>
          <w:noProof/>
          <w:sz w:val="24"/>
          <w:szCs w:val="24"/>
        </w:rPr>
        <w:t>applicants and beneficiaries.</w:t>
      </w:r>
      <w:r w:rsidR="00374829" w:rsidRPr="00542EB9">
        <w:rPr>
          <w:rFonts w:ascii="Times New Roman" w:hAnsi="Times New Roman"/>
          <w:noProof/>
          <w:sz w:val="24"/>
          <w:szCs w:val="24"/>
        </w:rPr>
        <w:t xml:space="preserve"> </w:t>
      </w:r>
      <w:r w:rsidR="00373958" w:rsidRPr="00542EB9">
        <w:rPr>
          <w:rFonts w:ascii="Times New Roman" w:hAnsi="Times New Roman"/>
          <w:noProof/>
          <w:sz w:val="24"/>
          <w:szCs w:val="24"/>
        </w:rPr>
        <w:t>A majority of respondents to the public consultation</w:t>
      </w:r>
      <w:r w:rsidR="000705E6" w:rsidRPr="00542EB9">
        <w:rPr>
          <w:rFonts w:ascii="Times New Roman" w:hAnsi="Times New Roman"/>
          <w:noProof/>
          <w:sz w:val="24"/>
          <w:szCs w:val="24"/>
        </w:rPr>
        <w:t xml:space="preserve"> (</w:t>
      </w:r>
      <w:r w:rsidR="009A2706" w:rsidRPr="00542EB9">
        <w:rPr>
          <w:rFonts w:ascii="Times New Roman" w:hAnsi="Times New Roman"/>
          <w:noProof/>
          <w:sz w:val="24"/>
          <w:szCs w:val="24"/>
        </w:rPr>
        <w:t>71</w:t>
      </w:r>
      <w:r w:rsidR="00DC0065" w:rsidRPr="00542EB9">
        <w:rPr>
          <w:rFonts w:ascii="Times New Roman" w:hAnsi="Times New Roman"/>
          <w:noProof/>
          <w:sz w:val="24"/>
          <w:szCs w:val="24"/>
        </w:rPr>
        <w:t>%</w:t>
      </w:r>
      <w:r w:rsidR="000705E6" w:rsidRPr="00542EB9">
        <w:rPr>
          <w:rFonts w:ascii="Times New Roman" w:hAnsi="Times New Roman"/>
          <w:noProof/>
          <w:sz w:val="24"/>
          <w:szCs w:val="24"/>
        </w:rPr>
        <w:t xml:space="preserve">, </w:t>
      </w:r>
      <w:r w:rsidR="00CD35F4" w:rsidRPr="00542EB9">
        <w:rPr>
          <w:rFonts w:ascii="Times New Roman" w:hAnsi="Times New Roman"/>
          <w:noProof/>
          <w:sz w:val="24"/>
          <w:szCs w:val="24"/>
        </w:rPr>
        <w:t xml:space="preserve">474 </w:t>
      </w:r>
      <w:r w:rsidR="000705E6" w:rsidRPr="00542EB9">
        <w:rPr>
          <w:rFonts w:ascii="Times New Roman" w:hAnsi="Times New Roman"/>
          <w:noProof/>
          <w:sz w:val="24"/>
          <w:szCs w:val="24"/>
        </w:rPr>
        <w:t xml:space="preserve">out of </w:t>
      </w:r>
      <w:r w:rsidR="009A2706" w:rsidRPr="00542EB9">
        <w:rPr>
          <w:rFonts w:ascii="Times New Roman" w:hAnsi="Times New Roman"/>
          <w:noProof/>
          <w:sz w:val="24"/>
          <w:szCs w:val="24"/>
        </w:rPr>
        <w:t>668</w:t>
      </w:r>
      <w:r w:rsidR="000705E6" w:rsidRPr="00542EB9">
        <w:rPr>
          <w:rFonts w:ascii="Times New Roman" w:hAnsi="Times New Roman"/>
          <w:noProof/>
          <w:sz w:val="24"/>
          <w:szCs w:val="24"/>
        </w:rPr>
        <w:t>)</w:t>
      </w:r>
      <w:r w:rsidR="00373958" w:rsidRPr="00542EB9">
        <w:rPr>
          <w:rFonts w:ascii="Times New Roman" w:hAnsi="Times New Roman"/>
          <w:noProof/>
          <w:sz w:val="24"/>
          <w:szCs w:val="24"/>
        </w:rPr>
        <w:t xml:space="preserve"> said t</w:t>
      </w:r>
      <w:r w:rsidR="001A445A" w:rsidRPr="00542EB9">
        <w:rPr>
          <w:rFonts w:ascii="Times New Roman" w:hAnsi="Times New Roman"/>
          <w:noProof/>
          <w:sz w:val="24"/>
          <w:szCs w:val="24"/>
        </w:rPr>
        <w:t xml:space="preserve">hat </w:t>
      </w:r>
      <w:r w:rsidR="00630226" w:rsidRPr="00542EB9">
        <w:rPr>
          <w:rFonts w:ascii="Times New Roman" w:hAnsi="Times New Roman"/>
          <w:noProof/>
          <w:sz w:val="24"/>
          <w:szCs w:val="24"/>
        </w:rPr>
        <w:t xml:space="preserve">“applying common rules, timelines and eligibility criteria to all relevant EU funds” could help the EU budget become more effective and efficient. </w:t>
      </w:r>
      <w:r w:rsidR="00BB7748" w:rsidRPr="00542EB9">
        <w:rPr>
          <w:rFonts w:ascii="Times New Roman" w:hAnsi="Times New Roman"/>
          <w:noProof/>
          <w:sz w:val="24"/>
          <w:szCs w:val="24"/>
        </w:rPr>
        <w:t>The level of administrative burden will reflect the detailed design of specific actions or calls rather than the overall programme structure.</w:t>
      </w:r>
    </w:p>
    <w:p w14:paraId="393759B2" w14:textId="3406771C" w:rsidR="00467C48" w:rsidRPr="00542EB9" w:rsidRDefault="008A08FB" w:rsidP="00467C48">
      <w:pPr>
        <w:pStyle w:val="BodyText1"/>
        <w:rPr>
          <w:rFonts w:ascii="Times New Roman" w:hAnsi="Times New Roman"/>
          <w:noProof/>
          <w:sz w:val="24"/>
          <w:szCs w:val="24"/>
        </w:rPr>
      </w:pPr>
      <w:r w:rsidRPr="00542EB9">
        <w:rPr>
          <w:rFonts w:ascii="Times New Roman" w:hAnsi="Times New Roman"/>
          <w:noProof/>
          <w:sz w:val="24"/>
          <w:szCs w:val="24"/>
        </w:rPr>
        <w:t xml:space="preserve">The </w:t>
      </w:r>
      <w:r w:rsidRPr="00542EB9">
        <w:rPr>
          <w:rFonts w:ascii="Times New Roman" w:hAnsi="Times New Roman"/>
          <w:b/>
          <w:bCs/>
          <w:noProof/>
          <w:sz w:val="24"/>
          <w:szCs w:val="24"/>
        </w:rPr>
        <w:t>unified</w:t>
      </w:r>
      <w:r w:rsidRPr="00542EB9">
        <w:rPr>
          <w:rFonts w:ascii="Times New Roman" w:hAnsi="Times New Roman"/>
          <w:noProof/>
          <w:sz w:val="24"/>
          <w:szCs w:val="24"/>
        </w:rPr>
        <w:t xml:space="preserve"> scenario can reduce some parts of programme management and implementation costs (less programme-level committees), as well as administrative costs due to a single set of requirements and a Common Rulebook and lower administrative burden associated with applying for and receiving EU funds due to horizontal activities.</w:t>
      </w:r>
      <w:r w:rsidR="00250038" w:rsidRPr="00542EB9">
        <w:rPr>
          <w:rFonts w:ascii="Times New Roman" w:hAnsi="Times New Roman"/>
          <w:noProof/>
          <w:sz w:val="24"/>
          <w:szCs w:val="24"/>
        </w:rPr>
        <w:t xml:space="preserve"> </w:t>
      </w:r>
      <w:r w:rsidR="005473F8" w:rsidRPr="00542EB9">
        <w:rPr>
          <w:rFonts w:ascii="Times New Roman" w:hAnsi="Times New Roman"/>
          <w:noProof/>
          <w:sz w:val="24"/>
          <w:szCs w:val="24"/>
        </w:rPr>
        <w:t>A majority of s</w:t>
      </w:r>
      <w:r w:rsidR="00250038" w:rsidRPr="00542EB9">
        <w:rPr>
          <w:rFonts w:ascii="Times New Roman" w:hAnsi="Times New Roman"/>
          <w:noProof/>
          <w:sz w:val="24"/>
          <w:szCs w:val="24"/>
        </w:rPr>
        <w:t xml:space="preserve">takeholders </w:t>
      </w:r>
      <w:r w:rsidR="00B32755" w:rsidRPr="00542EB9">
        <w:rPr>
          <w:rFonts w:ascii="Times New Roman" w:hAnsi="Times New Roman"/>
          <w:noProof/>
          <w:sz w:val="24"/>
          <w:szCs w:val="24"/>
        </w:rPr>
        <w:t xml:space="preserve">expressed </w:t>
      </w:r>
      <w:r w:rsidR="007B2AA6" w:rsidRPr="00542EB9">
        <w:rPr>
          <w:rFonts w:ascii="Times New Roman" w:hAnsi="Times New Roman"/>
          <w:noProof/>
          <w:sz w:val="24"/>
          <w:szCs w:val="24"/>
        </w:rPr>
        <w:t>during</w:t>
      </w:r>
      <w:r w:rsidR="00B32755" w:rsidRPr="00542EB9">
        <w:rPr>
          <w:rFonts w:ascii="Times New Roman" w:hAnsi="Times New Roman"/>
          <w:noProof/>
          <w:sz w:val="24"/>
          <w:szCs w:val="24"/>
        </w:rPr>
        <w:t xml:space="preserve"> the public consultation support </w:t>
      </w:r>
      <w:r w:rsidR="00D90F27" w:rsidRPr="00542EB9">
        <w:rPr>
          <w:rFonts w:ascii="Times New Roman" w:hAnsi="Times New Roman"/>
          <w:noProof/>
          <w:sz w:val="24"/>
          <w:szCs w:val="24"/>
        </w:rPr>
        <w:t xml:space="preserve">to the introduction of fewer, clearer, and simpler rules (89%, </w:t>
      </w:r>
      <w:r w:rsidR="0058348A" w:rsidRPr="00542EB9">
        <w:rPr>
          <w:rFonts w:ascii="Times New Roman" w:hAnsi="Times New Roman"/>
          <w:noProof/>
          <w:sz w:val="24"/>
          <w:szCs w:val="24"/>
        </w:rPr>
        <w:t xml:space="preserve">599 </w:t>
      </w:r>
      <w:r w:rsidR="00D90F27" w:rsidRPr="00542EB9">
        <w:rPr>
          <w:rFonts w:ascii="Times New Roman" w:hAnsi="Times New Roman"/>
          <w:noProof/>
          <w:sz w:val="24"/>
          <w:szCs w:val="24"/>
        </w:rPr>
        <w:t xml:space="preserve">out of </w:t>
      </w:r>
      <w:r w:rsidR="0058348A" w:rsidRPr="00542EB9">
        <w:rPr>
          <w:rFonts w:ascii="Times New Roman" w:hAnsi="Times New Roman"/>
          <w:noProof/>
          <w:sz w:val="24"/>
          <w:szCs w:val="24"/>
        </w:rPr>
        <w:t>667</w:t>
      </w:r>
      <w:r w:rsidR="00D90F27" w:rsidRPr="00542EB9">
        <w:rPr>
          <w:rFonts w:ascii="Times New Roman" w:hAnsi="Times New Roman"/>
          <w:noProof/>
          <w:sz w:val="24"/>
          <w:szCs w:val="24"/>
        </w:rPr>
        <w:t>).</w:t>
      </w:r>
      <w:r w:rsidRPr="00542EB9">
        <w:rPr>
          <w:rFonts w:ascii="Times New Roman" w:hAnsi="Times New Roman"/>
          <w:noProof/>
          <w:sz w:val="24"/>
          <w:szCs w:val="24"/>
        </w:rPr>
        <w:t xml:space="preserve"> </w:t>
      </w:r>
      <w:r w:rsidR="00467C48" w:rsidRPr="00542EB9">
        <w:rPr>
          <w:rFonts w:ascii="Times New Roman" w:hAnsi="Times New Roman"/>
          <w:noProof/>
          <w:sz w:val="24"/>
          <w:szCs w:val="24"/>
        </w:rPr>
        <w:t xml:space="preserve">There may </w:t>
      </w:r>
      <w:r w:rsidR="00904CAA" w:rsidRPr="00542EB9">
        <w:rPr>
          <w:rFonts w:ascii="Times New Roman" w:hAnsi="Times New Roman"/>
          <w:noProof/>
          <w:sz w:val="24"/>
          <w:szCs w:val="24"/>
        </w:rPr>
        <w:t xml:space="preserve">also </w:t>
      </w:r>
      <w:r w:rsidR="00467C48" w:rsidRPr="00542EB9">
        <w:rPr>
          <w:rFonts w:ascii="Times New Roman" w:hAnsi="Times New Roman"/>
          <w:noProof/>
          <w:sz w:val="24"/>
          <w:szCs w:val="24"/>
        </w:rPr>
        <w:t xml:space="preserve">be some significant reduction in programme management </w:t>
      </w:r>
      <w:r w:rsidR="00DB74A5" w:rsidRPr="00542EB9">
        <w:rPr>
          <w:rFonts w:ascii="Times New Roman" w:hAnsi="Times New Roman"/>
          <w:noProof/>
          <w:sz w:val="24"/>
          <w:szCs w:val="24"/>
        </w:rPr>
        <w:t>and administration</w:t>
      </w:r>
      <w:r w:rsidR="00467C48" w:rsidRPr="00542EB9">
        <w:rPr>
          <w:rFonts w:ascii="Times New Roman" w:hAnsi="Times New Roman"/>
          <w:noProof/>
          <w:sz w:val="24"/>
          <w:szCs w:val="24"/>
        </w:rPr>
        <w:t xml:space="preserve"> costs to the extent that duplication across previously separate programmes is reduced, for example, in terms of costs related to monitoring, evaluation, audit, reporting, supervision of </w:t>
      </w:r>
      <w:r w:rsidR="00020C75" w:rsidRPr="00542EB9">
        <w:rPr>
          <w:rFonts w:ascii="Times New Roman" w:hAnsi="Times New Roman"/>
          <w:noProof/>
          <w:sz w:val="24"/>
          <w:szCs w:val="24"/>
        </w:rPr>
        <w:t>e</w:t>
      </w:r>
      <w:r w:rsidR="00467C48" w:rsidRPr="00542EB9">
        <w:rPr>
          <w:rFonts w:ascii="Times New Roman" w:hAnsi="Times New Roman"/>
          <w:noProof/>
          <w:sz w:val="24"/>
          <w:szCs w:val="24"/>
        </w:rPr>
        <w:t xml:space="preserve">xecutive </w:t>
      </w:r>
      <w:r w:rsidR="00020C75" w:rsidRPr="00542EB9">
        <w:rPr>
          <w:rFonts w:ascii="Times New Roman" w:hAnsi="Times New Roman"/>
          <w:noProof/>
          <w:sz w:val="24"/>
          <w:szCs w:val="24"/>
        </w:rPr>
        <w:t>a</w:t>
      </w:r>
      <w:r w:rsidR="00467C48" w:rsidRPr="00542EB9">
        <w:rPr>
          <w:rFonts w:ascii="Times New Roman" w:hAnsi="Times New Roman"/>
          <w:noProof/>
          <w:sz w:val="24"/>
          <w:szCs w:val="24"/>
        </w:rPr>
        <w:t>gencies.</w:t>
      </w:r>
      <w:r w:rsidR="00442A57" w:rsidRPr="00542EB9">
        <w:rPr>
          <w:rFonts w:ascii="Times New Roman" w:hAnsi="Times New Roman"/>
          <w:noProof/>
          <w:sz w:val="24"/>
          <w:szCs w:val="24"/>
        </w:rPr>
        <w:t xml:space="preserve"> </w:t>
      </w:r>
    </w:p>
    <w:p w14:paraId="610AF9D3" w14:textId="34CC1114" w:rsidR="00016384" w:rsidRPr="00542EB9" w:rsidRDefault="00016384" w:rsidP="005C20F2">
      <w:pPr>
        <w:pStyle w:val="Text2"/>
        <w:ind w:left="0"/>
        <w:rPr>
          <w:noProof/>
        </w:rPr>
      </w:pPr>
      <w:r w:rsidRPr="00542EB9">
        <w:rPr>
          <w:noProof/>
        </w:rPr>
        <w:t xml:space="preserve">On the level of the </w:t>
      </w:r>
      <w:r w:rsidRPr="00542EB9">
        <w:rPr>
          <w:b/>
          <w:noProof/>
        </w:rPr>
        <w:t>Commission services</w:t>
      </w:r>
      <w:r w:rsidRPr="00542EB9">
        <w:rPr>
          <w:noProof/>
        </w:rPr>
        <w:t xml:space="preserve">, the direct cost for implementing the programme is fixed with a maximum ceiling of 5% of SMP programme budget, 2% of UAFP programme budget whereas the Customs and Fiscalis programmes do not include such defined ceiling. </w:t>
      </w:r>
    </w:p>
    <w:p w14:paraId="31994C52" w14:textId="13B4D8EF" w:rsidR="00412AC0" w:rsidRPr="00542EB9" w:rsidRDefault="00DA11F3" w:rsidP="00412AC0">
      <w:pPr>
        <w:pStyle w:val="Bullets2"/>
        <w:numPr>
          <w:ilvl w:val="0"/>
          <w:numId w:val="0"/>
        </w:numPr>
        <w:spacing w:before="60" w:after="60"/>
        <w:rPr>
          <w:rFonts w:ascii="Times New Roman" w:hAnsi="Times New Roman"/>
          <w:sz w:val="24"/>
          <w:szCs w:val="24"/>
          <w:lang w:val="en-GB"/>
        </w:rPr>
      </w:pPr>
      <w:r w:rsidRPr="00542EB9">
        <w:rPr>
          <w:rFonts w:ascii="Times New Roman" w:hAnsi="Times New Roman"/>
          <w:sz w:val="24"/>
          <w:szCs w:val="24"/>
          <w:lang w:val="en-GB"/>
        </w:rPr>
        <w:t>I</w:t>
      </w:r>
      <w:r w:rsidR="00412AC0" w:rsidRPr="00542EB9">
        <w:rPr>
          <w:rFonts w:ascii="Times New Roman" w:hAnsi="Times New Roman"/>
          <w:sz w:val="24"/>
          <w:szCs w:val="24"/>
          <w:lang w:val="en-GB"/>
        </w:rPr>
        <w:t>ndirect costs could decrease to the extent that services are less fragmented across policy areas. However, administrative burden may increase depending on need to adapt to different forms of service provision.</w:t>
      </w:r>
    </w:p>
    <w:p w14:paraId="6DC7ABDB" w14:textId="77777777" w:rsidR="00413482" w:rsidRPr="00542EB9" w:rsidRDefault="00577366" w:rsidP="00467C48">
      <w:pPr>
        <w:pStyle w:val="BodyText1"/>
        <w:rPr>
          <w:rFonts w:ascii="Times New Roman" w:hAnsi="Times New Roman"/>
          <w:noProof/>
          <w:sz w:val="24"/>
          <w:szCs w:val="24"/>
        </w:rPr>
      </w:pPr>
      <w:r w:rsidRPr="00542EB9">
        <w:rPr>
          <w:rFonts w:ascii="Times New Roman" w:hAnsi="Times New Roman"/>
          <w:noProof/>
          <w:sz w:val="24"/>
          <w:szCs w:val="24"/>
        </w:rPr>
        <w:t>On the other hand, this scenario</w:t>
      </w:r>
      <w:r w:rsidR="18A7E263" w:rsidRPr="00542EB9">
        <w:rPr>
          <w:rFonts w:ascii="Times New Roman" w:hAnsi="Times New Roman"/>
          <w:noProof/>
          <w:sz w:val="24"/>
          <w:szCs w:val="24"/>
        </w:rPr>
        <w:t xml:space="preserve"> significantly</w:t>
      </w:r>
      <w:r w:rsidRPr="00542EB9">
        <w:rPr>
          <w:rFonts w:ascii="Times New Roman" w:hAnsi="Times New Roman"/>
          <w:noProof/>
          <w:sz w:val="24"/>
          <w:szCs w:val="24"/>
        </w:rPr>
        <w:t xml:space="preserve"> increases the scope of potential benefits</w:t>
      </w:r>
      <w:r w:rsidR="0055024E" w:rsidRPr="00542EB9">
        <w:rPr>
          <w:rFonts w:ascii="Times New Roman" w:hAnsi="Times New Roman"/>
          <w:noProof/>
          <w:sz w:val="24"/>
          <w:szCs w:val="24"/>
        </w:rPr>
        <w:t xml:space="preserve">. </w:t>
      </w:r>
      <w:r w:rsidRPr="00542EB9">
        <w:rPr>
          <w:rFonts w:ascii="Times New Roman" w:hAnsi="Times New Roman"/>
          <w:noProof/>
          <w:sz w:val="24"/>
          <w:szCs w:val="24"/>
        </w:rPr>
        <w:t xml:space="preserve"> </w:t>
      </w:r>
      <w:r w:rsidR="0055024E" w:rsidRPr="00542EB9">
        <w:rPr>
          <w:rFonts w:ascii="Times New Roman" w:hAnsi="Times New Roman"/>
          <w:noProof/>
          <w:sz w:val="24"/>
          <w:szCs w:val="24"/>
        </w:rPr>
        <w:t xml:space="preserve">At the same time, </w:t>
      </w:r>
      <w:r w:rsidRPr="00542EB9">
        <w:rPr>
          <w:rFonts w:ascii="Times New Roman" w:hAnsi="Times New Roman"/>
          <w:noProof/>
          <w:sz w:val="24"/>
          <w:szCs w:val="24"/>
        </w:rPr>
        <w:t>due to the diversity of activities under the scope it</w:t>
      </w:r>
      <w:r w:rsidR="00415E10" w:rsidRPr="00542EB9">
        <w:rPr>
          <w:rFonts w:ascii="Times New Roman" w:hAnsi="Times New Roman"/>
          <w:noProof/>
          <w:sz w:val="24"/>
          <w:szCs w:val="24"/>
        </w:rPr>
        <w:t xml:space="preserve"> may</w:t>
      </w:r>
      <w:r w:rsidR="00EF4414" w:rsidRPr="00542EB9">
        <w:rPr>
          <w:rFonts w:ascii="Times New Roman" w:hAnsi="Times New Roman"/>
          <w:noProof/>
          <w:sz w:val="24"/>
          <w:szCs w:val="24"/>
        </w:rPr>
        <w:t xml:space="preserve"> be </w:t>
      </w:r>
      <w:r w:rsidRPr="00542EB9">
        <w:rPr>
          <w:rFonts w:ascii="Times New Roman" w:hAnsi="Times New Roman"/>
          <w:noProof/>
          <w:sz w:val="24"/>
          <w:szCs w:val="24"/>
        </w:rPr>
        <w:t xml:space="preserve">difficult to </w:t>
      </w:r>
      <w:r w:rsidR="00712203" w:rsidRPr="00542EB9">
        <w:rPr>
          <w:rFonts w:ascii="Times New Roman" w:hAnsi="Times New Roman"/>
          <w:noProof/>
          <w:sz w:val="24"/>
          <w:szCs w:val="24"/>
        </w:rPr>
        <w:t>establish</w:t>
      </w:r>
      <w:r w:rsidRPr="00542EB9">
        <w:rPr>
          <w:rFonts w:ascii="Times New Roman" w:hAnsi="Times New Roman"/>
          <w:noProof/>
          <w:sz w:val="24"/>
          <w:szCs w:val="24"/>
        </w:rPr>
        <w:t xml:space="preserve"> a </w:t>
      </w:r>
      <w:r w:rsidR="00EF4414" w:rsidRPr="00542EB9">
        <w:rPr>
          <w:rFonts w:ascii="Times New Roman" w:hAnsi="Times New Roman"/>
          <w:noProof/>
          <w:sz w:val="24"/>
          <w:szCs w:val="24"/>
        </w:rPr>
        <w:t xml:space="preserve">streamlined </w:t>
      </w:r>
      <w:r w:rsidRPr="00542EB9">
        <w:rPr>
          <w:rFonts w:ascii="Times New Roman" w:hAnsi="Times New Roman"/>
          <w:noProof/>
          <w:sz w:val="24"/>
          <w:szCs w:val="24"/>
        </w:rPr>
        <w:t xml:space="preserve">governance model </w:t>
      </w:r>
      <w:r w:rsidR="00EF4414" w:rsidRPr="00542EB9">
        <w:rPr>
          <w:rFonts w:ascii="Times New Roman" w:hAnsi="Times New Roman"/>
          <w:noProof/>
          <w:sz w:val="24"/>
          <w:szCs w:val="24"/>
        </w:rPr>
        <w:t>that meets</w:t>
      </w:r>
      <w:r w:rsidRPr="00542EB9" w:rsidDel="00635688">
        <w:rPr>
          <w:rFonts w:ascii="Times New Roman" w:hAnsi="Times New Roman"/>
          <w:noProof/>
          <w:sz w:val="24"/>
          <w:szCs w:val="24"/>
        </w:rPr>
        <w:t xml:space="preserve"> all necessary requirements and deliver</w:t>
      </w:r>
      <w:r w:rsidR="00712203" w:rsidRPr="00542EB9">
        <w:rPr>
          <w:rFonts w:ascii="Times New Roman" w:hAnsi="Times New Roman"/>
          <w:noProof/>
          <w:sz w:val="24"/>
          <w:szCs w:val="24"/>
        </w:rPr>
        <w:t>s</w:t>
      </w:r>
      <w:r w:rsidRPr="00542EB9" w:rsidDel="00635688">
        <w:rPr>
          <w:rFonts w:ascii="Times New Roman" w:hAnsi="Times New Roman"/>
          <w:noProof/>
          <w:sz w:val="24"/>
          <w:szCs w:val="24"/>
        </w:rPr>
        <w:t xml:space="preserve"> simplification</w:t>
      </w:r>
      <w:r w:rsidRPr="00542EB9">
        <w:rPr>
          <w:rFonts w:ascii="Times New Roman" w:hAnsi="Times New Roman"/>
          <w:noProof/>
          <w:sz w:val="24"/>
          <w:szCs w:val="24"/>
        </w:rPr>
        <w:t xml:space="preserve">. It must be noted that where activities are a continuation of existing activities, most benefits offered by the unified scenario would be the same as under the integrated </w:t>
      </w:r>
      <w:r w:rsidR="0083222D" w:rsidRPr="00542EB9">
        <w:rPr>
          <w:rFonts w:ascii="Times New Roman" w:hAnsi="Times New Roman"/>
          <w:noProof/>
          <w:sz w:val="24"/>
          <w:szCs w:val="24"/>
        </w:rPr>
        <w:t>scenario</w:t>
      </w:r>
      <w:r w:rsidR="00D21FDD" w:rsidRPr="00542EB9">
        <w:rPr>
          <w:rFonts w:ascii="Times New Roman" w:hAnsi="Times New Roman"/>
          <w:noProof/>
          <w:sz w:val="24"/>
          <w:szCs w:val="24"/>
        </w:rPr>
        <w:t xml:space="preserve"> </w:t>
      </w:r>
      <w:r w:rsidRPr="00542EB9">
        <w:rPr>
          <w:rFonts w:ascii="Times New Roman" w:hAnsi="Times New Roman"/>
          <w:noProof/>
          <w:sz w:val="24"/>
          <w:szCs w:val="24"/>
        </w:rPr>
        <w:t xml:space="preserve">and </w:t>
      </w:r>
      <w:r w:rsidR="0083222D" w:rsidRPr="00542EB9">
        <w:rPr>
          <w:rFonts w:ascii="Times New Roman" w:hAnsi="Times New Roman"/>
          <w:noProof/>
          <w:sz w:val="24"/>
          <w:szCs w:val="24"/>
        </w:rPr>
        <w:t>the baseline</w:t>
      </w:r>
      <w:r w:rsidRPr="00542EB9">
        <w:rPr>
          <w:rFonts w:ascii="Times New Roman" w:hAnsi="Times New Roman"/>
          <w:noProof/>
          <w:sz w:val="24"/>
          <w:szCs w:val="24"/>
        </w:rPr>
        <w:t>.</w:t>
      </w:r>
      <w:r w:rsidR="003A447D" w:rsidRPr="00542EB9">
        <w:rPr>
          <w:rFonts w:ascii="Times New Roman" w:hAnsi="Times New Roman"/>
          <w:noProof/>
          <w:sz w:val="24"/>
          <w:szCs w:val="24"/>
        </w:rPr>
        <w:t xml:space="preserve"> </w:t>
      </w:r>
      <w:r w:rsidR="00F145ED" w:rsidRPr="00542EB9">
        <w:rPr>
          <w:rFonts w:ascii="Times New Roman" w:hAnsi="Times New Roman"/>
          <w:noProof/>
          <w:sz w:val="24"/>
          <w:szCs w:val="24"/>
        </w:rPr>
        <w:t xml:space="preserve">As noted </w:t>
      </w:r>
      <w:r w:rsidR="004C756B" w:rsidRPr="00542EB9">
        <w:rPr>
          <w:rFonts w:ascii="Times New Roman" w:hAnsi="Times New Roman"/>
          <w:noProof/>
          <w:sz w:val="24"/>
          <w:szCs w:val="24"/>
        </w:rPr>
        <w:t>for the integrated scenario in 6.1, the main direct benefits will accrue to public authorities, including competent authorities at national level and the European Commission. This benefit will largely relate to better policymaking and law enforcement. Citizens, consumers and businesses will gain much less direct benefit.</w:t>
      </w:r>
    </w:p>
    <w:p w14:paraId="7FEAA42C" w14:textId="6E1887D1" w:rsidR="00413482" w:rsidRPr="00542EB9" w:rsidRDefault="00804DFE" w:rsidP="00467C48">
      <w:pPr>
        <w:pStyle w:val="BodyText1"/>
        <w:rPr>
          <w:rFonts w:ascii="Times New Roman" w:hAnsi="Times New Roman"/>
          <w:noProof/>
          <w:sz w:val="24"/>
          <w:szCs w:val="24"/>
        </w:rPr>
      </w:pPr>
      <w:r w:rsidRPr="00542EB9">
        <w:rPr>
          <w:rFonts w:ascii="Times New Roman" w:hAnsi="Times New Roman"/>
          <w:noProof/>
          <w:sz w:val="24"/>
          <w:szCs w:val="24"/>
        </w:rPr>
        <w:t xml:space="preserve">The </w:t>
      </w:r>
      <w:r w:rsidRPr="00542EB9">
        <w:rPr>
          <w:rFonts w:ascii="Times New Roman" w:hAnsi="Times New Roman"/>
          <w:b/>
          <w:bCs/>
          <w:noProof/>
          <w:sz w:val="24"/>
          <w:szCs w:val="24"/>
        </w:rPr>
        <w:t>unified scenario</w:t>
      </w:r>
      <w:r w:rsidRPr="00542EB9">
        <w:rPr>
          <w:rFonts w:ascii="Times New Roman" w:hAnsi="Times New Roman"/>
          <w:noProof/>
          <w:sz w:val="24"/>
          <w:szCs w:val="24"/>
        </w:rPr>
        <w:t xml:space="preserve"> would offer the direct and indirect benefits for </w:t>
      </w:r>
      <w:r w:rsidRPr="00542EB9">
        <w:rPr>
          <w:rFonts w:ascii="Times New Roman" w:hAnsi="Times New Roman"/>
          <w:b/>
          <w:bCs/>
          <w:noProof/>
          <w:sz w:val="24"/>
          <w:szCs w:val="24"/>
        </w:rPr>
        <w:t>national authorities</w:t>
      </w:r>
      <w:r w:rsidRPr="00542EB9">
        <w:rPr>
          <w:rFonts w:ascii="Times New Roman" w:hAnsi="Times New Roman"/>
          <w:noProof/>
          <w:sz w:val="24"/>
          <w:szCs w:val="24"/>
        </w:rPr>
        <w:t xml:space="preserve"> identified in the baseline.</w:t>
      </w:r>
      <w:r w:rsidR="00D90222" w:rsidRPr="00542EB9">
        <w:rPr>
          <w:rFonts w:ascii="Times New Roman" w:hAnsi="Times New Roman"/>
          <w:noProof/>
          <w:sz w:val="24"/>
          <w:szCs w:val="24"/>
        </w:rPr>
        <w:t xml:space="preserve"> It would also include the same benefits as the integrated scenario with regards to ensuring that </w:t>
      </w:r>
      <w:r w:rsidR="00C1069B" w:rsidRPr="00542EB9">
        <w:rPr>
          <w:rFonts w:ascii="Times New Roman" w:hAnsi="Times New Roman"/>
          <w:noProof/>
          <w:sz w:val="24"/>
          <w:szCs w:val="24"/>
        </w:rPr>
        <w:t xml:space="preserve">more/better activities are implemented to support national authorities (to build capacity, enhance co-operation, etc.) </w:t>
      </w:r>
      <w:r w:rsidR="00DA2956" w:rsidRPr="00542EB9">
        <w:rPr>
          <w:rFonts w:ascii="Times New Roman" w:hAnsi="Times New Roman"/>
          <w:noProof/>
          <w:sz w:val="24"/>
          <w:szCs w:val="24"/>
        </w:rPr>
        <w:t>thanks to</w:t>
      </w:r>
      <w:r w:rsidR="00C1069B" w:rsidRPr="00542EB9">
        <w:rPr>
          <w:rFonts w:ascii="Times New Roman" w:hAnsi="Times New Roman"/>
          <w:noProof/>
          <w:sz w:val="24"/>
          <w:szCs w:val="24"/>
        </w:rPr>
        <w:t xml:space="preserve"> synergies, flexibilities and </w:t>
      </w:r>
      <w:r w:rsidR="00DA2956" w:rsidRPr="00542EB9">
        <w:rPr>
          <w:rFonts w:ascii="Times New Roman" w:hAnsi="Times New Roman"/>
          <w:noProof/>
          <w:sz w:val="24"/>
          <w:szCs w:val="24"/>
        </w:rPr>
        <w:t>simplification</w:t>
      </w:r>
      <w:r w:rsidR="00C1069B" w:rsidRPr="00542EB9">
        <w:rPr>
          <w:rFonts w:ascii="Times New Roman" w:hAnsi="Times New Roman"/>
          <w:noProof/>
          <w:sz w:val="24"/>
          <w:szCs w:val="24"/>
        </w:rPr>
        <w:t xml:space="preserve"> in programme design and participation in grant-funded projects made easier and more effective with streamlined conditions (single set of requirements, Common Rulebook, etc.).</w:t>
      </w:r>
    </w:p>
    <w:p w14:paraId="2EC6991A" w14:textId="60E0C528" w:rsidR="003A447D" w:rsidRPr="00542EB9" w:rsidRDefault="00F74486" w:rsidP="00467C48">
      <w:pPr>
        <w:pStyle w:val="BodyText1"/>
        <w:rPr>
          <w:rFonts w:ascii="Times New Roman" w:hAnsi="Times New Roman"/>
          <w:noProof/>
          <w:sz w:val="24"/>
          <w:szCs w:val="24"/>
        </w:rPr>
      </w:pPr>
      <w:r w:rsidRPr="00542EB9">
        <w:rPr>
          <w:rFonts w:ascii="Times New Roman" w:hAnsi="Times New Roman"/>
          <w:noProof/>
          <w:sz w:val="24"/>
          <w:szCs w:val="24"/>
        </w:rPr>
        <w:t xml:space="preserve">The </w:t>
      </w:r>
      <w:r w:rsidRPr="00542EB9">
        <w:rPr>
          <w:rFonts w:ascii="Times New Roman" w:hAnsi="Times New Roman"/>
          <w:b/>
          <w:bCs/>
          <w:noProof/>
          <w:sz w:val="24"/>
          <w:szCs w:val="24"/>
        </w:rPr>
        <w:t>unified scenario</w:t>
      </w:r>
      <w:r w:rsidRPr="00542EB9">
        <w:rPr>
          <w:rFonts w:ascii="Times New Roman" w:hAnsi="Times New Roman"/>
          <w:noProof/>
          <w:sz w:val="24"/>
          <w:szCs w:val="24"/>
        </w:rPr>
        <w:t xml:space="preserve"> would offer the direct and indirect benefits for </w:t>
      </w:r>
      <w:r w:rsidRPr="00542EB9">
        <w:rPr>
          <w:rFonts w:ascii="Times New Roman" w:hAnsi="Times New Roman"/>
          <w:b/>
          <w:bCs/>
          <w:noProof/>
          <w:sz w:val="24"/>
          <w:szCs w:val="24"/>
        </w:rPr>
        <w:t>Commission services</w:t>
      </w:r>
      <w:r w:rsidRPr="00542EB9">
        <w:rPr>
          <w:rFonts w:ascii="Times New Roman" w:hAnsi="Times New Roman"/>
          <w:noProof/>
          <w:sz w:val="24"/>
          <w:szCs w:val="24"/>
        </w:rPr>
        <w:t xml:space="preserve"> identified in the baseline. It would also include the same benefits as the integrated scenario </w:t>
      </w:r>
      <w:r w:rsidR="00754813" w:rsidRPr="00542EB9">
        <w:rPr>
          <w:rFonts w:ascii="Times New Roman" w:hAnsi="Times New Roman"/>
          <w:noProof/>
          <w:sz w:val="24"/>
          <w:szCs w:val="24"/>
        </w:rPr>
        <w:t xml:space="preserve">where more/better activities to support the Commission’s policymaking and law enforcement role are implemented due to synergies, flexibilities and simplifications in programme design (e.g., joint procurement) </w:t>
      </w:r>
      <w:r w:rsidR="003579B4" w:rsidRPr="00542EB9">
        <w:rPr>
          <w:rFonts w:ascii="Times New Roman" w:hAnsi="Times New Roman"/>
          <w:noProof/>
          <w:sz w:val="24"/>
          <w:szCs w:val="24"/>
        </w:rPr>
        <w:t xml:space="preserve">but with more potential to reduce administrative burden in </w:t>
      </w:r>
      <w:r w:rsidR="00754813" w:rsidRPr="00542EB9">
        <w:rPr>
          <w:rFonts w:ascii="Times New Roman" w:hAnsi="Times New Roman"/>
          <w:noProof/>
          <w:sz w:val="24"/>
          <w:szCs w:val="24"/>
        </w:rPr>
        <w:t xml:space="preserve"> programme management (harmonised, legal provisions, common reporting templates, single set of requirements, common rulebook, etc.).</w:t>
      </w:r>
    </w:p>
    <w:p w14:paraId="493E5844" w14:textId="29F87044" w:rsidR="006B5624" w:rsidRPr="00553437" w:rsidRDefault="006B5624" w:rsidP="006772BF">
      <w:pPr>
        <w:pStyle w:val="BodyText1"/>
        <w:rPr>
          <w:rFonts w:ascii="Aptos" w:eastAsia="Aptos" w:hAnsi="Aptos"/>
          <w:b/>
          <w:noProof/>
          <w:kern w:val="2"/>
          <w:sz w:val="24"/>
          <w:szCs w:val="24"/>
          <w14:ligatures w14:val="standardContextual"/>
        </w:rPr>
      </w:pPr>
      <w:r w:rsidRPr="00542EB9">
        <w:rPr>
          <w:rFonts w:ascii="Times New Roman" w:eastAsia="Calibri" w:hAnsi="Times New Roman"/>
          <w:noProof/>
          <w:sz w:val="24"/>
          <w:szCs w:val="24"/>
        </w:rPr>
        <w:t xml:space="preserve">The </w:t>
      </w:r>
      <w:r w:rsidRPr="00542EB9">
        <w:rPr>
          <w:rFonts w:ascii="Times New Roman" w:eastAsia="Calibri" w:hAnsi="Times New Roman"/>
          <w:b/>
          <w:noProof/>
          <w:sz w:val="24"/>
          <w:szCs w:val="24"/>
        </w:rPr>
        <w:t>unified</w:t>
      </w:r>
      <w:r w:rsidRPr="00542EB9">
        <w:rPr>
          <w:rFonts w:ascii="Times New Roman" w:eastAsia="Calibri" w:hAnsi="Times New Roman"/>
          <w:noProof/>
          <w:sz w:val="24"/>
          <w:szCs w:val="24"/>
        </w:rPr>
        <w:t xml:space="preserve"> scenario would </w:t>
      </w:r>
      <w:r w:rsidR="00EB2718" w:rsidRPr="00542EB9">
        <w:rPr>
          <w:rFonts w:ascii="Times New Roman" w:eastAsia="Calibri" w:hAnsi="Times New Roman"/>
          <w:noProof/>
          <w:sz w:val="24"/>
          <w:szCs w:val="24"/>
        </w:rPr>
        <w:t>offer new opportunities to offer</w:t>
      </w:r>
      <w:r w:rsidRPr="00542EB9">
        <w:rPr>
          <w:rFonts w:ascii="Times New Roman" w:eastAsia="Calibri" w:hAnsi="Times New Roman"/>
          <w:noProof/>
          <w:sz w:val="24"/>
          <w:szCs w:val="24"/>
        </w:rPr>
        <w:t xml:space="preserve"> horizontal activities </w:t>
      </w:r>
      <w:r w:rsidR="0004303B" w:rsidRPr="00542EB9">
        <w:rPr>
          <w:rFonts w:ascii="Times New Roman" w:eastAsia="Calibri" w:hAnsi="Times New Roman"/>
          <w:noProof/>
          <w:sz w:val="24"/>
          <w:szCs w:val="24"/>
        </w:rPr>
        <w:t xml:space="preserve">cutting across </w:t>
      </w:r>
      <w:r w:rsidR="00431CDC" w:rsidRPr="00542EB9">
        <w:rPr>
          <w:rFonts w:ascii="Times New Roman" w:eastAsia="Calibri" w:hAnsi="Times New Roman"/>
          <w:noProof/>
          <w:sz w:val="24"/>
          <w:szCs w:val="24"/>
        </w:rPr>
        <w:t>multiple</w:t>
      </w:r>
      <w:r w:rsidR="0004303B" w:rsidRPr="00542EB9">
        <w:rPr>
          <w:rFonts w:ascii="Times New Roman" w:eastAsia="Calibri" w:hAnsi="Times New Roman"/>
          <w:noProof/>
          <w:sz w:val="24"/>
          <w:szCs w:val="24"/>
        </w:rPr>
        <w:t xml:space="preserve"> policy areas </w:t>
      </w:r>
      <w:r w:rsidRPr="00542EB9">
        <w:rPr>
          <w:rFonts w:ascii="Times New Roman" w:eastAsia="Calibri" w:hAnsi="Times New Roman"/>
          <w:noProof/>
          <w:sz w:val="24"/>
          <w:szCs w:val="24"/>
        </w:rPr>
        <w:t>to be implemented to support national authorities and the Commission’s policymaking and law enforcement role however do not exclude a risk of reduced benefit, depending on adjustment costs/time, a disruption to the implementation of long-</w:t>
      </w:r>
      <w:r w:rsidRPr="00553437">
        <w:rPr>
          <w:rFonts w:ascii="Times New Roman" w:eastAsia="Calibri" w:hAnsi="Times New Roman"/>
          <w:noProof/>
          <w:sz w:val="24"/>
          <w:szCs w:val="24"/>
        </w:rPr>
        <w:t>established and essential activities, a low take-up or use of horizontal activities, and a weak relevance or inflexibility thereof as well as a duplication/confusion between horizontal and policy-specific activities</w:t>
      </w:r>
      <w:r w:rsidR="0004303B" w:rsidRPr="00553437">
        <w:rPr>
          <w:rFonts w:ascii="Times New Roman" w:eastAsia="Calibri" w:hAnsi="Times New Roman"/>
          <w:noProof/>
          <w:sz w:val="24"/>
          <w:szCs w:val="24"/>
        </w:rPr>
        <w:t>.</w:t>
      </w:r>
    </w:p>
    <w:p w14:paraId="7A8A6BFB" w14:textId="269168F4" w:rsidR="00F72C8A" w:rsidRPr="00542EB9" w:rsidRDefault="00EE44FE" w:rsidP="00467C48">
      <w:pPr>
        <w:pStyle w:val="BodyText1"/>
        <w:rPr>
          <w:rFonts w:ascii="Times New Roman" w:hAnsi="Times New Roman"/>
          <w:noProof/>
          <w:sz w:val="24"/>
          <w:szCs w:val="24"/>
        </w:rPr>
      </w:pPr>
      <w:r w:rsidRPr="00553437">
        <w:rPr>
          <w:rFonts w:ascii="Times New Roman" w:hAnsi="Times New Roman"/>
          <w:noProof/>
          <w:sz w:val="24"/>
          <w:szCs w:val="24"/>
        </w:rPr>
        <w:t xml:space="preserve">Under the unified scenario, synergies, flexibilities and simplifications in programme design would result in better services and enhanced higher-level effects for </w:t>
      </w:r>
      <w:r w:rsidRPr="00553437">
        <w:rPr>
          <w:rFonts w:ascii="Times New Roman" w:hAnsi="Times New Roman"/>
          <w:b/>
          <w:bCs/>
          <w:noProof/>
          <w:sz w:val="24"/>
          <w:szCs w:val="24"/>
        </w:rPr>
        <w:t>citizens, consumers and business</w:t>
      </w:r>
      <w:r w:rsidRPr="00553437">
        <w:rPr>
          <w:rFonts w:ascii="Times New Roman" w:hAnsi="Times New Roman"/>
          <w:noProof/>
          <w:sz w:val="24"/>
          <w:szCs w:val="24"/>
        </w:rPr>
        <w:t xml:space="preserve"> (e.g. product safety, standards, </w:t>
      </w:r>
      <w:r w:rsidR="00F54129" w:rsidRPr="00553437">
        <w:rPr>
          <w:rFonts w:ascii="Times New Roman" w:hAnsi="Times New Roman"/>
          <w:noProof/>
          <w:sz w:val="24"/>
          <w:szCs w:val="24"/>
        </w:rPr>
        <w:t xml:space="preserve">green transition, </w:t>
      </w:r>
      <w:r w:rsidRPr="00553437">
        <w:rPr>
          <w:rFonts w:ascii="Times New Roman" w:hAnsi="Times New Roman"/>
          <w:noProof/>
          <w:sz w:val="24"/>
          <w:szCs w:val="24"/>
        </w:rPr>
        <w:t>enforcement of competition rules, etc.)</w:t>
      </w:r>
      <w:r w:rsidR="00105E1B" w:rsidRPr="00553437">
        <w:rPr>
          <w:rFonts w:ascii="Times New Roman" w:hAnsi="Times New Roman"/>
          <w:noProof/>
          <w:sz w:val="24"/>
          <w:szCs w:val="24"/>
        </w:rPr>
        <w:t xml:space="preserve">. </w:t>
      </w:r>
      <w:r w:rsidR="00577366" w:rsidRPr="00553437">
        <w:rPr>
          <w:rFonts w:ascii="Times New Roman" w:hAnsi="Times New Roman"/>
          <w:noProof/>
          <w:sz w:val="24"/>
          <w:szCs w:val="24"/>
        </w:rPr>
        <w:t xml:space="preserve">Additional benefits deriving from the unified scenario might arise </w:t>
      </w:r>
      <w:r w:rsidR="00F55ABA" w:rsidRPr="00553437">
        <w:rPr>
          <w:rFonts w:ascii="Times New Roman" w:hAnsi="Times New Roman"/>
          <w:noProof/>
          <w:sz w:val="24"/>
          <w:szCs w:val="24"/>
        </w:rPr>
        <w:t>in terms of</w:t>
      </w:r>
      <w:r w:rsidR="00577366" w:rsidRPr="00553437">
        <w:rPr>
          <w:rFonts w:ascii="Times New Roman" w:hAnsi="Times New Roman"/>
          <w:noProof/>
          <w:sz w:val="24"/>
          <w:szCs w:val="24"/>
        </w:rPr>
        <w:t xml:space="preserve"> horizontal </w:t>
      </w:r>
      <w:r w:rsidR="00F55ABA" w:rsidRPr="00553437">
        <w:rPr>
          <w:rFonts w:ascii="Times New Roman" w:hAnsi="Times New Roman"/>
          <w:noProof/>
          <w:sz w:val="24"/>
          <w:szCs w:val="24"/>
        </w:rPr>
        <w:t>and cross-policy areas and topics</w:t>
      </w:r>
      <w:r w:rsidR="00D21FDD" w:rsidRPr="00553437">
        <w:rPr>
          <w:rFonts w:ascii="Times New Roman" w:hAnsi="Times New Roman"/>
          <w:noProof/>
          <w:sz w:val="24"/>
          <w:szCs w:val="24"/>
        </w:rPr>
        <w:t xml:space="preserve">. </w:t>
      </w:r>
      <w:r w:rsidR="00705495" w:rsidRPr="00553437">
        <w:rPr>
          <w:rFonts w:ascii="Times New Roman" w:hAnsi="Times New Roman"/>
          <w:noProof/>
          <w:sz w:val="24"/>
          <w:szCs w:val="24"/>
        </w:rPr>
        <w:t xml:space="preserve">The </w:t>
      </w:r>
      <w:r w:rsidR="00705495" w:rsidRPr="00553437">
        <w:rPr>
          <w:rFonts w:ascii="Times New Roman" w:hAnsi="Times New Roman"/>
          <w:b/>
          <w:noProof/>
          <w:sz w:val="24"/>
          <w:szCs w:val="24"/>
        </w:rPr>
        <w:t>unified</w:t>
      </w:r>
      <w:r w:rsidR="00705495" w:rsidRPr="00553437">
        <w:rPr>
          <w:rFonts w:ascii="Times New Roman" w:hAnsi="Times New Roman"/>
          <w:noProof/>
          <w:sz w:val="24"/>
          <w:szCs w:val="24"/>
        </w:rPr>
        <w:t xml:space="preserve"> scenario includes horizontal activities that would not take place or not at the same level or as effectively under the other scenario nor the baseline situation.</w:t>
      </w:r>
      <w:r w:rsidR="00705495" w:rsidRPr="00542EB9">
        <w:rPr>
          <w:rFonts w:ascii="Times New Roman" w:hAnsi="Times New Roman"/>
          <w:noProof/>
          <w:sz w:val="24"/>
          <w:szCs w:val="24"/>
        </w:rPr>
        <w:t xml:space="preserve"> </w:t>
      </w:r>
      <w:r w:rsidR="00832375" w:rsidRPr="00542EB9">
        <w:rPr>
          <w:rFonts w:ascii="Times New Roman" w:hAnsi="Times New Roman"/>
          <w:noProof/>
          <w:sz w:val="24"/>
          <w:szCs w:val="24"/>
        </w:rPr>
        <w:t>At the same time, p</w:t>
      </w:r>
      <w:r w:rsidR="00250148" w:rsidRPr="00542EB9">
        <w:rPr>
          <w:rFonts w:ascii="Times New Roman" w:hAnsi="Times New Roman"/>
          <w:noProof/>
          <w:sz w:val="24"/>
          <w:szCs w:val="24"/>
        </w:rPr>
        <w:t xml:space="preserve">olicy specific </w:t>
      </w:r>
      <w:r w:rsidR="00E6191C" w:rsidRPr="00542EB9">
        <w:rPr>
          <w:rFonts w:ascii="Times New Roman" w:hAnsi="Times New Roman"/>
          <w:noProof/>
          <w:sz w:val="24"/>
          <w:szCs w:val="24"/>
        </w:rPr>
        <w:t>existing legal commitme</w:t>
      </w:r>
      <w:r w:rsidR="00250148" w:rsidRPr="00542EB9">
        <w:rPr>
          <w:rFonts w:ascii="Times New Roman" w:hAnsi="Times New Roman"/>
          <w:noProof/>
          <w:sz w:val="24"/>
          <w:szCs w:val="24"/>
        </w:rPr>
        <w:t xml:space="preserve">nts </w:t>
      </w:r>
      <w:r w:rsidR="00832375" w:rsidRPr="00542EB9">
        <w:rPr>
          <w:rFonts w:ascii="Times New Roman" w:hAnsi="Times New Roman"/>
          <w:noProof/>
          <w:sz w:val="24"/>
          <w:szCs w:val="24"/>
        </w:rPr>
        <w:t>must take priority.</w:t>
      </w:r>
      <w:r w:rsidR="00577366" w:rsidRPr="00542EB9">
        <w:rPr>
          <w:rFonts w:ascii="Times New Roman" w:hAnsi="Times New Roman"/>
          <w:noProof/>
          <w:sz w:val="24"/>
          <w:szCs w:val="24"/>
        </w:rPr>
        <w:t xml:space="preserve"> </w:t>
      </w:r>
    </w:p>
    <w:p w14:paraId="0B70A624" w14:textId="54818DFB" w:rsidR="00B60994" w:rsidRPr="00542EB9" w:rsidRDefault="00577EEF" w:rsidP="00577EEF">
      <w:pPr>
        <w:rPr>
          <w:noProof/>
        </w:rPr>
      </w:pPr>
      <w:r w:rsidRPr="00542EB9">
        <w:rPr>
          <w:noProof/>
        </w:rPr>
        <w:t xml:space="preserve">Considering the unified nature of the scenario, bringing in one envelope all concerned policy areas, objectives and expected results and impacts, the programme architecture and implementation modalities under the unified scenario must ensure budget security for legal obligations as well as flexibility and adaptability to emerging needs and shifting priorities. </w:t>
      </w:r>
    </w:p>
    <w:p w14:paraId="7292C827" w14:textId="13CD8850" w:rsidR="00577EEF" w:rsidRPr="00542EB9" w:rsidRDefault="00577EEF" w:rsidP="00577EEF">
      <w:pPr>
        <w:rPr>
          <w:noProof/>
        </w:rPr>
      </w:pPr>
      <w:r w:rsidRPr="00542EB9">
        <w:rPr>
          <w:noProof/>
        </w:rPr>
        <w:t>Special attention is required on the central IT systems and solutions and the central Union digital environment for customs and taxation policies rooting in legislative commitments of the Union, such as the EU Customs Reform the EU Customs Authority and the related Customs Data Hub, as well as the functioning of the legacy IT systems and the platforms and systems required for taxation policies and emerging priorities</w:t>
      </w:r>
      <w:r w:rsidR="00FB3C0A" w:rsidRPr="00542EB9">
        <w:rPr>
          <w:noProof/>
        </w:rPr>
        <w:t xml:space="preserve"> (incl</w:t>
      </w:r>
      <w:r w:rsidR="00201E53" w:rsidRPr="00542EB9">
        <w:rPr>
          <w:noProof/>
        </w:rPr>
        <w:t>uding</w:t>
      </w:r>
      <w:r w:rsidR="00FB3C0A" w:rsidRPr="00542EB9">
        <w:rPr>
          <w:noProof/>
        </w:rPr>
        <w:t xml:space="preserve"> </w:t>
      </w:r>
      <w:r w:rsidR="00291A70" w:rsidRPr="00542EB9">
        <w:rPr>
          <w:noProof/>
        </w:rPr>
        <w:t>poss</w:t>
      </w:r>
      <w:r w:rsidR="00201E53" w:rsidRPr="00542EB9">
        <w:rPr>
          <w:noProof/>
        </w:rPr>
        <w:t>ible</w:t>
      </w:r>
      <w:r w:rsidR="00291A70" w:rsidRPr="00542EB9">
        <w:rPr>
          <w:noProof/>
        </w:rPr>
        <w:t xml:space="preserve"> </w:t>
      </w:r>
      <w:r w:rsidR="00FB3C0A" w:rsidRPr="00542EB9">
        <w:rPr>
          <w:noProof/>
        </w:rPr>
        <w:t>data hu</w:t>
      </w:r>
      <w:r w:rsidR="002060A0" w:rsidRPr="00542EB9">
        <w:rPr>
          <w:noProof/>
        </w:rPr>
        <w:t>b)</w:t>
      </w:r>
      <w:r w:rsidRPr="00542EB9">
        <w:rPr>
          <w:noProof/>
        </w:rPr>
        <w:t>. On broader terms, similar attention must be given to single market digital solutions and legal commitments.  Similar considerations are valid for several other policy areas (e.g. statistics, anti-fraud)</w:t>
      </w:r>
      <w:r w:rsidR="00ED2050" w:rsidRPr="00542EB9">
        <w:rPr>
          <w:noProof/>
        </w:rPr>
        <w:t>.</w:t>
      </w:r>
    </w:p>
    <w:p w14:paraId="0D9DA5B1" w14:textId="5468F28B" w:rsidR="00131B9C" w:rsidRPr="00542EB9" w:rsidRDefault="002F6825" w:rsidP="00771709">
      <w:pPr>
        <w:pStyle w:val="BodyText1"/>
        <w:rPr>
          <w:rFonts w:ascii="Times New Roman" w:hAnsi="Times New Roman"/>
          <w:noProof/>
          <w:sz w:val="24"/>
          <w:szCs w:val="24"/>
        </w:rPr>
      </w:pPr>
      <w:r w:rsidRPr="00542EB9">
        <w:rPr>
          <w:rFonts w:ascii="Times New Roman" w:hAnsi="Times New Roman"/>
          <w:noProof/>
          <w:sz w:val="24"/>
          <w:szCs w:val="24"/>
        </w:rPr>
        <w:t xml:space="preserve">Overall, this option </w:t>
      </w:r>
      <w:r w:rsidR="24267F3B" w:rsidRPr="00542EB9">
        <w:rPr>
          <w:rFonts w:ascii="Times New Roman" w:hAnsi="Times New Roman"/>
          <w:noProof/>
          <w:sz w:val="24"/>
          <w:szCs w:val="24"/>
        </w:rPr>
        <w:t>has the potential to increase efficiency, flexibility, synerg</w:t>
      </w:r>
      <w:r w:rsidR="00634F90" w:rsidRPr="00542EB9">
        <w:rPr>
          <w:rFonts w:ascii="Times New Roman" w:hAnsi="Times New Roman"/>
          <w:noProof/>
          <w:sz w:val="24"/>
          <w:szCs w:val="24"/>
        </w:rPr>
        <w:t>ies</w:t>
      </w:r>
      <w:r w:rsidR="24267F3B" w:rsidRPr="00542EB9">
        <w:rPr>
          <w:rFonts w:ascii="Times New Roman" w:hAnsi="Times New Roman"/>
          <w:noProof/>
          <w:sz w:val="24"/>
          <w:szCs w:val="24"/>
        </w:rPr>
        <w:t xml:space="preserve"> and visibility, but requires careful consideration of potential risks and complexities. Such new structure may limit conditionalities that address sector-specific realities</w:t>
      </w:r>
      <w:r w:rsidR="74C2680E" w:rsidRPr="00542EB9">
        <w:rPr>
          <w:rFonts w:ascii="Times New Roman" w:hAnsi="Times New Roman"/>
          <w:noProof/>
          <w:sz w:val="24"/>
          <w:szCs w:val="24"/>
        </w:rPr>
        <w:t xml:space="preserve"> or</w:t>
      </w:r>
      <w:r w:rsidR="24267F3B" w:rsidRPr="00542EB9">
        <w:rPr>
          <w:rFonts w:ascii="Times New Roman" w:hAnsi="Times New Roman"/>
          <w:noProof/>
          <w:sz w:val="24"/>
          <w:szCs w:val="24"/>
        </w:rPr>
        <w:t xml:space="preserve"> create a perception for stakeholders that the importance of their specific policy area is diminished. The simplification of a unified scenario should help to promote EU policies and programmes, increasing visibility and recognition among stakeholders, while fostering their involvement and ensure the relevance of the programme. </w:t>
      </w:r>
      <w:r w:rsidR="282CD2EA" w:rsidRPr="00542EB9">
        <w:rPr>
          <w:rFonts w:ascii="Times New Roman" w:hAnsi="Times New Roman"/>
          <w:noProof/>
          <w:sz w:val="24"/>
          <w:szCs w:val="24"/>
        </w:rPr>
        <w:t>Under this scenario, as in all other scenarios, the legal and governance requirements</w:t>
      </w:r>
      <w:r w:rsidR="27DDFC20" w:rsidRPr="00542EB9">
        <w:rPr>
          <w:rFonts w:ascii="Times New Roman" w:hAnsi="Times New Roman"/>
          <w:noProof/>
          <w:sz w:val="24"/>
          <w:szCs w:val="24"/>
        </w:rPr>
        <w:t xml:space="preserve"> ensuring the development, production and dissemination of official European statistics would be respected. </w:t>
      </w:r>
      <w:r w:rsidR="00691332" w:rsidRPr="00542EB9">
        <w:rPr>
          <w:rFonts w:ascii="Times New Roman" w:hAnsi="Times New Roman"/>
          <w:noProof/>
          <w:sz w:val="24"/>
          <w:szCs w:val="24"/>
        </w:rPr>
        <w:t xml:space="preserve"> </w:t>
      </w:r>
    </w:p>
    <w:p w14:paraId="6F58F806" w14:textId="7950FDBA" w:rsidR="00D360D5" w:rsidRPr="00542EB9" w:rsidRDefault="00D360D5" w:rsidP="00D360D5">
      <w:pPr>
        <w:pStyle w:val="Subject"/>
        <w:widowControl w:val="0"/>
        <w:spacing w:before="120" w:after="120"/>
        <w:ind w:left="0" w:firstLine="0"/>
        <w:jc w:val="both"/>
        <w:rPr>
          <w:b w:val="0"/>
          <w:noProof/>
          <w:lang w:val="en-GB"/>
        </w:rPr>
      </w:pPr>
      <w:r w:rsidRPr="00542EB9">
        <w:rPr>
          <w:b w:val="0"/>
          <w:noProof/>
          <w:lang w:val="en-GB"/>
        </w:rPr>
        <w:t xml:space="preserve">Potential reduction under the unified scenario in administrative burden similar to the one anticipated under the integrated scenario could be seen in the </w:t>
      </w:r>
      <w:r w:rsidRPr="00542EB9">
        <w:rPr>
          <w:noProof/>
          <w:lang w:val="en-GB"/>
        </w:rPr>
        <w:t>unified</w:t>
      </w:r>
      <w:r w:rsidRPr="00542EB9">
        <w:rPr>
          <w:b w:val="0"/>
          <w:noProof/>
          <w:lang w:val="en-GB"/>
        </w:rPr>
        <w:t xml:space="preserve"> scenario through</w:t>
      </w:r>
      <w:r w:rsidR="007E4D52" w:rsidRPr="00542EB9">
        <w:rPr>
          <w:b w:val="0"/>
          <w:noProof/>
          <w:lang w:val="en-GB"/>
        </w:rPr>
        <w:t>:</w:t>
      </w:r>
    </w:p>
    <w:p w14:paraId="433003ED" w14:textId="77777777" w:rsidR="00D360D5" w:rsidRPr="00542EB9" w:rsidRDefault="00D360D5" w:rsidP="00D360D5">
      <w:pPr>
        <w:pStyle w:val="Bullets2"/>
        <w:ind w:left="426" w:hanging="284"/>
        <w:rPr>
          <w:rFonts w:ascii="Times New Roman" w:hAnsi="Times New Roman"/>
          <w:sz w:val="24"/>
          <w:szCs w:val="24"/>
          <w:lang w:val="en-GB"/>
        </w:rPr>
      </w:pPr>
      <w:r w:rsidRPr="00542EB9">
        <w:rPr>
          <w:rFonts w:ascii="Times New Roman" w:hAnsi="Times New Roman"/>
          <w:sz w:val="24"/>
          <w:szCs w:val="24"/>
          <w:lang w:val="en-GB"/>
        </w:rPr>
        <w:t>simplifications, e.g. a single legislative proposal, one system for monitoring, reporting, evaluation and audit</w:t>
      </w:r>
    </w:p>
    <w:p w14:paraId="24137DC8" w14:textId="77777777" w:rsidR="00D360D5" w:rsidRPr="00542EB9" w:rsidRDefault="00D360D5" w:rsidP="00D360D5">
      <w:pPr>
        <w:pStyle w:val="Bullets2"/>
        <w:spacing w:before="60" w:after="60"/>
        <w:ind w:left="426" w:hanging="284"/>
        <w:rPr>
          <w:rFonts w:ascii="Times New Roman" w:hAnsi="Times New Roman"/>
          <w:sz w:val="24"/>
          <w:szCs w:val="24"/>
          <w:lang w:val="en-GB"/>
        </w:rPr>
      </w:pPr>
      <w:r w:rsidRPr="00542EB9">
        <w:rPr>
          <w:rFonts w:ascii="Times New Roman" w:hAnsi="Times New Roman"/>
          <w:sz w:val="24"/>
          <w:szCs w:val="24"/>
          <w:lang w:val="en-GB"/>
        </w:rPr>
        <w:t>additional possibilities for budgetary flexibility (greater than the integrated scenarios)</w:t>
      </w:r>
    </w:p>
    <w:p w14:paraId="2AEB9389" w14:textId="45F5F91F" w:rsidR="00D360D5" w:rsidRPr="00542EB9" w:rsidRDefault="00D360D5" w:rsidP="005C20F2">
      <w:pPr>
        <w:pStyle w:val="Bullets2"/>
        <w:spacing w:before="60" w:after="60"/>
        <w:ind w:left="426" w:hanging="284"/>
        <w:rPr>
          <w:rFonts w:ascii="Times New Roman" w:hAnsi="Times New Roman"/>
          <w:sz w:val="24"/>
          <w:szCs w:val="24"/>
          <w:lang w:val="fr-BE"/>
        </w:rPr>
      </w:pPr>
      <w:r w:rsidRPr="00542EB9">
        <w:rPr>
          <w:rFonts w:ascii="Times New Roman" w:hAnsi="Times New Roman"/>
          <w:sz w:val="24"/>
          <w:szCs w:val="24"/>
          <w:lang w:val="fr-BE"/>
        </w:rPr>
        <w:t>synergies, e.g. joint procurement, joint framework contracts.</w:t>
      </w:r>
    </w:p>
    <w:p w14:paraId="5D3DAD50" w14:textId="3713551C" w:rsidR="00BB56CB" w:rsidRPr="00542EB9" w:rsidRDefault="5EA2BB32" w:rsidP="00BB56CB">
      <w:pPr>
        <w:pStyle w:val="BodyText1"/>
        <w:rPr>
          <w:rFonts w:ascii="Times New Roman" w:hAnsi="Times New Roman"/>
          <w:noProof/>
          <w:sz w:val="24"/>
          <w:szCs w:val="24"/>
        </w:rPr>
      </w:pPr>
      <w:r w:rsidRPr="00542EB9">
        <w:rPr>
          <w:rFonts w:ascii="Times New Roman" w:hAnsi="Times New Roman"/>
          <w:noProof/>
          <w:sz w:val="24"/>
          <w:szCs w:val="24"/>
        </w:rPr>
        <w:t>T</w:t>
      </w:r>
      <w:r w:rsidR="6A87E51F" w:rsidRPr="00542EB9">
        <w:rPr>
          <w:rFonts w:ascii="Times New Roman" w:hAnsi="Times New Roman"/>
          <w:noProof/>
          <w:sz w:val="24"/>
          <w:szCs w:val="24"/>
        </w:rPr>
        <w:t>h</w:t>
      </w:r>
      <w:r w:rsidRPr="00542EB9">
        <w:rPr>
          <w:rFonts w:ascii="Times New Roman" w:hAnsi="Times New Roman"/>
          <w:noProof/>
          <w:sz w:val="24"/>
          <w:szCs w:val="24"/>
        </w:rPr>
        <w:t xml:space="preserve">is </w:t>
      </w:r>
      <w:r w:rsidR="6A87E51F" w:rsidRPr="00542EB9">
        <w:rPr>
          <w:rFonts w:ascii="Times New Roman" w:hAnsi="Times New Roman"/>
          <w:noProof/>
          <w:sz w:val="24"/>
          <w:szCs w:val="24"/>
        </w:rPr>
        <w:t xml:space="preserve">scenario might offer greater </w:t>
      </w:r>
      <w:r w:rsidR="6A87E51F" w:rsidRPr="00542EB9">
        <w:rPr>
          <w:rFonts w:ascii="Times New Roman" w:hAnsi="Times New Roman"/>
          <w:b/>
          <w:bCs/>
          <w:noProof/>
          <w:sz w:val="24"/>
          <w:szCs w:val="24"/>
        </w:rPr>
        <w:t>flexibilities</w:t>
      </w:r>
      <w:r w:rsidR="6A87E51F" w:rsidRPr="00542EB9">
        <w:rPr>
          <w:rFonts w:ascii="Times New Roman" w:hAnsi="Times New Roman"/>
          <w:noProof/>
          <w:sz w:val="24"/>
          <w:szCs w:val="24"/>
        </w:rPr>
        <w:t xml:space="preserve"> in terms of increased possibilities to respond to changing circumstances</w:t>
      </w:r>
      <w:r w:rsidR="35D48934" w:rsidRPr="00542EB9">
        <w:rPr>
          <w:rFonts w:ascii="Times New Roman" w:hAnsi="Times New Roman"/>
          <w:noProof/>
          <w:sz w:val="24"/>
          <w:szCs w:val="24"/>
        </w:rPr>
        <w:t xml:space="preserve"> or needs</w:t>
      </w:r>
      <w:r w:rsidRPr="00542EB9">
        <w:rPr>
          <w:rFonts w:ascii="Times New Roman" w:hAnsi="Times New Roman"/>
          <w:noProof/>
          <w:sz w:val="24"/>
          <w:szCs w:val="24"/>
        </w:rPr>
        <w:t xml:space="preserve">. Depending on the programme design, this </w:t>
      </w:r>
      <w:r w:rsidR="00F87D22" w:rsidRPr="00542EB9">
        <w:rPr>
          <w:rFonts w:ascii="Times New Roman" w:hAnsi="Times New Roman"/>
          <w:noProof/>
          <w:sz w:val="24"/>
          <w:szCs w:val="24"/>
        </w:rPr>
        <w:t xml:space="preserve">would </w:t>
      </w:r>
      <w:r w:rsidRPr="00542EB9">
        <w:rPr>
          <w:rFonts w:ascii="Times New Roman" w:hAnsi="Times New Roman"/>
          <w:noProof/>
          <w:sz w:val="24"/>
          <w:szCs w:val="24"/>
        </w:rPr>
        <w:t xml:space="preserve">include a single budgetary envelope (rather than separate envelopes for four programmes) offering greater flexibility to transfer </w:t>
      </w:r>
      <w:r w:rsidR="2E0F944B" w:rsidRPr="00542EB9">
        <w:rPr>
          <w:rFonts w:ascii="Times New Roman" w:hAnsi="Times New Roman"/>
          <w:noProof/>
          <w:sz w:val="24"/>
          <w:szCs w:val="24"/>
        </w:rPr>
        <w:t>budget appropriations</w:t>
      </w:r>
      <w:r w:rsidRPr="00542EB9">
        <w:rPr>
          <w:rFonts w:ascii="Times New Roman" w:hAnsi="Times New Roman"/>
          <w:noProof/>
          <w:sz w:val="24"/>
          <w:szCs w:val="24"/>
        </w:rPr>
        <w:t xml:space="preserve"> between different policy areas.</w:t>
      </w:r>
      <w:r w:rsidR="009F223B" w:rsidRPr="00542EB9">
        <w:rPr>
          <w:rFonts w:ascii="Times New Roman" w:hAnsi="Times New Roman"/>
          <w:noProof/>
          <w:sz w:val="24"/>
          <w:szCs w:val="24"/>
        </w:rPr>
        <w:t xml:space="preserve"> </w:t>
      </w:r>
      <w:r w:rsidR="00364FE7" w:rsidRPr="00542EB9">
        <w:rPr>
          <w:rFonts w:ascii="Times New Roman" w:hAnsi="Times New Roman"/>
          <w:noProof/>
          <w:sz w:val="24"/>
          <w:szCs w:val="24"/>
        </w:rPr>
        <w:t>A majority of stakeholders responding to the public consultation</w:t>
      </w:r>
      <w:r w:rsidR="00827571" w:rsidRPr="00542EB9">
        <w:rPr>
          <w:rFonts w:ascii="Times New Roman" w:hAnsi="Times New Roman"/>
          <w:noProof/>
          <w:sz w:val="24"/>
          <w:szCs w:val="24"/>
        </w:rPr>
        <w:t xml:space="preserve"> indicated that</w:t>
      </w:r>
      <w:r w:rsidR="00364FE7" w:rsidRPr="00542EB9">
        <w:rPr>
          <w:rFonts w:ascii="Times New Roman" w:hAnsi="Times New Roman"/>
          <w:noProof/>
          <w:sz w:val="24"/>
          <w:szCs w:val="24"/>
        </w:rPr>
        <w:t xml:space="preserve"> </w:t>
      </w:r>
      <w:r w:rsidR="00827571" w:rsidRPr="00542EB9">
        <w:rPr>
          <w:rFonts w:ascii="Times New Roman" w:hAnsi="Times New Roman"/>
          <w:noProof/>
          <w:sz w:val="24"/>
          <w:szCs w:val="24"/>
        </w:rPr>
        <w:t>“Introducing more flexibility into resource allocation to react to crises and emerging needs” could help the EU budget become more effective and efficient</w:t>
      </w:r>
      <w:r w:rsidR="00D90F27" w:rsidRPr="00542EB9">
        <w:rPr>
          <w:rFonts w:ascii="Times New Roman" w:hAnsi="Times New Roman"/>
          <w:noProof/>
          <w:sz w:val="24"/>
          <w:szCs w:val="24"/>
        </w:rPr>
        <w:t xml:space="preserve"> (</w:t>
      </w:r>
      <w:r w:rsidR="007C660C" w:rsidRPr="00542EB9">
        <w:rPr>
          <w:rFonts w:ascii="Times New Roman" w:hAnsi="Times New Roman"/>
          <w:noProof/>
          <w:sz w:val="24"/>
          <w:szCs w:val="24"/>
        </w:rPr>
        <w:t>74</w:t>
      </w:r>
      <w:r w:rsidR="007A1506" w:rsidRPr="00542EB9">
        <w:rPr>
          <w:rFonts w:ascii="Times New Roman" w:hAnsi="Times New Roman"/>
          <w:noProof/>
          <w:sz w:val="24"/>
          <w:szCs w:val="24"/>
        </w:rPr>
        <w:t xml:space="preserve">%, </w:t>
      </w:r>
      <w:r w:rsidR="00762985" w:rsidRPr="00542EB9">
        <w:rPr>
          <w:rFonts w:ascii="Times New Roman" w:hAnsi="Times New Roman"/>
          <w:noProof/>
          <w:sz w:val="24"/>
          <w:szCs w:val="24"/>
        </w:rPr>
        <w:t xml:space="preserve">482 </w:t>
      </w:r>
      <w:r w:rsidR="007A1506" w:rsidRPr="00542EB9">
        <w:rPr>
          <w:rFonts w:ascii="Times New Roman" w:hAnsi="Times New Roman"/>
          <w:noProof/>
          <w:sz w:val="24"/>
          <w:szCs w:val="24"/>
        </w:rPr>
        <w:t xml:space="preserve">out of </w:t>
      </w:r>
      <w:r w:rsidR="007C660C" w:rsidRPr="00542EB9">
        <w:rPr>
          <w:rFonts w:ascii="Times New Roman" w:hAnsi="Times New Roman"/>
          <w:noProof/>
          <w:sz w:val="24"/>
          <w:szCs w:val="24"/>
        </w:rPr>
        <w:t>652</w:t>
      </w:r>
      <w:r w:rsidR="007A1506" w:rsidRPr="00542EB9">
        <w:rPr>
          <w:rFonts w:ascii="Times New Roman" w:hAnsi="Times New Roman"/>
          <w:noProof/>
          <w:sz w:val="24"/>
          <w:szCs w:val="24"/>
        </w:rPr>
        <w:t>)</w:t>
      </w:r>
      <w:r w:rsidR="00827571" w:rsidRPr="00542EB9">
        <w:rPr>
          <w:rFonts w:ascii="Times New Roman" w:hAnsi="Times New Roman"/>
          <w:noProof/>
          <w:sz w:val="24"/>
          <w:szCs w:val="24"/>
        </w:rPr>
        <w:t>.</w:t>
      </w:r>
    </w:p>
    <w:p w14:paraId="393E55CF" w14:textId="0C522B66" w:rsidR="009F0B30" w:rsidRPr="00542EB9" w:rsidRDefault="009F0B30" w:rsidP="00645819">
      <w:pPr>
        <w:pStyle w:val="BodyText1"/>
        <w:rPr>
          <w:rFonts w:ascii="Times New Roman" w:hAnsi="Times New Roman"/>
          <w:noProof/>
          <w:sz w:val="24"/>
        </w:rPr>
      </w:pPr>
      <w:r w:rsidRPr="00542EB9">
        <w:rPr>
          <w:rFonts w:ascii="Times New Roman" w:hAnsi="Times New Roman"/>
          <w:noProof/>
          <w:sz w:val="24"/>
          <w:szCs w:val="24"/>
        </w:rPr>
        <w:t xml:space="preserve">Some </w:t>
      </w:r>
      <w:r w:rsidRPr="00542EB9">
        <w:rPr>
          <w:rFonts w:ascii="Times New Roman" w:hAnsi="Times New Roman"/>
          <w:b/>
          <w:bCs/>
          <w:noProof/>
          <w:sz w:val="24"/>
          <w:szCs w:val="24"/>
        </w:rPr>
        <w:t>simplifications</w:t>
      </w:r>
      <w:r w:rsidRPr="00542EB9">
        <w:rPr>
          <w:rFonts w:ascii="Times New Roman" w:hAnsi="Times New Roman"/>
          <w:noProof/>
          <w:sz w:val="24"/>
          <w:szCs w:val="24"/>
        </w:rPr>
        <w:t xml:space="preserve"> in programme management and administration would also be possible, to the extent that they do not depend on the programme structure</w:t>
      </w:r>
      <w:r w:rsidR="00190D16" w:rsidRPr="00542EB9">
        <w:rPr>
          <w:rFonts w:ascii="Times New Roman" w:hAnsi="Times New Roman"/>
          <w:noProof/>
          <w:sz w:val="24"/>
          <w:szCs w:val="24"/>
        </w:rPr>
        <w:t xml:space="preserve"> or a</w:t>
      </w:r>
      <w:r w:rsidRPr="00542EB9">
        <w:rPr>
          <w:rFonts w:ascii="Times New Roman" w:hAnsi="Times New Roman"/>
          <w:noProof/>
          <w:sz w:val="24"/>
          <w:szCs w:val="24"/>
        </w:rPr>
        <w:t xml:space="preserve">dditional simplifications </w:t>
      </w:r>
      <w:r w:rsidR="00190D16" w:rsidRPr="00542EB9">
        <w:rPr>
          <w:rFonts w:ascii="Times New Roman" w:hAnsi="Times New Roman"/>
          <w:noProof/>
          <w:sz w:val="24"/>
          <w:szCs w:val="24"/>
        </w:rPr>
        <w:t>such as an e</w:t>
      </w:r>
      <w:r w:rsidRPr="00542EB9">
        <w:rPr>
          <w:rFonts w:ascii="Times New Roman" w:hAnsi="Times New Roman"/>
          <w:noProof/>
          <w:sz w:val="24"/>
          <w:szCs w:val="24"/>
        </w:rPr>
        <w:t xml:space="preserve">asier set-up of new national co-operation mechanisms, </w:t>
      </w:r>
      <w:r w:rsidR="00E34208" w:rsidRPr="00542EB9">
        <w:rPr>
          <w:rFonts w:ascii="Times New Roman" w:hAnsi="Times New Roman"/>
          <w:noProof/>
          <w:sz w:val="24"/>
          <w:szCs w:val="24"/>
        </w:rPr>
        <w:t>more c</w:t>
      </w:r>
      <w:r w:rsidRPr="00542EB9">
        <w:rPr>
          <w:rFonts w:ascii="Times New Roman" w:hAnsi="Times New Roman"/>
          <w:noProof/>
          <w:sz w:val="24"/>
          <w:szCs w:val="24"/>
        </w:rPr>
        <w:t>larity for beneficiaries</w:t>
      </w:r>
      <w:r w:rsidR="00E34208" w:rsidRPr="00542EB9">
        <w:rPr>
          <w:rFonts w:ascii="Times New Roman" w:hAnsi="Times New Roman"/>
          <w:noProof/>
          <w:sz w:val="24"/>
          <w:szCs w:val="24"/>
        </w:rPr>
        <w:t>, s</w:t>
      </w:r>
      <w:r w:rsidRPr="00542EB9">
        <w:rPr>
          <w:rFonts w:ascii="Times New Roman" w:hAnsi="Times New Roman"/>
          <w:noProof/>
          <w:sz w:val="24"/>
          <w:szCs w:val="24"/>
        </w:rPr>
        <w:t>ingle streamlined procedures for audits, evaluation, less time/cost to develop basic acts and working documents through the use of common templates</w:t>
      </w:r>
      <w:r w:rsidR="004C29BB" w:rsidRPr="00542EB9">
        <w:rPr>
          <w:rFonts w:ascii="Times New Roman" w:hAnsi="Times New Roman"/>
          <w:noProof/>
          <w:sz w:val="24"/>
          <w:szCs w:val="24"/>
        </w:rPr>
        <w:t xml:space="preserve"> etc.</w:t>
      </w:r>
    </w:p>
    <w:p w14:paraId="6199A046" w14:textId="0D5A3CDA" w:rsidR="009F102D" w:rsidRPr="00542EB9" w:rsidRDefault="004F5009" w:rsidP="00ED44D5">
      <w:pPr>
        <w:pStyle w:val="BodyText1"/>
        <w:rPr>
          <w:rFonts w:ascii="Times New Roman" w:hAnsi="Times New Roman"/>
          <w:noProof/>
          <w:sz w:val="24"/>
        </w:rPr>
      </w:pPr>
      <w:r w:rsidRPr="00542EB9">
        <w:rPr>
          <w:rFonts w:ascii="Times New Roman" w:hAnsi="Times New Roman"/>
          <w:noProof/>
          <w:sz w:val="24"/>
        </w:rPr>
        <w:t xml:space="preserve">The unified scenario may offer more potential for synergies than the integrated and </w:t>
      </w:r>
      <w:r w:rsidR="004271B5" w:rsidRPr="00542EB9">
        <w:rPr>
          <w:rFonts w:ascii="Times New Roman" w:hAnsi="Times New Roman"/>
          <w:noProof/>
          <w:sz w:val="24"/>
        </w:rPr>
        <w:t>baseline</w:t>
      </w:r>
      <w:r w:rsidRPr="00542EB9">
        <w:rPr>
          <w:rFonts w:ascii="Times New Roman" w:hAnsi="Times New Roman"/>
          <w:noProof/>
          <w:sz w:val="24"/>
        </w:rPr>
        <w:t xml:space="preserve"> scenario</w:t>
      </w:r>
      <w:r w:rsidR="00DA3875" w:rsidRPr="00542EB9">
        <w:rPr>
          <w:rFonts w:ascii="Times New Roman" w:hAnsi="Times New Roman"/>
          <w:noProof/>
          <w:sz w:val="24"/>
        </w:rPr>
        <w:t xml:space="preserve">, </w:t>
      </w:r>
      <w:r w:rsidR="00486748" w:rsidRPr="00542EB9">
        <w:rPr>
          <w:rFonts w:ascii="Times New Roman" w:hAnsi="Times New Roman"/>
          <w:noProof/>
          <w:sz w:val="24"/>
        </w:rPr>
        <w:t>particularly</w:t>
      </w:r>
      <w:r w:rsidR="00DA3875" w:rsidRPr="00542EB9">
        <w:rPr>
          <w:rFonts w:ascii="Times New Roman" w:hAnsi="Times New Roman"/>
          <w:noProof/>
          <w:sz w:val="24"/>
        </w:rPr>
        <w:t xml:space="preserve"> with horizontal activities</w:t>
      </w:r>
      <w:r w:rsidR="00A96AB2" w:rsidRPr="00542EB9">
        <w:rPr>
          <w:rFonts w:ascii="Times New Roman" w:hAnsi="Times New Roman"/>
          <w:noProof/>
          <w:sz w:val="24"/>
        </w:rPr>
        <w:t>, and in relation to</w:t>
      </w:r>
      <w:r w:rsidR="008F260C" w:rsidRPr="00542EB9">
        <w:rPr>
          <w:rFonts w:ascii="Times New Roman" w:hAnsi="Times New Roman"/>
          <w:noProof/>
          <w:sz w:val="24"/>
        </w:rPr>
        <w:t xml:space="preserve"> </w:t>
      </w:r>
      <w:r w:rsidR="00664E55" w:rsidRPr="00542EB9">
        <w:rPr>
          <w:rFonts w:ascii="Times New Roman" w:hAnsi="Times New Roman"/>
          <w:noProof/>
          <w:sz w:val="24"/>
        </w:rPr>
        <w:t xml:space="preserve">practical implementation. </w:t>
      </w:r>
      <w:r w:rsidR="004D5A87" w:rsidRPr="00542EB9">
        <w:rPr>
          <w:rFonts w:ascii="Times New Roman" w:hAnsi="Times New Roman"/>
          <w:noProof/>
          <w:sz w:val="24"/>
        </w:rPr>
        <w:t>However, the potential for policy synergies may be limited due to the differen</w:t>
      </w:r>
      <w:r w:rsidR="00B6661E" w:rsidRPr="00542EB9">
        <w:rPr>
          <w:rFonts w:ascii="Times New Roman" w:hAnsi="Times New Roman"/>
          <w:noProof/>
          <w:sz w:val="24"/>
        </w:rPr>
        <w:t xml:space="preserve">t focus of/differences </w:t>
      </w:r>
      <w:r w:rsidR="004D5A87" w:rsidRPr="00542EB9">
        <w:rPr>
          <w:rFonts w:ascii="Times New Roman" w:hAnsi="Times New Roman"/>
          <w:noProof/>
          <w:sz w:val="24"/>
        </w:rPr>
        <w:t xml:space="preserve">between the </w:t>
      </w:r>
      <w:r w:rsidR="00294FF1" w:rsidRPr="00542EB9">
        <w:rPr>
          <w:rFonts w:ascii="Times New Roman" w:hAnsi="Times New Roman"/>
          <w:noProof/>
          <w:sz w:val="24"/>
        </w:rPr>
        <w:t>policy areas.</w:t>
      </w:r>
    </w:p>
    <w:p w14:paraId="62A2D37B" w14:textId="58BC037C" w:rsidR="00BC1D2C" w:rsidRPr="00542EB9" w:rsidRDefault="00BC1D2C" w:rsidP="00BC1D2C">
      <w:pPr>
        <w:pStyle w:val="BodyText1"/>
        <w:rPr>
          <w:rFonts w:ascii="Times New Roman" w:hAnsi="Times New Roman"/>
          <w:noProof/>
          <w:sz w:val="24"/>
          <w:szCs w:val="24"/>
        </w:rPr>
      </w:pPr>
      <w:r w:rsidRPr="00542EB9">
        <w:rPr>
          <w:rFonts w:ascii="Times New Roman" w:hAnsi="Times New Roman"/>
          <w:noProof/>
          <w:sz w:val="24"/>
          <w:szCs w:val="24"/>
        </w:rPr>
        <w:t>However, additional costs might be incurred (compared with the other scenarios) in setting up new programme governance and management arrangements</w:t>
      </w:r>
      <w:r w:rsidR="002823DB" w:rsidRPr="00542EB9">
        <w:rPr>
          <w:rFonts w:ascii="Times New Roman" w:hAnsi="Times New Roman"/>
          <w:noProof/>
          <w:sz w:val="24"/>
          <w:szCs w:val="24"/>
        </w:rPr>
        <w:t xml:space="preserve"> in the initial phase</w:t>
      </w:r>
      <w:r w:rsidRPr="00542EB9">
        <w:rPr>
          <w:rFonts w:ascii="Times New Roman" w:hAnsi="Times New Roman"/>
          <w:noProof/>
          <w:sz w:val="24"/>
          <w:szCs w:val="24"/>
        </w:rPr>
        <w:t>.</w:t>
      </w:r>
      <w:r w:rsidR="00ED44D5" w:rsidRPr="00542EB9">
        <w:rPr>
          <w:rFonts w:ascii="Times New Roman" w:hAnsi="Times New Roman"/>
          <w:noProof/>
          <w:sz w:val="24"/>
          <w:szCs w:val="24"/>
        </w:rPr>
        <w:t xml:space="preserve"> A </w:t>
      </w:r>
      <w:r w:rsidR="00ED44D5" w:rsidRPr="00542EB9">
        <w:rPr>
          <w:rFonts w:ascii="Times New Roman" w:hAnsi="Times New Roman"/>
          <w:bCs/>
          <w:noProof/>
          <w:sz w:val="24"/>
          <w:szCs w:val="24"/>
        </w:rPr>
        <w:t>risk</w:t>
      </w:r>
      <w:r w:rsidR="00ED44D5" w:rsidRPr="00542EB9">
        <w:rPr>
          <w:rFonts w:ascii="Times New Roman" w:hAnsi="Times New Roman"/>
          <w:noProof/>
          <w:sz w:val="24"/>
          <w:szCs w:val="24"/>
        </w:rPr>
        <w:t xml:space="preserve"> of increased administrative burden </w:t>
      </w:r>
      <w:r w:rsidR="00B44C48" w:rsidRPr="00542EB9">
        <w:rPr>
          <w:rFonts w:ascii="Times New Roman" w:hAnsi="Times New Roman"/>
          <w:noProof/>
          <w:sz w:val="24"/>
          <w:szCs w:val="24"/>
        </w:rPr>
        <w:t>would exist</w:t>
      </w:r>
      <w:r w:rsidR="00ED44D5" w:rsidRPr="00542EB9">
        <w:rPr>
          <w:rFonts w:ascii="Times New Roman" w:hAnsi="Times New Roman"/>
          <w:noProof/>
          <w:sz w:val="24"/>
          <w:szCs w:val="24"/>
        </w:rPr>
        <w:t>, depending on adjustment/adaptation costs to new programme design, governance and its activities. A burden could be noted related to new programme-level coordination and management of horizontal activities</w:t>
      </w:r>
      <w:r w:rsidR="00CF5B08" w:rsidRPr="00542EB9">
        <w:rPr>
          <w:rFonts w:ascii="Times New Roman" w:hAnsi="Times New Roman"/>
          <w:noProof/>
          <w:sz w:val="24"/>
          <w:szCs w:val="24"/>
        </w:rPr>
        <w:t xml:space="preserve"> </w:t>
      </w:r>
      <w:r w:rsidR="00ED44D5" w:rsidRPr="00542EB9">
        <w:rPr>
          <w:rFonts w:ascii="Times New Roman" w:hAnsi="Times New Roman"/>
          <w:noProof/>
          <w:sz w:val="24"/>
          <w:szCs w:val="24"/>
        </w:rPr>
        <w:t>but also due to rigidities from a single legal basis, single set of programme implementation arrangements, etc.</w:t>
      </w:r>
      <w:r w:rsidRPr="00542EB9">
        <w:rPr>
          <w:rFonts w:ascii="Times New Roman" w:hAnsi="Times New Roman"/>
          <w:noProof/>
          <w:sz w:val="24"/>
          <w:szCs w:val="24"/>
        </w:rPr>
        <w:t xml:space="preserve"> </w:t>
      </w:r>
      <w:r w:rsidR="00F46DA4" w:rsidRPr="00542EB9">
        <w:rPr>
          <w:rFonts w:ascii="Times New Roman" w:hAnsi="Times New Roman"/>
          <w:noProof/>
          <w:sz w:val="24"/>
          <w:szCs w:val="24"/>
        </w:rPr>
        <w:t>C</w:t>
      </w:r>
      <w:r w:rsidR="00A44F54" w:rsidRPr="00542EB9">
        <w:rPr>
          <w:rFonts w:ascii="Times New Roman" w:hAnsi="Times New Roman"/>
          <w:noProof/>
          <w:sz w:val="24"/>
          <w:szCs w:val="24"/>
        </w:rPr>
        <w:t>onsidering</w:t>
      </w:r>
      <w:r w:rsidRPr="00542EB9">
        <w:rPr>
          <w:rFonts w:ascii="Times New Roman" w:hAnsi="Times New Roman"/>
          <w:noProof/>
          <w:sz w:val="24"/>
          <w:szCs w:val="24"/>
        </w:rPr>
        <w:t xml:space="preserve"> the </w:t>
      </w:r>
      <w:r w:rsidR="002D1F55" w:rsidRPr="00542EB9">
        <w:rPr>
          <w:rFonts w:ascii="Times New Roman" w:hAnsi="Times New Roman"/>
          <w:noProof/>
          <w:sz w:val="24"/>
          <w:szCs w:val="24"/>
        </w:rPr>
        <w:t xml:space="preserve">variety of stakeholders and beneficiaries involved, </w:t>
      </w:r>
      <w:r w:rsidRPr="00542EB9">
        <w:rPr>
          <w:rFonts w:ascii="Times New Roman" w:hAnsi="Times New Roman"/>
          <w:noProof/>
          <w:sz w:val="24"/>
          <w:szCs w:val="24"/>
        </w:rPr>
        <w:t>th</w:t>
      </w:r>
      <w:r w:rsidR="00A44F5C" w:rsidRPr="00542EB9">
        <w:rPr>
          <w:rFonts w:ascii="Times New Roman" w:hAnsi="Times New Roman"/>
          <w:noProof/>
          <w:sz w:val="24"/>
          <w:szCs w:val="24"/>
        </w:rPr>
        <w:t>is</w:t>
      </w:r>
      <w:r w:rsidRPr="00542EB9">
        <w:rPr>
          <w:rFonts w:ascii="Times New Roman" w:hAnsi="Times New Roman"/>
          <w:noProof/>
          <w:sz w:val="24"/>
          <w:szCs w:val="24"/>
        </w:rPr>
        <w:t xml:space="preserve"> scenario might risk incurring additional coordination costs at programme </w:t>
      </w:r>
      <w:r w:rsidR="00E72B79" w:rsidRPr="00542EB9">
        <w:rPr>
          <w:rFonts w:ascii="Times New Roman" w:hAnsi="Times New Roman"/>
          <w:noProof/>
          <w:sz w:val="24"/>
          <w:szCs w:val="24"/>
        </w:rPr>
        <w:t xml:space="preserve">management </w:t>
      </w:r>
      <w:r w:rsidRPr="00542EB9">
        <w:rPr>
          <w:rFonts w:ascii="Times New Roman" w:hAnsi="Times New Roman"/>
          <w:noProof/>
          <w:sz w:val="24"/>
          <w:szCs w:val="24"/>
        </w:rPr>
        <w:t xml:space="preserve">level (compared with the more siloed approach under the </w:t>
      </w:r>
      <w:r w:rsidR="0091703B" w:rsidRPr="00542EB9">
        <w:rPr>
          <w:rFonts w:ascii="Times New Roman" w:hAnsi="Times New Roman"/>
          <w:noProof/>
          <w:sz w:val="24"/>
          <w:szCs w:val="24"/>
        </w:rPr>
        <w:t xml:space="preserve">integrated </w:t>
      </w:r>
      <w:r w:rsidRPr="00542EB9">
        <w:rPr>
          <w:rFonts w:ascii="Times New Roman" w:hAnsi="Times New Roman"/>
          <w:noProof/>
          <w:sz w:val="24"/>
          <w:szCs w:val="24"/>
        </w:rPr>
        <w:t>scenario), depending on the governance and management arrangements put in place.</w:t>
      </w:r>
    </w:p>
    <w:p w14:paraId="576C9118" w14:textId="7EF9F452" w:rsidR="009B4FB6" w:rsidRPr="00542EB9" w:rsidRDefault="1510139D" w:rsidP="00306B02">
      <w:pPr>
        <w:pStyle w:val="BodyText1"/>
        <w:rPr>
          <w:rFonts w:ascii="Times New Roman" w:hAnsi="Times New Roman"/>
          <w:noProof/>
          <w:sz w:val="24"/>
        </w:rPr>
      </w:pPr>
      <w:r w:rsidRPr="00542EB9">
        <w:rPr>
          <w:rFonts w:ascii="Times New Roman" w:hAnsi="Times New Roman"/>
          <w:noProof/>
          <w:sz w:val="24"/>
          <w:szCs w:val="24"/>
        </w:rPr>
        <w:t>In light of th</w:t>
      </w:r>
      <w:r w:rsidR="00A619A8" w:rsidRPr="00542EB9">
        <w:rPr>
          <w:rFonts w:ascii="Times New Roman" w:hAnsi="Times New Roman"/>
          <w:noProof/>
          <w:sz w:val="24"/>
          <w:szCs w:val="24"/>
        </w:rPr>
        <w:t>e above</w:t>
      </w:r>
      <w:r w:rsidRPr="00542EB9">
        <w:rPr>
          <w:rFonts w:ascii="Times New Roman" w:hAnsi="Times New Roman"/>
          <w:noProof/>
          <w:sz w:val="24"/>
          <w:szCs w:val="24"/>
        </w:rPr>
        <w:t xml:space="preserve">, </w:t>
      </w:r>
      <w:r w:rsidR="003F3667" w:rsidRPr="00542EB9">
        <w:rPr>
          <w:rFonts w:ascii="Times New Roman" w:hAnsi="Times New Roman"/>
          <w:noProof/>
          <w:sz w:val="24"/>
          <w:szCs w:val="24"/>
        </w:rPr>
        <w:t>possible challenges</w:t>
      </w:r>
      <w:r w:rsidR="23BC4BFB" w:rsidRPr="00542EB9">
        <w:rPr>
          <w:rFonts w:ascii="Times New Roman" w:hAnsi="Times New Roman"/>
          <w:noProof/>
          <w:sz w:val="24"/>
          <w:szCs w:val="24"/>
        </w:rPr>
        <w:t xml:space="preserve"> </w:t>
      </w:r>
      <w:r w:rsidR="003F3667" w:rsidRPr="00542EB9">
        <w:rPr>
          <w:rFonts w:ascii="Times New Roman" w:hAnsi="Times New Roman"/>
          <w:noProof/>
          <w:sz w:val="24"/>
          <w:szCs w:val="24"/>
        </w:rPr>
        <w:t>may arise</w:t>
      </w:r>
      <w:r w:rsidR="00540E6A" w:rsidRPr="00542EB9">
        <w:rPr>
          <w:rFonts w:ascii="Times New Roman" w:hAnsi="Times New Roman"/>
          <w:noProof/>
          <w:sz w:val="24"/>
          <w:szCs w:val="24"/>
        </w:rPr>
        <w:t xml:space="preserve">. </w:t>
      </w:r>
      <w:r w:rsidR="009B4FB6" w:rsidRPr="00542EB9">
        <w:rPr>
          <w:rFonts w:ascii="Times New Roman" w:hAnsi="Times New Roman"/>
          <w:noProof/>
          <w:sz w:val="24"/>
        </w:rPr>
        <w:t>The table below provides an overview of the challenges which may arise under the unified scenario and possible mitigation measures</w:t>
      </w:r>
      <w:r w:rsidR="00A81A65" w:rsidRPr="00542EB9">
        <w:rPr>
          <w:rFonts w:ascii="Times New Roman" w:hAnsi="Times New Roman"/>
          <w:noProof/>
          <w:sz w:val="24"/>
        </w:rPr>
        <w:t xml:space="preserve"> to address these</w:t>
      </w:r>
      <w:r w:rsidR="009B4FB6" w:rsidRPr="00542EB9">
        <w:rPr>
          <w:rFonts w:ascii="Times New Roman" w:hAnsi="Times New Roman"/>
          <w:noProof/>
          <w:sz w:val="24"/>
        </w:rPr>
        <w:t xml:space="preserve">. </w:t>
      </w:r>
    </w:p>
    <w:tbl>
      <w:tblPr>
        <w:tblStyle w:val="TableGrid"/>
        <w:tblW w:w="5000" w:type="pct"/>
        <w:tblLook w:val="04A0" w:firstRow="1" w:lastRow="0" w:firstColumn="1" w:lastColumn="0" w:noHBand="0" w:noVBand="1"/>
      </w:tblPr>
      <w:tblGrid>
        <w:gridCol w:w="2906"/>
        <w:gridCol w:w="5987"/>
      </w:tblGrid>
      <w:tr w:rsidR="0008166A" w:rsidRPr="00542EB9" w14:paraId="55931B50" w14:textId="77777777" w:rsidTr="00D82FEB">
        <w:tc>
          <w:tcPr>
            <w:tcW w:w="1634" w:type="pct"/>
            <w:shd w:val="clear" w:color="auto" w:fill="1F497D" w:themeFill="text2"/>
          </w:tcPr>
          <w:p w14:paraId="584B2AE9" w14:textId="77777777" w:rsidR="00195A0E" w:rsidRPr="00D82FEB" w:rsidRDefault="00195A0E" w:rsidP="00306B02">
            <w:pPr>
              <w:pStyle w:val="bullet1"/>
              <w:numPr>
                <w:ilvl w:val="0"/>
                <w:numId w:val="0"/>
              </w:numPr>
              <w:spacing w:before="0" w:after="0"/>
              <w:ind w:left="720" w:hanging="360"/>
              <w:rPr>
                <w:rFonts w:ascii="Times New Roman" w:hAnsi="Times New Roman"/>
                <w:b/>
                <w:bCs/>
                <w:color w:val="FFFFFF" w:themeColor="background1"/>
                <w:szCs w:val="22"/>
              </w:rPr>
            </w:pPr>
            <w:bookmarkStart w:id="53" w:name="_Hlk200726041"/>
            <w:r w:rsidRPr="00D82FEB">
              <w:rPr>
                <w:rFonts w:ascii="Times New Roman" w:hAnsi="Times New Roman"/>
                <w:b/>
                <w:bCs/>
                <w:color w:val="FFFFFF" w:themeColor="background1"/>
                <w:szCs w:val="22"/>
              </w:rPr>
              <w:t>Risk</w:t>
            </w:r>
          </w:p>
        </w:tc>
        <w:tc>
          <w:tcPr>
            <w:tcW w:w="3366" w:type="pct"/>
            <w:shd w:val="clear" w:color="auto" w:fill="1F497D" w:themeFill="text2"/>
          </w:tcPr>
          <w:p w14:paraId="56BA1F0F" w14:textId="77777777" w:rsidR="00195A0E" w:rsidRPr="00D82FEB" w:rsidRDefault="00195A0E" w:rsidP="00306B02">
            <w:pPr>
              <w:pStyle w:val="bullet1"/>
              <w:numPr>
                <w:ilvl w:val="0"/>
                <w:numId w:val="0"/>
              </w:numPr>
              <w:spacing w:before="0" w:after="0"/>
              <w:ind w:left="720" w:hanging="360"/>
              <w:rPr>
                <w:rFonts w:ascii="Times New Roman" w:hAnsi="Times New Roman"/>
                <w:b/>
                <w:bCs/>
                <w:color w:val="FFFFFF" w:themeColor="background1"/>
                <w:szCs w:val="22"/>
              </w:rPr>
            </w:pPr>
            <w:r w:rsidRPr="00D82FEB">
              <w:rPr>
                <w:rFonts w:ascii="Times New Roman" w:hAnsi="Times New Roman"/>
                <w:b/>
                <w:bCs/>
                <w:color w:val="FFFFFF" w:themeColor="background1"/>
                <w:szCs w:val="22"/>
              </w:rPr>
              <w:t>Possible mitigation measures</w:t>
            </w:r>
          </w:p>
        </w:tc>
      </w:tr>
      <w:tr w:rsidR="0008166A" w:rsidRPr="00542EB9" w14:paraId="2D5658DB" w14:textId="77777777" w:rsidTr="001C4511">
        <w:tc>
          <w:tcPr>
            <w:tcW w:w="1634" w:type="pct"/>
          </w:tcPr>
          <w:p w14:paraId="5168DC5F"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Adjustment/adaptation costs for implementing bodies, applicants and beneficiaries</w:t>
            </w:r>
          </w:p>
        </w:tc>
        <w:tc>
          <w:tcPr>
            <w:tcW w:w="3366" w:type="pct"/>
          </w:tcPr>
          <w:p w14:paraId="3EDAFE88" w14:textId="561ED6FD"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The budget for programme management </w:t>
            </w:r>
            <w:r w:rsidR="00E21CF3" w:rsidRPr="00542EB9">
              <w:rPr>
                <w:rFonts w:ascii="Times New Roman" w:hAnsi="Times New Roman"/>
                <w:szCs w:val="22"/>
              </w:rPr>
              <w:t>may</w:t>
            </w:r>
            <w:r w:rsidRPr="00542EB9">
              <w:rPr>
                <w:rFonts w:ascii="Times New Roman" w:hAnsi="Times New Roman"/>
                <w:szCs w:val="22"/>
              </w:rPr>
              <w:t xml:space="preserve"> be </w:t>
            </w:r>
            <w:r w:rsidR="00BB4AFA" w:rsidRPr="00542EB9">
              <w:rPr>
                <w:rFonts w:ascii="Times New Roman" w:hAnsi="Times New Roman"/>
                <w:szCs w:val="22"/>
              </w:rPr>
              <w:t xml:space="preserve">used in the </w:t>
            </w:r>
            <w:r w:rsidRPr="00542EB9">
              <w:rPr>
                <w:rFonts w:ascii="Times New Roman" w:hAnsi="Times New Roman"/>
                <w:szCs w:val="22"/>
              </w:rPr>
              <w:t xml:space="preserve">early years of the programme </w:t>
            </w:r>
            <w:r w:rsidR="00BB4AFA" w:rsidRPr="00542EB9">
              <w:rPr>
                <w:rFonts w:ascii="Times New Roman" w:hAnsi="Times New Roman"/>
                <w:szCs w:val="22"/>
              </w:rPr>
              <w:t xml:space="preserve">to provide support </w:t>
            </w:r>
            <w:r w:rsidRPr="00542EB9">
              <w:rPr>
                <w:rFonts w:ascii="Times New Roman" w:hAnsi="Times New Roman"/>
                <w:szCs w:val="22"/>
              </w:rPr>
              <w:t>to cover set-up costs, e</w:t>
            </w:r>
            <w:r w:rsidR="00552868" w:rsidRPr="00542EB9">
              <w:rPr>
                <w:rFonts w:ascii="Times New Roman" w:hAnsi="Times New Roman"/>
                <w:szCs w:val="22"/>
              </w:rPr>
              <w:t>.</w:t>
            </w:r>
            <w:r w:rsidRPr="00542EB9">
              <w:rPr>
                <w:rFonts w:ascii="Times New Roman" w:hAnsi="Times New Roman"/>
                <w:szCs w:val="22"/>
              </w:rPr>
              <w:t>g. additional staff resource, staff training, purchase or enhancement of IT tools and programme management systems, procurement of expertise.</w:t>
            </w:r>
          </w:p>
          <w:p w14:paraId="72636EF6" w14:textId="5AF41D8E"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The Commission and Executive Agencies </w:t>
            </w:r>
            <w:r w:rsidR="00E21CF3" w:rsidRPr="00542EB9">
              <w:rPr>
                <w:rFonts w:ascii="Times New Roman" w:hAnsi="Times New Roman"/>
                <w:szCs w:val="22"/>
              </w:rPr>
              <w:t>may</w:t>
            </w:r>
            <w:r w:rsidRPr="00542EB9">
              <w:rPr>
                <w:rFonts w:ascii="Times New Roman" w:hAnsi="Times New Roman"/>
                <w:szCs w:val="22"/>
              </w:rPr>
              <w:t xml:space="preserve"> publish additional guidance, operate webinars and offer other support in the first year(s) of the programme, as appropriate to the needs of each type of beneficiary or strand within the programme.</w:t>
            </w:r>
          </w:p>
        </w:tc>
      </w:tr>
      <w:tr w:rsidR="0008166A" w:rsidRPr="00542EB9" w14:paraId="7B177748" w14:textId="77777777" w:rsidTr="001C4511">
        <w:tc>
          <w:tcPr>
            <w:tcW w:w="1634" w:type="pct"/>
          </w:tcPr>
          <w:p w14:paraId="2A449D2B"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Disruption to the implementation of long-established and essential activities</w:t>
            </w:r>
          </w:p>
        </w:tc>
        <w:tc>
          <w:tcPr>
            <w:tcW w:w="3366" w:type="pct"/>
          </w:tcPr>
          <w:p w14:paraId="254E482D" w14:textId="359FF95C"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The new programme would </w:t>
            </w:r>
            <w:r w:rsidR="00BB4AFA" w:rsidRPr="00542EB9">
              <w:rPr>
                <w:rFonts w:ascii="Times New Roman" w:hAnsi="Times New Roman"/>
                <w:szCs w:val="22"/>
              </w:rPr>
              <w:t>ensure</w:t>
            </w:r>
            <w:r w:rsidRPr="00542EB9">
              <w:rPr>
                <w:rFonts w:ascii="Times New Roman" w:hAnsi="Times New Roman"/>
                <w:szCs w:val="22"/>
              </w:rPr>
              <w:t xml:space="preserve"> the continuation, enhancement and further development of core activities essential to the fulfilment of the Commission’s Treaty-based responsibilities.</w:t>
            </w:r>
          </w:p>
          <w:p w14:paraId="473399C0" w14:textId="782A82A5"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In the event of delay to adoption of the Programme, the Commission would ensure that essential activities continue to receive funding in the short-term by making use of mechanisms allowed by the Financial Regulation</w:t>
            </w:r>
            <w:r w:rsidR="00447BD3" w:rsidRPr="00542EB9">
              <w:rPr>
                <w:rFonts w:ascii="Times New Roman" w:hAnsi="Times New Roman"/>
                <w:szCs w:val="22"/>
              </w:rPr>
              <w:t>.</w:t>
            </w:r>
          </w:p>
        </w:tc>
      </w:tr>
      <w:tr w:rsidR="0008166A" w:rsidRPr="00542EB9" w14:paraId="66A16B72" w14:textId="77777777" w:rsidTr="001C4511">
        <w:trPr>
          <w:trHeight w:val="2136"/>
        </w:trPr>
        <w:tc>
          <w:tcPr>
            <w:tcW w:w="1634" w:type="pct"/>
          </w:tcPr>
          <w:p w14:paraId="4B0FB0A7"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Low take-up or use of horizontal activities, joint framework contracts or joint actions</w:t>
            </w:r>
          </w:p>
          <w:p w14:paraId="2D1D2A4D" w14:textId="77777777" w:rsidR="00FE7D9A" w:rsidRPr="00542EB9" w:rsidRDefault="00FE7D9A" w:rsidP="00AD0302">
            <w:pPr>
              <w:pStyle w:val="bullet1"/>
              <w:numPr>
                <w:ilvl w:val="0"/>
                <w:numId w:val="0"/>
              </w:numPr>
              <w:spacing w:before="0" w:after="0"/>
              <w:ind w:left="360"/>
              <w:rPr>
                <w:rFonts w:ascii="Times New Roman" w:hAnsi="Times New Roman"/>
                <w:b/>
                <w:bCs/>
                <w:szCs w:val="22"/>
              </w:rPr>
            </w:pPr>
          </w:p>
          <w:p w14:paraId="33F8C485" w14:textId="32BA38AE"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Weak relevance of horizontal activities</w:t>
            </w:r>
          </w:p>
          <w:p w14:paraId="3E22E9B3" w14:textId="77777777" w:rsidR="00FE7D9A" w:rsidRPr="00542EB9" w:rsidRDefault="00FE7D9A" w:rsidP="00AD0302">
            <w:pPr>
              <w:pStyle w:val="bullet1"/>
              <w:numPr>
                <w:ilvl w:val="0"/>
                <w:numId w:val="0"/>
              </w:numPr>
              <w:spacing w:before="0" w:after="0"/>
              <w:ind w:left="360"/>
              <w:rPr>
                <w:rFonts w:ascii="Times New Roman" w:hAnsi="Times New Roman"/>
                <w:b/>
                <w:bCs/>
                <w:szCs w:val="22"/>
              </w:rPr>
            </w:pPr>
          </w:p>
          <w:p w14:paraId="6997F197" w14:textId="018A9FD9"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Inflexibility of horizontal activities</w:t>
            </w:r>
          </w:p>
        </w:tc>
        <w:tc>
          <w:tcPr>
            <w:tcW w:w="3366" w:type="pct"/>
          </w:tcPr>
          <w:p w14:paraId="6E03379E" w14:textId="11E2F2E0"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Horizonal activities </w:t>
            </w:r>
            <w:r w:rsidR="009B06A0" w:rsidRPr="00542EB9">
              <w:rPr>
                <w:rFonts w:ascii="Times New Roman" w:hAnsi="Times New Roman"/>
                <w:szCs w:val="22"/>
              </w:rPr>
              <w:t>may</w:t>
            </w:r>
            <w:r w:rsidRPr="00542EB9">
              <w:rPr>
                <w:rFonts w:ascii="Times New Roman" w:hAnsi="Times New Roman"/>
                <w:szCs w:val="22"/>
              </w:rPr>
              <w:t xml:space="preserve"> be designed, overseen and monitored by a steering group comprising all relevant DGs. The steering group </w:t>
            </w:r>
            <w:r w:rsidR="009B06A0" w:rsidRPr="00542EB9">
              <w:rPr>
                <w:rFonts w:ascii="Times New Roman" w:hAnsi="Times New Roman"/>
                <w:szCs w:val="22"/>
              </w:rPr>
              <w:t>would</w:t>
            </w:r>
            <w:r w:rsidRPr="00542EB9">
              <w:rPr>
                <w:rFonts w:ascii="Times New Roman" w:hAnsi="Times New Roman"/>
                <w:szCs w:val="22"/>
              </w:rPr>
              <w:t xml:space="preserve"> look to design horizontal activities in line with identified priories and emerging needs. This will allow the steering group to take remedial action, e.g. related to the design or communication of opportunities.</w:t>
            </w:r>
          </w:p>
        </w:tc>
      </w:tr>
      <w:tr w:rsidR="0008166A" w:rsidRPr="00542EB9" w14:paraId="51499465" w14:textId="77777777" w:rsidTr="001C4511">
        <w:tc>
          <w:tcPr>
            <w:tcW w:w="1634" w:type="pct"/>
          </w:tcPr>
          <w:p w14:paraId="07143BCC"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Duplication/confusion, e.g. between pillar-specific activities and horizontal activities</w:t>
            </w:r>
          </w:p>
        </w:tc>
        <w:tc>
          <w:tcPr>
            <w:tcW w:w="3366" w:type="pct"/>
          </w:tcPr>
          <w:p w14:paraId="2E46A454" w14:textId="108A38BE"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A steering goup comprising all relevant DGs </w:t>
            </w:r>
            <w:r w:rsidR="009B06A0" w:rsidRPr="00542EB9">
              <w:rPr>
                <w:rFonts w:ascii="Times New Roman" w:hAnsi="Times New Roman"/>
                <w:szCs w:val="22"/>
              </w:rPr>
              <w:t>may</w:t>
            </w:r>
            <w:r w:rsidRPr="00542EB9">
              <w:rPr>
                <w:rFonts w:ascii="Times New Roman" w:hAnsi="Times New Roman"/>
                <w:szCs w:val="22"/>
              </w:rPr>
              <w:t xml:space="preserve"> monitor the design and implementation of horizonal activities to ensure coherence with policy-specific activities.</w:t>
            </w:r>
          </w:p>
        </w:tc>
      </w:tr>
      <w:tr w:rsidR="0008166A" w:rsidRPr="00542EB9" w14:paraId="7FB40D38" w14:textId="77777777" w:rsidTr="001C4511">
        <w:tc>
          <w:tcPr>
            <w:tcW w:w="1634" w:type="pct"/>
          </w:tcPr>
          <w:p w14:paraId="0EE55260"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Additional burden and transaction costs related to programme-level coordination and management of horizontal strands</w:t>
            </w:r>
          </w:p>
        </w:tc>
        <w:tc>
          <w:tcPr>
            <w:tcW w:w="3366" w:type="pct"/>
          </w:tcPr>
          <w:p w14:paraId="0E95F688" w14:textId="36FA4AEF"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The role and remit of programme-level co-ordination </w:t>
            </w:r>
            <w:r w:rsidR="005956BD" w:rsidRPr="00542EB9">
              <w:rPr>
                <w:rFonts w:ascii="Times New Roman" w:hAnsi="Times New Roman"/>
                <w:szCs w:val="22"/>
              </w:rPr>
              <w:t>should</w:t>
            </w:r>
            <w:r w:rsidRPr="00542EB9">
              <w:rPr>
                <w:rFonts w:ascii="Times New Roman" w:hAnsi="Times New Roman"/>
                <w:szCs w:val="22"/>
              </w:rPr>
              <w:t xml:space="preserve"> need to be specified very clearly. As far as possible, responsibility for policy-specific strands and activities will be delegated to the responsible DGs, so that only essential management functions are undertaken at programme level.</w:t>
            </w:r>
          </w:p>
          <w:p w14:paraId="2A1F8817" w14:textId="62448515"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Where appropriate, the management of horizontal strands (or parts thereof) </w:t>
            </w:r>
            <w:r w:rsidR="00CD40A2" w:rsidRPr="00542EB9">
              <w:rPr>
                <w:rFonts w:ascii="Times New Roman" w:hAnsi="Times New Roman"/>
                <w:szCs w:val="22"/>
              </w:rPr>
              <w:t>could</w:t>
            </w:r>
            <w:r w:rsidRPr="00542EB9">
              <w:rPr>
                <w:rFonts w:ascii="Times New Roman" w:hAnsi="Times New Roman"/>
                <w:szCs w:val="22"/>
              </w:rPr>
              <w:t xml:space="preserve"> be delegated to one or more Executive Agencies</w:t>
            </w:r>
            <w:r w:rsidR="00CD40A2" w:rsidRPr="00542EB9">
              <w:rPr>
                <w:rFonts w:ascii="Times New Roman" w:hAnsi="Times New Roman"/>
                <w:szCs w:val="22"/>
              </w:rPr>
              <w:t>/Offices</w:t>
            </w:r>
            <w:r w:rsidRPr="00542EB9">
              <w:rPr>
                <w:rFonts w:ascii="Times New Roman" w:hAnsi="Times New Roman"/>
                <w:szCs w:val="22"/>
              </w:rPr>
              <w:t xml:space="preserve"> in order to reduce costs.</w:t>
            </w:r>
          </w:p>
        </w:tc>
      </w:tr>
      <w:tr w:rsidR="0008166A" w:rsidRPr="00542EB9" w14:paraId="39A22EB2" w14:textId="77777777" w:rsidTr="001C4511">
        <w:tc>
          <w:tcPr>
            <w:tcW w:w="1634" w:type="pct"/>
          </w:tcPr>
          <w:p w14:paraId="2D974C1B" w14:textId="77777777" w:rsidR="00195A0E" w:rsidRPr="00542EB9" w:rsidRDefault="00195A0E" w:rsidP="00306B02">
            <w:pPr>
              <w:pStyle w:val="bullet1"/>
              <w:numPr>
                <w:ilvl w:val="0"/>
                <w:numId w:val="0"/>
              </w:numPr>
              <w:spacing w:before="0" w:after="0"/>
              <w:ind w:left="360"/>
              <w:rPr>
                <w:rFonts w:ascii="Times New Roman" w:hAnsi="Times New Roman"/>
                <w:b/>
                <w:bCs/>
                <w:szCs w:val="22"/>
              </w:rPr>
            </w:pPr>
            <w:r w:rsidRPr="00542EB9">
              <w:rPr>
                <w:rFonts w:ascii="Times New Roman" w:hAnsi="Times New Roman"/>
                <w:b/>
                <w:bCs/>
                <w:szCs w:val="22"/>
              </w:rPr>
              <w:t>Inflexibilities as a result of rigid rules or funding rates not being appropriate to all policy areas</w:t>
            </w:r>
          </w:p>
        </w:tc>
        <w:tc>
          <w:tcPr>
            <w:tcW w:w="3366" w:type="pct"/>
          </w:tcPr>
          <w:p w14:paraId="204F6122" w14:textId="1CC37E98" w:rsidR="00195A0E" w:rsidRPr="00542EB9" w:rsidRDefault="00195A0E" w:rsidP="00306B02">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 xml:space="preserve">Additional monitoring by the Commission </w:t>
            </w:r>
            <w:r w:rsidR="00FE7D9A" w:rsidRPr="00542EB9">
              <w:rPr>
                <w:rFonts w:ascii="Times New Roman" w:hAnsi="Times New Roman"/>
                <w:szCs w:val="22"/>
              </w:rPr>
              <w:t>may</w:t>
            </w:r>
            <w:r w:rsidRPr="00542EB9">
              <w:rPr>
                <w:rFonts w:ascii="Times New Roman" w:hAnsi="Times New Roman"/>
                <w:szCs w:val="22"/>
              </w:rPr>
              <w:t xml:space="preserve"> consider any effects arising from standardised rules or funding rates across the programme</w:t>
            </w:r>
            <w:r w:rsidR="00CB4B7C" w:rsidRPr="00542EB9">
              <w:rPr>
                <w:rFonts w:ascii="Times New Roman" w:hAnsi="Times New Roman"/>
                <w:szCs w:val="22"/>
              </w:rPr>
              <w:t xml:space="preserve"> and, where necessary, remedial actions to ensure appropriateness.</w:t>
            </w:r>
          </w:p>
        </w:tc>
      </w:tr>
      <w:tr w:rsidR="0008166A" w:rsidRPr="00542EB9" w14:paraId="2A433E03" w14:textId="77777777">
        <w:tc>
          <w:tcPr>
            <w:tcW w:w="1634" w:type="pct"/>
          </w:tcPr>
          <w:p w14:paraId="191DABD0" w14:textId="592C73FC" w:rsidR="00FC3B41" w:rsidRPr="00542EB9" w:rsidRDefault="0069371D" w:rsidP="00A81A65">
            <w:pPr>
              <w:pStyle w:val="bullet1"/>
              <w:numPr>
                <w:ilvl w:val="0"/>
                <w:numId w:val="0"/>
              </w:numPr>
              <w:spacing w:before="0" w:after="0"/>
              <w:ind w:left="360"/>
              <w:rPr>
                <w:rFonts w:ascii="Times New Roman" w:hAnsi="Times New Roman"/>
                <w:b/>
                <w:bCs/>
                <w:szCs w:val="22"/>
              </w:rPr>
            </w:pPr>
            <w:r w:rsidRPr="00542EB9">
              <w:rPr>
                <w:rFonts w:ascii="Times New Roman" w:hAnsi="Times New Roman"/>
                <w:b/>
                <w:szCs w:val="22"/>
              </w:rPr>
              <w:t>Longer time to develop and adopt the programme regulation</w:t>
            </w:r>
          </w:p>
        </w:tc>
        <w:tc>
          <w:tcPr>
            <w:tcW w:w="3366" w:type="pct"/>
          </w:tcPr>
          <w:p w14:paraId="22550456" w14:textId="7FCC09A9" w:rsidR="00FC3B41" w:rsidRPr="00542EB9" w:rsidRDefault="008B5683" w:rsidP="008B5B58">
            <w:pPr>
              <w:pStyle w:val="bullet1"/>
              <w:numPr>
                <w:ilvl w:val="0"/>
                <w:numId w:val="0"/>
              </w:numPr>
              <w:spacing w:before="0" w:after="0"/>
              <w:ind w:left="360"/>
              <w:rPr>
                <w:rFonts w:ascii="Times New Roman" w:hAnsi="Times New Roman"/>
                <w:szCs w:val="22"/>
              </w:rPr>
            </w:pPr>
            <w:r w:rsidRPr="00542EB9">
              <w:rPr>
                <w:rFonts w:ascii="Times New Roman" w:hAnsi="Times New Roman"/>
                <w:szCs w:val="22"/>
              </w:rPr>
              <w:t>The provision of short-term financing of essential continuation of activities</w:t>
            </w:r>
            <w:r w:rsidR="00416FCF" w:rsidRPr="00542EB9">
              <w:rPr>
                <w:rFonts w:ascii="Times New Roman" w:hAnsi="Times New Roman"/>
                <w:szCs w:val="22"/>
              </w:rPr>
              <w:t xml:space="preserve"> by making use of mechanisms allowed by the Financial Regulation (e.g., provisional provisions, pre-financing, derogations, partial payments, special instruments).</w:t>
            </w:r>
          </w:p>
        </w:tc>
      </w:tr>
      <w:bookmarkEnd w:id="53"/>
    </w:tbl>
    <w:p w14:paraId="733CB7B2" w14:textId="77777777" w:rsidR="00F47822" w:rsidRPr="00542EB9" w:rsidRDefault="00F47822" w:rsidP="00306B02">
      <w:pPr>
        <w:pStyle w:val="bullet1"/>
        <w:numPr>
          <w:ilvl w:val="0"/>
          <w:numId w:val="0"/>
        </w:numPr>
        <w:spacing w:before="0" w:after="0"/>
        <w:rPr>
          <w:rFonts w:ascii="Times New Roman" w:hAnsi="Times New Roman"/>
          <w:sz w:val="24"/>
        </w:rPr>
      </w:pPr>
    </w:p>
    <w:p w14:paraId="1CEC6D8F" w14:textId="528586B6" w:rsidR="009539E1" w:rsidRPr="00542EB9" w:rsidRDefault="2CEB5DE4" w:rsidP="00AB23AD">
      <w:pPr>
        <w:pStyle w:val="Heading1"/>
        <w:rPr>
          <w:noProof/>
        </w:rPr>
      </w:pPr>
      <w:bookmarkStart w:id="54" w:name="_Toc191909149"/>
      <w:bookmarkStart w:id="55" w:name="_Toc198549054"/>
      <w:r w:rsidRPr="00542EB9">
        <w:rPr>
          <w:noProof/>
        </w:rPr>
        <w:t>How do the options compare?</w:t>
      </w:r>
      <w:bookmarkEnd w:id="54"/>
      <w:bookmarkEnd w:id="55"/>
    </w:p>
    <w:p w14:paraId="0516B7A2" w14:textId="110E1716" w:rsidR="0011234E" w:rsidRPr="00542EB9" w:rsidRDefault="23368D2E" w:rsidP="0011234E">
      <w:pPr>
        <w:pStyle w:val="bullet1"/>
        <w:numPr>
          <w:ilvl w:val="0"/>
          <w:numId w:val="0"/>
        </w:numPr>
        <w:spacing w:after="0"/>
        <w:rPr>
          <w:rFonts w:ascii="Times New Roman" w:hAnsi="Times New Roman"/>
          <w:sz w:val="24"/>
        </w:rPr>
      </w:pPr>
      <w:r w:rsidRPr="00542EB9">
        <w:rPr>
          <w:rFonts w:ascii="Times New Roman" w:hAnsi="Times New Roman"/>
          <w:sz w:val="24"/>
        </w:rPr>
        <w:t xml:space="preserve">In this section, the options are compared and set against the </w:t>
      </w:r>
      <w:r w:rsidR="10E5EFE3" w:rsidRPr="00542EB9">
        <w:rPr>
          <w:rFonts w:ascii="Times New Roman" w:hAnsi="Times New Roman"/>
          <w:sz w:val="24"/>
        </w:rPr>
        <w:t xml:space="preserve">problem and problem drivers identified in </w:t>
      </w:r>
      <w:r w:rsidR="1E872903" w:rsidRPr="00542EB9">
        <w:rPr>
          <w:rFonts w:ascii="Times New Roman" w:hAnsi="Times New Roman"/>
          <w:sz w:val="24"/>
        </w:rPr>
        <w:t>the areas of the proposed programme.</w:t>
      </w:r>
      <w:r w:rsidR="273F794D" w:rsidRPr="00542EB9">
        <w:rPr>
          <w:rFonts w:ascii="Times New Roman" w:hAnsi="Times New Roman"/>
          <w:sz w:val="24"/>
        </w:rPr>
        <w:t xml:space="preserve"> </w:t>
      </w:r>
      <w:r w:rsidR="754BD547" w:rsidRPr="00542EB9">
        <w:rPr>
          <w:rFonts w:ascii="Times New Roman" w:hAnsi="Times New Roman"/>
          <w:sz w:val="24"/>
        </w:rPr>
        <w:t xml:space="preserve"> </w:t>
      </w:r>
      <w:r w:rsidR="0DACDF67" w:rsidRPr="00542EB9">
        <w:rPr>
          <w:rFonts w:ascii="Times New Roman" w:hAnsi="Times New Roman"/>
          <w:sz w:val="24"/>
        </w:rPr>
        <w:t>This section briefly illustrates how the options compare consisting in the cumulative financing available under the existing programmes in the current MFF</w:t>
      </w:r>
      <w:r w:rsidR="1B3CCAE7" w:rsidRPr="00542EB9">
        <w:rPr>
          <w:rFonts w:ascii="Times New Roman" w:hAnsi="Times New Roman"/>
          <w:sz w:val="24"/>
        </w:rPr>
        <w:t>.</w:t>
      </w:r>
      <w:r w:rsidR="38CF9D75" w:rsidRPr="00542EB9">
        <w:rPr>
          <w:rFonts w:ascii="Times New Roman" w:hAnsi="Times New Roman"/>
          <w:sz w:val="24"/>
        </w:rPr>
        <w:t xml:space="preserve"> </w:t>
      </w:r>
    </w:p>
    <w:p w14:paraId="46C2554C" w14:textId="3C21634C" w:rsidR="001F1895" w:rsidRPr="00542EB9" w:rsidRDefault="001F1895" w:rsidP="001A42FF">
      <w:pPr>
        <w:pStyle w:val="Text2"/>
        <w:ind w:left="0"/>
        <w:rPr>
          <w:noProof/>
        </w:rPr>
      </w:pPr>
      <w:bookmarkStart w:id="56" w:name="_Toc191909150"/>
      <w:r w:rsidRPr="00542EB9">
        <w:rPr>
          <w:noProof/>
        </w:rPr>
        <w:t>The following criteria would be applied to the analysis of the different policy options.</w:t>
      </w:r>
    </w:p>
    <w:tbl>
      <w:tblPr>
        <w:tblStyle w:val="DocumentTable1"/>
        <w:tblpPr w:topFromText="68" w:bottomFromText="68" w:vertAnchor="text" w:horzAnchor="margin" w:tblpY="200"/>
        <w:tblOverlap w:val="never"/>
        <w:tblW w:w="5000" w:type="pct"/>
        <w:tblCellSpacing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473"/>
        <w:gridCol w:w="7420"/>
      </w:tblGrid>
      <w:tr w:rsidR="00015977" w:rsidRPr="00542EB9" w14:paraId="425D0709" w14:textId="77777777" w:rsidTr="00D82FEB">
        <w:trPr>
          <w:cnfStyle w:val="100000000000" w:firstRow="1" w:lastRow="0" w:firstColumn="0" w:lastColumn="0" w:oddVBand="0" w:evenVBand="0" w:oddHBand="0" w:evenHBand="0" w:firstRowFirstColumn="0" w:firstRowLastColumn="0" w:lastRowFirstColumn="0" w:lastRowLastColumn="0"/>
          <w:trHeight w:val="275"/>
          <w:tblHeader/>
          <w:tblCellSpacing w:w="14" w:type="dxa"/>
        </w:trPr>
        <w:tc>
          <w:tcPr>
            <w:tcW w:w="0" w:type="pct"/>
            <w:shd w:val="clear" w:color="auto" w:fill="1F497D" w:themeFill="text2"/>
          </w:tcPr>
          <w:p w14:paraId="15E5A9CD" w14:textId="6C5D61CC" w:rsidR="00015977" w:rsidRPr="00542EB9" w:rsidRDefault="00CD40A2">
            <w:pPr>
              <w:tabs>
                <w:tab w:val="left" w:pos="990"/>
              </w:tabs>
              <w:spacing w:after="0"/>
              <w:jc w:val="center"/>
              <w:rPr>
                <w:b/>
                <w:noProof/>
                <w:sz w:val="22"/>
                <w:szCs w:val="22"/>
                <w:lang w:val="en-GB"/>
              </w:rPr>
            </w:pPr>
            <w:r w:rsidRPr="00542EB9">
              <w:rPr>
                <w:b/>
                <w:noProof/>
                <w:sz w:val="22"/>
                <w:szCs w:val="22"/>
              </w:rPr>
              <w:t>Criteria</w:t>
            </w:r>
          </w:p>
        </w:tc>
        <w:tc>
          <w:tcPr>
            <w:tcW w:w="3669" w:type="pct"/>
            <w:shd w:val="clear" w:color="auto" w:fill="1F497D" w:themeFill="text2"/>
          </w:tcPr>
          <w:p w14:paraId="26AFD3CC" w14:textId="488FF7C8" w:rsidR="00015977" w:rsidRPr="00542EB9" w:rsidRDefault="00CD40A2">
            <w:pPr>
              <w:tabs>
                <w:tab w:val="left" w:pos="990"/>
              </w:tabs>
              <w:spacing w:after="0"/>
              <w:jc w:val="center"/>
              <w:rPr>
                <w:b/>
                <w:noProof/>
                <w:sz w:val="22"/>
                <w:szCs w:val="22"/>
                <w:lang w:val="en-GB"/>
              </w:rPr>
            </w:pPr>
            <w:r w:rsidRPr="00542EB9">
              <w:rPr>
                <w:b/>
                <w:noProof/>
                <w:sz w:val="22"/>
                <w:szCs w:val="22"/>
              </w:rPr>
              <w:t>Type of benefit</w:t>
            </w:r>
          </w:p>
        </w:tc>
      </w:tr>
      <w:tr w:rsidR="00015977" w:rsidRPr="00542EB9" w14:paraId="42EAC86A" w14:textId="77777777" w:rsidTr="00D82FEB">
        <w:trPr>
          <w:tblCellSpacing w:w="14" w:type="dxa"/>
        </w:trPr>
        <w:tc>
          <w:tcPr>
            <w:tcW w:w="0" w:type="pct"/>
            <w:shd w:val="clear" w:color="auto" w:fill="FFFFFF" w:themeFill="background1"/>
            <w:vAlign w:val="center"/>
          </w:tcPr>
          <w:p w14:paraId="05E3BA84" w14:textId="77777777" w:rsidR="00015977" w:rsidRPr="00542EB9" w:rsidRDefault="00015977">
            <w:pPr>
              <w:spacing w:after="0"/>
              <w:jc w:val="left"/>
              <w:rPr>
                <w:noProof/>
                <w:sz w:val="22"/>
                <w:szCs w:val="22"/>
                <w:lang w:val="en-GB"/>
              </w:rPr>
            </w:pPr>
            <w:r w:rsidRPr="00542EB9">
              <w:rPr>
                <w:noProof/>
                <w:sz w:val="22"/>
                <w:szCs w:val="22"/>
              </w:rPr>
              <w:t>Effectiveness</w:t>
            </w:r>
          </w:p>
        </w:tc>
        <w:tc>
          <w:tcPr>
            <w:tcW w:w="3669" w:type="pct"/>
            <w:shd w:val="clear" w:color="auto" w:fill="FFFFFF" w:themeFill="background1"/>
          </w:tcPr>
          <w:p w14:paraId="0C77100E" w14:textId="4948D90F" w:rsidR="00015977" w:rsidRPr="00542EB9" w:rsidRDefault="003736D1" w:rsidP="00015977">
            <w:pPr>
              <w:numPr>
                <w:ilvl w:val="0"/>
                <w:numId w:val="89"/>
              </w:numPr>
              <w:spacing w:after="0"/>
              <w:ind w:left="300" w:hanging="284"/>
              <w:jc w:val="left"/>
              <w:rPr>
                <w:noProof/>
                <w:sz w:val="22"/>
                <w:szCs w:val="22"/>
                <w:lang w:val="en-GB"/>
              </w:rPr>
            </w:pPr>
            <w:r w:rsidRPr="00542EB9">
              <w:rPr>
                <w:noProof/>
                <w:sz w:val="22"/>
                <w:szCs w:val="22"/>
              </w:rPr>
              <w:t>Overall i</w:t>
            </w:r>
            <w:r w:rsidR="2814952E" w:rsidRPr="00542EB9">
              <w:rPr>
                <w:noProof/>
                <w:sz w:val="22"/>
                <w:szCs w:val="22"/>
              </w:rPr>
              <w:t>mpact</w:t>
            </w:r>
            <w:r w:rsidR="002056AF" w:rsidRPr="00542EB9">
              <w:rPr>
                <w:noProof/>
                <w:sz w:val="22"/>
                <w:szCs w:val="22"/>
              </w:rPr>
              <w:t>s</w:t>
            </w:r>
            <w:r w:rsidR="2814952E" w:rsidRPr="00542EB9">
              <w:rPr>
                <w:noProof/>
                <w:sz w:val="22"/>
                <w:szCs w:val="22"/>
              </w:rPr>
              <w:t xml:space="preserve"> </w:t>
            </w:r>
          </w:p>
          <w:p w14:paraId="4EAFA21B"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rPr>
              <w:t>Achievement of intended effects</w:t>
            </w:r>
          </w:p>
        </w:tc>
      </w:tr>
      <w:tr w:rsidR="00015977" w:rsidRPr="00542EB9" w14:paraId="0A307188" w14:textId="77777777" w:rsidTr="00D82FEB">
        <w:trPr>
          <w:tblCellSpacing w:w="14" w:type="dxa"/>
        </w:trPr>
        <w:tc>
          <w:tcPr>
            <w:tcW w:w="0" w:type="pct"/>
            <w:shd w:val="clear" w:color="auto" w:fill="FFFFFF" w:themeFill="background1"/>
            <w:vAlign w:val="center"/>
          </w:tcPr>
          <w:p w14:paraId="441765D8" w14:textId="77777777" w:rsidR="00015977" w:rsidRPr="00542EB9" w:rsidRDefault="00015977">
            <w:pPr>
              <w:spacing w:after="0"/>
              <w:jc w:val="left"/>
              <w:rPr>
                <w:noProof/>
                <w:sz w:val="22"/>
                <w:szCs w:val="22"/>
                <w:lang w:val="en-GB"/>
              </w:rPr>
            </w:pPr>
            <w:r w:rsidRPr="00542EB9">
              <w:rPr>
                <w:noProof/>
                <w:sz w:val="22"/>
                <w:szCs w:val="22"/>
              </w:rPr>
              <w:t>Efficiency</w:t>
            </w:r>
          </w:p>
          <w:p w14:paraId="50AAF96B" w14:textId="77777777" w:rsidR="00015977" w:rsidRPr="00542EB9" w:rsidRDefault="00015977">
            <w:pPr>
              <w:spacing w:after="0"/>
              <w:jc w:val="left"/>
              <w:rPr>
                <w:noProof/>
                <w:sz w:val="22"/>
                <w:szCs w:val="22"/>
                <w:lang w:val="en-GB"/>
              </w:rPr>
            </w:pPr>
          </w:p>
        </w:tc>
        <w:tc>
          <w:tcPr>
            <w:tcW w:w="3669" w:type="pct"/>
            <w:shd w:val="clear" w:color="auto" w:fill="FFFFFF" w:themeFill="background1"/>
          </w:tcPr>
          <w:p w14:paraId="4A2F5191"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rPr>
              <w:t>Achievement of design effects: flexibilities, synergies, simplifications</w:t>
            </w:r>
          </w:p>
          <w:p w14:paraId="1458FD66"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rPr>
              <w:t>Administrative costs for implementation bodies</w:t>
            </w:r>
          </w:p>
          <w:p w14:paraId="34FDDDBD" w14:textId="4EF33264"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lang w:val="en-US"/>
              </w:rPr>
              <w:t>Administrative burden for applicants, beneficiaries and participants</w:t>
            </w:r>
          </w:p>
        </w:tc>
      </w:tr>
      <w:tr w:rsidR="00015977" w:rsidRPr="00542EB9" w14:paraId="4259C256" w14:textId="77777777" w:rsidTr="00D82FEB">
        <w:trPr>
          <w:trHeight w:val="275"/>
          <w:tblCellSpacing w:w="14" w:type="dxa"/>
        </w:trPr>
        <w:tc>
          <w:tcPr>
            <w:tcW w:w="0" w:type="pct"/>
            <w:shd w:val="clear" w:color="auto" w:fill="FFFFFF" w:themeFill="background1"/>
            <w:vAlign w:val="center"/>
          </w:tcPr>
          <w:p w14:paraId="7F802806" w14:textId="77777777" w:rsidR="00015977" w:rsidRPr="00542EB9" w:rsidRDefault="00015977">
            <w:pPr>
              <w:spacing w:after="0"/>
              <w:jc w:val="left"/>
              <w:rPr>
                <w:noProof/>
                <w:sz w:val="22"/>
                <w:szCs w:val="22"/>
                <w:lang w:val="en-GB"/>
              </w:rPr>
            </w:pPr>
            <w:r w:rsidRPr="00542EB9">
              <w:rPr>
                <w:noProof/>
                <w:sz w:val="22"/>
                <w:szCs w:val="22"/>
              </w:rPr>
              <w:t>Coherence</w:t>
            </w:r>
          </w:p>
        </w:tc>
        <w:tc>
          <w:tcPr>
            <w:tcW w:w="3669" w:type="pct"/>
            <w:shd w:val="clear" w:color="auto" w:fill="FFFFFF" w:themeFill="background1"/>
          </w:tcPr>
          <w:p w14:paraId="728C622A"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lang w:val="en-US"/>
              </w:rPr>
              <w:t>Internal coherence between programme pillars/actions</w:t>
            </w:r>
          </w:p>
          <w:p w14:paraId="0E9EEC5B"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rPr>
              <w:t>Coherence with other EU programmes</w:t>
            </w:r>
          </w:p>
          <w:p w14:paraId="01DE25B8" w14:textId="77777777" w:rsidR="00015977" w:rsidRPr="00542EB9" w:rsidRDefault="00015977" w:rsidP="00015977">
            <w:pPr>
              <w:numPr>
                <w:ilvl w:val="0"/>
                <w:numId w:val="89"/>
              </w:numPr>
              <w:spacing w:after="0"/>
              <w:ind w:left="300" w:hanging="284"/>
              <w:jc w:val="left"/>
              <w:rPr>
                <w:noProof/>
                <w:sz w:val="22"/>
                <w:szCs w:val="22"/>
                <w:lang w:val="en-GB"/>
              </w:rPr>
            </w:pPr>
            <w:r w:rsidRPr="00542EB9">
              <w:rPr>
                <w:noProof/>
                <w:sz w:val="22"/>
                <w:szCs w:val="22"/>
                <w:lang w:val="en-US"/>
              </w:rPr>
              <w:t>Coherence with wider EU policies</w:t>
            </w:r>
          </w:p>
        </w:tc>
      </w:tr>
    </w:tbl>
    <w:p w14:paraId="7C2AFE2F" w14:textId="7D39667E" w:rsidR="00634B10" w:rsidRPr="00542EB9" w:rsidRDefault="00634B10" w:rsidP="00B26F84">
      <w:pPr>
        <w:pStyle w:val="Heading2"/>
        <w:rPr>
          <w:noProof/>
        </w:rPr>
      </w:pPr>
      <w:bookmarkStart w:id="57" w:name="_Toc198549055"/>
      <w:r w:rsidRPr="00542EB9">
        <w:rPr>
          <w:noProof/>
        </w:rPr>
        <w:t>Effectiveness</w:t>
      </w:r>
      <w:bookmarkEnd w:id="57"/>
    </w:p>
    <w:p w14:paraId="2E7CB3CA" w14:textId="2905856D" w:rsidR="00405760" w:rsidRPr="00542EB9" w:rsidRDefault="15EDD1A4" w:rsidP="00405760">
      <w:pPr>
        <w:rPr>
          <w:noProof/>
        </w:rPr>
      </w:pPr>
      <w:r w:rsidRPr="00542EB9">
        <w:rPr>
          <w:b/>
          <w:bCs/>
          <w:noProof/>
        </w:rPr>
        <w:t xml:space="preserve">The impact </w:t>
      </w:r>
      <w:r w:rsidR="00E81A2F" w:rsidRPr="00542EB9">
        <w:rPr>
          <w:b/>
          <w:bCs/>
          <w:noProof/>
        </w:rPr>
        <w:t>of the intervention</w:t>
      </w:r>
      <w:r w:rsidRPr="00542EB9">
        <w:rPr>
          <w:b/>
          <w:bCs/>
          <w:noProof/>
        </w:rPr>
        <w:t xml:space="preserve"> and achievement of intended effects</w:t>
      </w:r>
      <w:r w:rsidRPr="00542EB9">
        <w:rPr>
          <w:noProof/>
        </w:rPr>
        <w:t xml:space="preserve"> </w:t>
      </w:r>
      <w:r w:rsidR="0AE55D70" w:rsidRPr="00542EB9">
        <w:rPr>
          <w:noProof/>
        </w:rPr>
        <w:t>are in the baseline scenario the same a</w:t>
      </w:r>
      <w:r w:rsidR="27D502F7" w:rsidRPr="00542EB9">
        <w:rPr>
          <w:noProof/>
        </w:rPr>
        <w:t>s under the current programmes, albeit with incremental improvements.</w:t>
      </w:r>
    </w:p>
    <w:p w14:paraId="010A17EA" w14:textId="366413B4" w:rsidR="00405760" w:rsidRPr="00542EB9" w:rsidRDefault="00E45766" w:rsidP="00405760">
      <w:pPr>
        <w:rPr>
          <w:noProof/>
        </w:rPr>
      </w:pPr>
      <w:r w:rsidRPr="00542EB9">
        <w:rPr>
          <w:noProof/>
        </w:rPr>
        <w:t xml:space="preserve">For the </w:t>
      </w:r>
      <w:r w:rsidRPr="00542EB9">
        <w:rPr>
          <w:b/>
          <w:bCs/>
          <w:noProof/>
        </w:rPr>
        <w:t>integrated</w:t>
      </w:r>
      <w:r w:rsidRPr="00542EB9">
        <w:rPr>
          <w:noProof/>
        </w:rPr>
        <w:t xml:space="preserve"> scenario</w:t>
      </w:r>
      <w:r w:rsidR="003D3E92" w:rsidRPr="00542EB9">
        <w:rPr>
          <w:noProof/>
        </w:rPr>
        <w:t xml:space="preserve">, </w:t>
      </w:r>
      <w:r w:rsidR="00405760" w:rsidRPr="00542EB9">
        <w:rPr>
          <w:noProof/>
        </w:rPr>
        <w:t>additional flexibilities, synergies and simplifications enable additional, different or enhanced activities, e.g. better response to changing circumstances, joint activities.</w:t>
      </w:r>
    </w:p>
    <w:p w14:paraId="5D438029" w14:textId="2584AC6F" w:rsidR="002F3A76" w:rsidRPr="00542EB9" w:rsidRDefault="003D3E92" w:rsidP="00405760">
      <w:pPr>
        <w:rPr>
          <w:noProof/>
        </w:rPr>
      </w:pPr>
      <w:r w:rsidRPr="00542EB9">
        <w:rPr>
          <w:noProof/>
        </w:rPr>
        <w:t xml:space="preserve">In the </w:t>
      </w:r>
      <w:r w:rsidRPr="00542EB9">
        <w:rPr>
          <w:b/>
          <w:bCs/>
          <w:noProof/>
        </w:rPr>
        <w:t>unified</w:t>
      </w:r>
      <w:r w:rsidRPr="00542EB9">
        <w:rPr>
          <w:noProof/>
        </w:rPr>
        <w:t xml:space="preserve"> scenario, there’s a p</w:t>
      </w:r>
      <w:r w:rsidR="00405760" w:rsidRPr="00542EB9">
        <w:rPr>
          <w:noProof/>
        </w:rPr>
        <w:t>otential for greater impact on problem drivers and achievement of intended effects to the extent that additional flexibilities, synergies and simplifications enable additional, different or enhanced activities</w:t>
      </w:r>
      <w:r w:rsidR="003752A2" w:rsidRPr="00542EB9">
        <w:rPr>
          <w:noProof/>
        </w:rPr>
        <w:t xml:space="preserve"> and </w:t>
      </w:r>
      <w:r w:rsidR="00405760" w:rsidRPr="00542EB9">
        <w:rPr>
          <w:noProof/>
        </w:rPr>
        <w:t>horizontal activities prove effective.</w:t>
      </w:r>
      <w:r w:rsidR="003752A2" w:rsidRPr="00542EB9">
        <w:rPr>
          <w:noProof/>
        </w:rPr>
        <w:t xml:space="preserve"> </w:t>
      </w:r>
      <w:r w:rsidR="002F3A76" w:rsidRPr="00542EB9">
        <w:rPr>
          <w:noProof/>
        </w:rPr>
        <w:t xml:space="preserve">In relation to the </w:t>
      </w:r>
      <w:r w:rsidR="002F3A76" w:rsidRPr="00542EB9">
        <w:rPr>
          <w:b/>
          <w:bCs/>
          <w:noProof/>
        </w:rPr>
        <w:t>knowledge and data gaps and other barriers for authorities</w:t>
      </w:r>
      <w:r w:rsidR="002F3A76" w:rsidRPr="00542EB9">
        <w:rPr>
          <w:noProof/>
        </w:rPr>
        <w:t xml:space="preserve">, consumers and businesses, the unified scenario could deliver the strongest impact by supplying broad, cross-cutting information and advisory support spanning every policy area. Regarding the </w:t>
      </w:r>
      <w:r w:rsidR="002F3A76" w:rsidRPr="00542EB9">
        <w:rPr>
          <w:b/>
          <w:bCs/>
          <w:noProof/>
        </w:rPr>
        <w:t>need for capacity building, administrative and operational cooperation</w:t>
      </w:r>
      <w:r w:rsidR="002F3A76" w:rsidRPr="00542EB9">
        <w:rPr>
          <w:noProof/>
        </w:rPr>
        <w:t xml:space="preserve"> and integration, it could create new opportunities to deliver overarching support to national administrations, strengthening capacity across various policy domains, e.g. via consistent technical assistance to networks of national authorities, or training to support national authorities. As for the </w:t>
      </w:r>
      <w:r w:rsidR="002F3A76" w:rsidRPr="00542EB9">
        <w:rPr>
          <w:b/>
          <w:bCs/>
          <w:noProof/>
        </w:rPr>
        <w:t>effective rulemaking, standard-setting, and enforcement</w:t>
      </w:r>
      <w:r w:rsidR="002F3A76" w:rsidRPr="00542EB9">
        <w:rPr>
          <w:noProof/>
        </w:rPr>
        <w:t>, while the other scenario entail</w:t>
      </w:r>
      <w:r w:rsidR="006F70A4" w:rsidRPr="00542EB9">
        <w:rPr>
          <w:noProof/>
        </w:rPr>
        <w:t>s</w:t>
      </w:r>
      <w:r w:rsidR="002F3A76" w:rsidRPr="00542EB9">
        <w:rPr>
          <w:noProof/>
        </w:rPr>
        <w:t xml:space="preserve"> the risk to maintain a siloed approach, the unified scenario would open the possibility for new horizontal activities cutting across all policy areas. </w:t>
      </w:r>
    </w:p>
    <w:p w14:paraId="47F1FA81" w14:textId="650D24F1" w:rsidR="007D3E66" w:rsidRPr="00542EB9" w:rsidRDefault="00EA1111" w:rsidP="00405760">
      <w:pPr>
        <w:rPr>
          <w:noProof/>
        </w:rPr>
      </w:pPr>
      <w:r w:rsidRPr="00542EB9">
        <w:rPr>
          <w:noProof/>
        </w:rPr>
        <w:t xml:space="preserve">Although </w:t>
      </w:r>
      <w:r w:rsidR="007904D1" w:rsidRPr="00542EB9">
        <w:rPr>
          <w:noProof/>
        </w:rPr>
        <w:t>there is a</w:t>
      </w:r>
      <w:r w:rsidRPr="00542EB9">
        <w:rPr>
          <w:noProof/>
        </w:rPr>
        <w:t xml:space="preserve"> </w:t>
      </w:r>
      <w:r w:rsidR="00405760" w:rsidRPr="00542EB9">
        <w:rPr>
          <w:noProof/>
        </w:rPr>
        <w:t xml:space="preserve">challenge </w:t>
      </w:r>
      <w:r w:rsidR="00AE62B3" w:rsidRPr="00542EB9">
        <w:rPr>
          <w:noProof/>
        </w:rPr>
        <w:t xml:space="preserve">to face the extra administrative complexity </w:t>
      </w:r>
      <w:r w:rsidR="00DB309B" w:rsidRPr="00542EB9">
        <w:rPr>
          <w:noProof/>
        </w:rPr>
        <w:t>due to a more ambitious management and governance model</w:t>
      </w:r>
      <w:r w:rsidR="00405760" w:rsidRPr="00542EB9">
        <w:rPr>
          <w:noProof/>
        </w:rPr>
        <w:t xml:space="preserve"> (see “Efficiency” </w:t>
      </w:r>
      <w:r w:rsidR="008413E9" w:rsidRPr="00542EB9">
        <w:rPr>
          <w:noProof/>
        </w:rPr>
        <w:t>below</w:t>
      </w:r>
      <w:r w:rsidR="00405760" w:rsidRPr="00542EB9">
        <w:rPr>
          <w:noProof/>
        </w:rPr>
        <w:t>”)</w:t>
      </w:r>
      <w:r w:rsidR="00DC0E8D" w:rsidRPr="00542EB9">
        <w:rPr>
          <w:noProof/>
        </w:rPr>
        <w:t xml:space="preserve">, the unified scenario has the merit </w:t>
      </w:r>
      <w:r w:rsidR="001D4272" w:rsidRPr="00542EB9">
        <w:rPr>
          <w:noProof/>
        </w:rPr>
        <w:t xml:space="preserve">of a solid </w:t>
      </w:r>
      <w:r w:rsidR="004A7DD7" w:rsidRPr="00542EB9">
        <w:rPr>
          <w:noProof/>
        </w:rPr>
        <w:t>framework</w:t>
      </w:r>
      <w:r w:rsidR="001D4272" w:rsidRPr="00542EB9">
        <w:rPr>
          <w:noProof/>
        </w:rPr>
        <w:t xml:space="preserve"> </w:t>
      </w:r>
      <w:r w:rsidR="00C7082B" w:rsidRPr="00542EB9">
        <w:rPr>
          <w:noProof/>
        </w:rPr>
        <w:t>offering simplified and</w:t>
      </w:r>
      <w:r w:rsidR="005F35F3" w:rsidRPr="00542EB9">
        <w:rPr>
          <w:noProof/>
        </w:rPr>
        <w:t xml:space="preserve"> streamlined processes, </w:t>
      </w:r>
      <w:r w:rsidR="00276C11" w:rsidRPr="00542EB9">
        <w:rPr>
          <w:noProof/>
        </w:rPr>
        <w:t>cross policy synergies</w:t>
      </w:r>
      <w:r w:rsidR="00C167F1" w:rsidRPr="00542EB9">
        <w:rPr>
          <w:noProof/>
        </w:rPr>
        <w:t>, integrated digital tool</w:t>
      </w:r>
      <w:r w:rsidR="00DC6EEB" w:rsidRPr="00542EB9">
        <w:rPr>
          <w:noProof/>
        </w:rPr>
        <w:t>s for a</w:t>
      </w:r>
      <w:r w:rsidR="00556D92" w:rsidRPr="00542EB9">
        <w:rPr>
          <w:noProof/>
        </w:rPr>
        <w:t>ccess</w:t>
      </w:r>
      <w:r w:rsidR="00DC6EEB" w:rsidRPr="00542EB9">
        <w:rPr>
          <w:noProof/>
        </w:rPr>
        <w:t xml:space="preserve"> to funding</w:t>
      </w:r>
      <w:r w:rsidR="006332C6" w:rsidRPr="00542EB9">
        <w:rPr>
          <w:noProof/>
        </w:rPr>
        <w:t xml:space="preserve">, </w:t>
      </w:r>
      <w:r w:rsidR="00CA4896" w:rsidRPr="00542EB9">
        <w:rPr>
          <w:noProof/>
        </w:rPr>
        <w:t>effective</w:t>
      </w:r>
      <w:r w:rsidR="00CD7400" w:rsidRPr="00542EB9">
        <w:rPr>
          <w:noProof/>
        </w:rPr>
        <w:t xml:space="preserve"> </w:t>
      </w:r>
      <w:r w:rsidR="00397014" w:rsidRPr="00542EB9">
        <w:rPr>
          <w:noProof/>
        </w:rPr>
        <w:t xml:space="preserve">and agile programme </w:t>
      </w:r>
      <w:r w:rsidR="00CD7400" w:rsidRPr="00542EB9">
        <w:rPr>
          <w:noProof/>
        </w:rPr>
        <w:t xml:space="preserve">implementation </w:t>
      </w:r>
      <w:r w:rsidR="00DC6EEB" w:rsidRPr="00542EB9">
        <w:rPr>
          <w:noProof/>
        </w:rPr>
        <w:t>and reporting</w:t>
      </w:r>
      <w:r w:rsidR="00CA4896" w:rsidRPr="00542EB9">
        <w:rPr>
          <w:noProof/>
        </w:rPr>
        <w:t xml:space="preserve"> </w:t>
      </w:r>
      <w:r w:rsidR="00397014" w:rsidRPr="00542EB9">
        <w:rPr>
          <w:noProof/>
        </w:rPr>
        <w:t>for</w:t>
      </w:r>
      <w:r w:rsidR="00CA4896" w:rsidRPr="00542EB9">
        <w:rPr>
          <w:noProof/>
        </w:rPr>
        <w:t xml:space="preserve"> all</w:t>
      </w:r>
      <w:r w:rsidR="00C51D98" w:rsidRPr="00542EB9">
        <w:rPr>
          <w:noProof/>
        </w:rPr>
        <w:t xml:space="preserve"> policy </w:t>
      </w:r>
      <w:r w:rsidR="00397014" w:rsidRPr="00542EB9">
        <w:rPr>
          <w:noProof/>
        </w:rPr>
        <w:t>area</w:t>
      </w:r>
      <w:r w:rsidR="00CA4896" w:rsidRPr="00542EB9">
        <w:rPr>
          <w:noProof/>
        </w:rPr>
        <w:t>s</w:t>
      </w:r>
      <w:r w:rsidR="00405760" w:rsidRPr="00542EB9">
        <w:rPr>
          <w:noProof/>
        </w:rPr>
        <w:t>.</w:t>
      </w:r>
      <w:r w:rsidR="00155A4E" w:rsidRPr="00542EB9">
        <w:rPr>
          <w:noProof/>
        </w:rPr>
        <w:t xml:space="preserve"> </w:t>
      </w:r>
    </w:p>
    <w:p w14:paraId="5B4E94B6" w14:textId="3ADFE207" w:rsidR="00634B10" w:rsidRPr="00542EB9" w:rsidRDefault="6D8B637B" w:rsidP="00B26F84">
      <w:pPr>
        <w:pStyle w:val="Heading2"/>
        <w:rPr>
          <w:noProof/>
        </w:rPr>
      </w:pPr>
      <w:bookmarkStart w:id="58" w:name="_Toc198549056"/>
      <w:r w:rsidRPr="00542EB9">
        <w:rPr>
          <w:noProof/>
        </w:rPr>
        <w:t>Efficiency</w:t>
      </w:r>
      <w:bookmarkEnd w:id="58"/>
    </w:p>
    <w:p w14:paraId="7E391E8A" w14:textId="6AE21EEB" w:rsidR="00F50162" w:rsidRPr="00542EB9" w:rsidRDefault="006874EA" w:rsidP="00F50162">
      <w:pPr>
        <w:rPr>
          <w:noProof/>
        </w:rPr>
      </w:pPr>
      <w:r w:rsidRPr="00542EB9">
        <w:rPr>
          <w:noProof/>
        </w:rPr>
        <w:t>Regarding</w:t>
      </w:r>
      <w:r w:rsidR="00F50162" w:rsidRPr="00542EB9">
        <w:rPr>
          <w:noProof/>
        </w:rPr>
        <w:t xml:space="preserve"> the </w:t>
      </w:r>
      <w:r w:rsidR="00F50162" w:rsidRPr="00542EB9">
        <w:rPr>
          <w:b/>
          <w:bCs/>
          <w:noProof/>
        </w:rPr>
        <w:t>achievement of design effects</w:t>
      </w:r>
      <w:r w:rsidR="007A6FF1" w:rsidRPr="00542EB9">
        <w:rPr>
          <w:noProof/>
        </w:rPr>
        <w:t>, the baseline has limited</w:t>
      </w:r>
      <w:r w:rsidR="00F50162" w:rsidRPr="00542EB9">
        <w:rPr>
          <w:noProof/>
        </w:rPr>
        <w:t xml:space="preserve"> flexibilities, synergies, simplifications</w:t>
      </w:r>
      <w:r w:rsidR="00D94003" w:rsidRPr="00542EB9">
        <w:rPr>
          <w:noProof/>
        </w:rPr>
        <w:t xml:space="preserve">. </w:t>
      </w:r>
    </w:p>
    <w:p w14:paraId="1FFD03FC" w14:textId="7E47A4CD" w:rsidR="00F50162" w:rsidRPr="00542EB9" w:rsidRDefault="00D94003" w:rsidP="00F50162">
      <w:pPr>
        <w:rPr>
          <w:noProof/>
        </w:rPr>
      </w:pPr>
      <w:r w:rsidRPr="00542EB9">
        <w:rPr>
          <w:noProof/>
        </w:rPr>
        <w:t>A</w:t>
      </w:r>
      <w:r w:rsidR="00AB3184" w:rsidRPr="00542EB9">
        <w:rPr>
          <w:noProof/>
        </w:rPr>
        <w:t xml:space="preserve">s </w:t>
      </w:r>
      <w:r w:rsidR="00E619A6" w:rsidRPr="00542EB9">
        <w:rPr>
          <w:noProof/>
        </w:rPr>
        <w:t>shown by the interim evaluation of the SMP,</w:t>
      </w:r>
      <w:r w:rsidRPr="00542EB9">
        <w:rPr>
          <w:noProof/>
        </w:rPr>
        <w:t xml:space="preserve"> limited p</w:t>
      </w:r>
      <w:r w:rsidR="00F50162" w:rsidRPr="00542EB9">
        <w:rPr>
          <w:noProof/>
        </w:rPr>
        <w:t xml:space="preserve">otential for increased flexibilities, synergies, simplifications </w:t>
      </w:r>
      <w:r w:rsidRPr="00542EB9">
        <w:rPr>
          <w:noProof/>
        </w:rPr>
        <w:t>can be seen in</w:t>
      </w:r>
      <w:r w:rsidRPr="00542EB9">
        <w:rPr>
          <w:b/>
          <w:bCs/>
          <w:noProof/>
        </w:rPr>
        <w:t xml:space="preserve"> </w:t>
      </w:r>
      <w:r w:rsidR="00843E64" w:rsidRPr="00542EB9">
        <w:rPr>
          <w:b/>
          <w:bCs/>
          <w:noProof/>
        </w:rPr>
        <w:t>i</w:t>
      </w:r>
      <w:r w:rsidR="00F50162" w:rsidRPr="00542EB9">
        <w:rPr>
          <w:b/>
          <w:bCs/>
          <w:noProof/>
        </w:rPr>
        <w:t>ntegrated</w:t>
      </w:r>
      <w:r w:rsidR="00F50162" w:rsidRPr="00542EB9">
        <w:rPr>
          <w:noProof/>
        </w:rPr>
        <w:t xml:space="preserve"> programme </w:t>
      </w:r>
      <w:r w:rsidR="005A3EEE" w:rsidRPr="00542EB9">
        <w:rPr>
          <w:noProof/>
        </w:rPr>
        <w:t xml:space="preserve">unless </w:t>
      </w:r>
      <w:r w:rsidR="00F50162" w:rsidRPr="00542EB9">
        <w:rPr>
          <w:noProof/>
        </w:rPr>
        <w:t>specific budget is allocated to joint activities</w:t>
      </w:r>
      <w:r w:rsidR="00102C5A" w:rsidRPr="00542EB9">
        <w:rPr>
          <w:noProof/>
        </w:rPr>
        <w:t>. A r</w:t>
      </w:r>
      <w:r w:rsidR="00F50162" w:rsidRPr="00542EB9">
        <w:rPr>
          <w:noProof/>
        </w:rPr>
        <w:t xml:space="preserve">isk of delays </w:t>
      </w:r>
      <w:r w:rsidR="00102C5A" w:rsidRPr="00542EB9">
        <w:rPr>
          <w:noProof/>
        </w:rPr>
        <w:t>remain</w:t>
      </w:r>
      <w:r w:rsidR="00B20226" w:rsidRPr="00542EB9">
        <w:rPr>
          <w:noProof/>
        </w:rPr>
        <w:t>s</w:t>
      </w:r>
      <w:r w:rsidR="00102C5A" w:rsidRPr="00542EB9">
        <w:rPr>
          <w:noProof/>
        </w:rPr>
        <w:t xml:space="preserve"> </w:t>
      </w:r>
      <w:r w:rsidR="00F50162" w:rsidRPr="00542EB9">
        <w:rPr>
          <w:noProof/>
        </w:rPr>
        <w:t>in adopting the</w:t>
      </w:r>
      <w:r w:rsidR="00102C5A" w:rsidRPr="00542EB9">
        <w:rPr>
          <w:noProof/>
        </w:rPr>
        <w:t xml:space="preserve"> financing decisions or </w:t>
      </w:r>
      <w:r w:rsidR="00F50162" w:rsidRPr="00542EB9">
        <w:rPr>
          <w:noProof/>
        </w:rPr>
        <w:t>gaining approval of work programmes, etc.</w:t>
      </w:r>
    </w:p>
    <w:p w14:paraId="5465EB5F" w14:textId="444F1E0C" w:rsidR="008413E9" w:rsidRPr="00542EB9" w:rsidRDefault="00D06D0F" w:rsidP="001A42FF">
      <w:pPr>
        <w:rPr>
          <w:noProof/>
        </w:rPr>
      </w:pPr>
      <w:r w:rsidRPr="00542EB9">
        <w:rPr>
          <w:noProof/>
        </w:rPr>
        <w:t xml:space="preserve">The </w:t>
      </w:r>
      <w:r w:rsidRPr="00542EB9">
        <w:rPr>
          <w:b/>
          <w:bCs/>
          <w:noProof/>
        </w:rPr>
        <w:t>unified</w:t>
      </w:r>
      <w:r w:rsidRPr="00542EB9">
        <w:rPr>
          <w:noProof/>
        </w:rPr>
        <w:t xml:space="preserve"> option has a p</w:t>
      </w:r>
      <w:r w:rsidR="00F50162" w:rsidRPr="00542EB9">
        <w:rPr>
          <w:noProof/>
        </w:rPr>
        <w:t xml:space="preserve">otential for increased </w:t>
      </w:r>
      <w:r w:rsidR="00F50162" w:rsidRPr="00542EB9">
        <w:rPr>
          <w:b/>
          <w:bCs/>
          <w:noProof/>
        </w:rPr>
        <w:t>flexibilities, synergies, simplifications</w:t>
      </w:r>
      <w:r w:rsidR="00F50162" w:rsidRPr="00542EB9">
        <w:rPr>
          <w:noProof/>
        </w:rPr>
        <w:t>, particularly where specific budget is allocated to horizontal activities and programme design enables joint procurement, etc.</w:t>
      </w:r>
      <w:r w:rsidRPr="00542EB9">
        <w:rPr>
          <w:noProof/>
        </w:rPr>
        <w:t xml:space="preserve"> still considering a r</w:t>
      </w:r>
      <w:r w:rsidR="00F50162" w:rsidRPr="00542EB9">
        <w:rPr>
          <w:noProof/>
        </w:rPr>
        <w:t>isk of duplication/confusion, e.g. between p</w:t>
      </w:r>
      <w:r w:rsidRPr="00542EB9">
        <w:rPr>
          <w:noProof/>
        </w:rPr>
        <w:t xml:space="preserve">olicy </w:t>
      </w:r>
      <w:r w:rsidR="00F50162" w:rsidRPr="00542EB9">
        <w:rPr>
          <w:noProof/>
        </w:rPr>
        <w:t>specific activities and horizontal activities</w:t>
      </w:r>
      <w:r w:rsidRPr="00542EB9">
        <w:rPr>
          <w:noProof/>
        </w:rPr>
        <w:t xml:space="preserve"> and a risk of </w:t>
      </w:r>
      <w:r w:rsidR="00F50162" w:rsidRPr="00542EB9">
        <w:rPr>
          <w:noProof/>
        </w:rPr>
        <w:t>inflexibilities</w:t>
      </w:r>
      <w:r w:rsidR="00F54EBA" w:rsidRPr="00542EB9">
        <w:rPr>
          <w:noProof/>
        </w:rPr>
        <w:t xml:space="preserve"> </w:t>
      </w:r>
      <w:r w:rsidR="00F50162" w:rsidRPr="00542EB9">
        <w:rPr>
          <w:noProof/>
        </w:rPr>
        <w:t xml:space="preserve">if rigid rules or funding rates </w:t>
      </w:r>
      <w:r w:rsidR="00F54EBA" w:rsidRPr="00542EB9">
        <w:rPr>
          <w:noProof/>
        </w:rPr>
        <w:t xml:space="preserve">are </w:t>
      </w:r>
      <w:r w:rsidR="00F50162" w:rsidRPr="00542EB9">
        <w:rPr>
          <w:noProof/>
        </w:rPr>
        <w:t>not appropriate to all policy areas</w:t>
      </w:r>
      <w:r w:rsidR="00F54EBA" w:rsidRPr="00542EB9">
        <w:rPr>
          <w:noProof/>
        </w:rPr>
        <w:t>.</w:t>
      </w:r>
      <w:r w:rsidR="008755AE" w:rsidRPr="00542EB9">
        <w:rPr>
          <w:noProof/>
        </w:rPr>
        <w:t xml:space="preserve"> </w:t>
      </w:r>
      <w:r w:rsidR="00532D66" w:rsidRPr="00542EB9">
        <w:rPr>
          <w:noProof/>
        </w:rPr>
        <w:t xml:space="preserve">With the </w:t>
      </w:r>
      <w:r w:rsidR="009755D9" w:rsidRPr="00542EB9">
        <w:rPr>
          <w:noProof/>
        </w:rPr>
        <w:t xml:space="preserve">implementation of </w:t>
      </w:r>
      <w:r w:rsidR="00E2171A" w:rsidRPr="00542EB9">
        <w:rPr>
          <w:noProof/>
        </w:rPr>
        <w:t xml:space="preserve">relevant mitigating measures to address </w:t>
      </w:r>
      <w:r w:rsidR="001F32F5" w:rsidRPr="00542EB9">
        <w:rPr>
          <w:noProof/>
        </w:rPr>
        <w:t xml:space="preserve">these risks, </w:t>
      </w:r>
      <w:r w:rsidR="00CF45DA" w:rsidRPr="00542EB9">
        <w:rPr>
          <w:noProof/>
        </w:rPr>
        <w:t>t</w:t>
      </w:r>
      <w:r w:rsidR="00CC2B74" w:rsidRPr="00542EB9">
        <w:rPr>
          <w:noProof/>
        </w:rPr>
        <w:t>his scenario would provide a</w:t>
      </w:r>
      <w:r w:rsidR="00001E82" w:rsidRPr="00542EB9">
        <w:rPr>
          <w:noProof/>
        </w:rPr>
        <w:t xml:space="preserve"> highly</w:t>
      </w:r>
      <w:r w:rsidR="00CC2B74" w:rsidRPr="00542EB9">
        <w:rPr>
          <w:noProof/>
        </w:rPr>
        <w:t xml:space="preserve"> adaptable programme framewo</w:t>
      </w:r>
      <w:r w:rsidR="00896A24" w:rsidRPr="00542EB9">
        <w:rPr>
          <w:noProof/>
        </w:rPr>
        <w:t>rk with a built-in capacity for change to evolving</w:t>
      </w:r>
      <w:r w:rsidR="0093777C" w:rsidRPr="00542EB9">
        <w:rPr>
          <w:noProof/>
        </w:rPr>
        <w:t xml:space="preserve"> needs</w:t>
      </w:r>
      <w:r w:rsidR="00EC1050" w:rsidRPr="00542EB9">
        <w:rPr>
          <w:noProof/>
        </w:rPr>
        <w:t>, establishing a system</w:t>
      </w:r>
      <w:r w:rsidR="009C090A" w:rsidRPr="00542EB9">
        <w:rPr>
          <w:noProof/>
        </w:rPr>
        <w:t xml:space="preserve"> with cross-policy </w:t>
      </w:r>
      <w:r w:rsidR="001D1873" w:rsidRPr="00542EB9">
        <w:rPr>
          <w:noProof/>
        </w:rPr>
        <w:t>synergies an</w:t>
      </w:r>
      <w:r w:rsidR="001E611A" w:rsidRPr="00542EB9">
        <w:rPr>
          <w:noProof/>
        </w:rPr>
        <w:t>d a flexible budget reallocation.</w:t>
      </w:r>
    </w:p>
    <w:p w14:paraId="4F4138C8" w14:textId="2C4994B8" w:rsidR="00843E64" w:rsidRPr="00542EB9" w:rsidRDefault="007E4429" w:rsidP="00843E64">
      <w:pPr>
        <w:rPr>
          <w:noProof/>
        </w:rPr>
      </w:pPr>
      <w:r w:rsidRPr="00542EB9">
        <w:rPr>
          <w:noProof/>
        </w:rPr>
        <w:t>Potential savings may be made in</w:t>
      </w:r>
      <w:r w:rsidRPr="00542EB9">
        <w:rPr>
          <w:b/>
          <w:bCs/>
          <w:noProof/>
        </w:rPr>
        <w:t xml:space="preserve"> a</w:t>
      </w:r>
      <w:r w:rsidR="00843E64" w:rsidRPr="00542EB9">
        <w:rPr>
          <w:b/>
          <w:bCs/>
          <w:noProof/>
        </w:rPr>
        <w:t>dministrative costs for implementation bodies</w:t>
      </w:r>
      <w:r w:rsidR="008A4BD7" w:rsidRPr="00542EB9">
        <w:rPr>
          <w:b/>
          <w:bCs/>
          <w:noProof/>
        </w:rPr>
        <w:t xml:space="preserve"> </w:t>
      </w:r>
      <w:r w:rsidRPr="00542EB9">
        <w:rPr>
          <w:noProof/>
        </w:rPr>
        <w:t>in both options</w:t>
      </w:r>
      <w:r w:rsidR="00527145" w:rsidRPr="00542EB9">
        <w:rPr>
          <w:noProof/>
        </w:rPr>
        <w:t xml:space="preserve">, as in </w:t>
      </w:r>
      <w:r w:rsidR="00843E64" w:rsidRPr="00542EB9">
        <w:rPr>
          <w:noProof/>
        </w:rPr>
        <w:t>programme development and management costs to the extent that duplication across previously separate programmes is reduced, for example, through having a single legislative procedure for the previously separate programmes and budget lines or streamlining arrangements for audit, evaluation, etc.</w:t>
      </w:r>
      <w:r w:rsidR="002D6323" w:rsidRPr="00542EB9">
        <w:rPr>
          <w:noProof/>
        </w:rPr>
        <w:t xml:space="preserve"> </w:t>
      </w:r>
      <w:r w:rsidR="00843E64" w:rsidRPr="00542EB9">
        <w:rPr>
          <w:noProof/>
        </w:rPr>
        <w:t>Potential administrative savings might be made through joint activities financed by a dedicated budget line</w:t>
      </w:r>
      <w:r w:rsidR="002D6323" w:rsidRPr="00542EB9">
        <w:rPr>
          <w:noProof/>
        </w:rPr>
        <w:t xml:space="preserve">. However, risks are to be noted in </w:t>
      </w:r>
      <w:r w:rsidR="00582A18" w:rsidRPr="00542EB9">
        <w:rPr>
          <w:noProof/>
        </w:rPr>
        <w:t xml:space="preserve">the possibility of </w:t>
      </w:r>
      <w:r w:rsidR="00843E64" w:rsidRPr="00542EB9">
        <w:rPr>
          <w:noProof/>
        </w:rPr>
        <w:t>additional longer time to develop and adopt the programme regulation</w:t>
      </w:r>
      <w:r w:rsidR="00582A18" w:rsidRPr="00542EB9">
        <w:rPr>
          <w:noProof/>
        </w:rPr>
        <w:t xml:space="preserve">, </w:t>
      </w:r>
      <w:r w:rsidR="00843E64" w:rsidRPr="00542EB9">
        <w:rPr>
          <w:noProof/>
        </w:rPr>
        <w:t xml:space="preserve">adjustment and adaptation costs in setting up new </w:t>
      </w:r>
      <w:r w:rsidR="003C3318" w:rsidRPr="00542EB9">
        <w:rPr>
          <w:noProof/>
        </w:rPr>
        <w:t>governance mode</w:t>
      </w:r>
      <w:r w:rsidR="001D7069" w:rsidRPr="00542EB9">
        <w:rPr>
          <w:noProof/>
        </w:rPr>
        <w:t>l (</w:t>
      </w:r>
      <w:r w:rsidR="00843E64" w:rsidRPr="00542EB9">
        <w:rPr>
          <w:noProof/>
        </w:rPr>
        <w:t>programme management</w:t>
      </w:r>
      <w:r w:rsidR="001D7069" w:rsidRPr="00542EB9">
        <w:rPr>
          <w:noProof/>
        </w:rPr>
        <w:t>,</w:t>
      </w:r>
      <w:r w:rsidR="00843E64" w:rsidRPr="00542EB9">
        <w:rPr>
          <w:noProof/>
        </w:rPr>
        <w:t xml:space="preserve"> administration arrangements</w:t>
      </w:r>
      <w:r w:rsidR="00744BF9" w:rsidRPr="00542EB9">
        <w:rPr>
          <w:noProof/>
        </w:rPr>
        <w:t>)</w:t>
      </w:r>
      <w:r w:rsidR="00843E64" w:rsidRPr="00542EB9">
        <w:rPr>
          <w:noProof/>
        </w:rPr>
        <w:t xml:space="preserve"> to the extent that </w:t>
      </w:r>
      <w:r w:rsidR="009F48D3" w:rsidRPr="00542EB9">
        <w:rPr>
          <w:noProof/>
        </w:rPr>
        <w:t>specific</w:t>
      </w:r>
      <w:r w:rsidR="00843E64" w:rsidRPr="00542EB9">
        <w:rPr>
          <w:noProof/>
        </w:rPr>
        <w:t xml:space="preserve"> </w:t>
      </w:r>
      <w:r w:rsidR="00D21681" w:rsidRPr="00542EB9">
        <w:rPr>
          <w:noProof/>
        </w:rPr>
        <w:t>coordination and reporting</w:t>
      </w:r>
      <w:r w:rsidR="00843E64" w:rsidRPr="00542EB9">
        <w:rPr>
          <w:noProof/>
        </w:rPr>
        <w:t xml:space="preserve"> is required </w:t>
      </w:r>
      <w:r w:rsidR="00D21681" w:rsidRPr="00542EB9">
        <w:rPr>
          <w:noProof/>
        </w:rPr>
        <w:t>within the programme and at</w:t>
      </w:r>
      <w:r w:rsidR="00843E64" w:rsidRPr="00542EB9">
        <w:rPr>
          <w:noProof/>
        </w:rPr>
        <w:t xml:space="preserve"> programme level</w:t>
      </w:r>
      <w:r w:rsidR="00E048EE" w:rsidRPr="00542EB9">
        <w:rPr>
          <w:noProof/>
        </w:rPr>
        <w:t>.</w:t>
      </w:r>
    </w:p>
    <w:p w14:paraId="1005ED29" w14:textId="22077CCA" w:rsidR="008413E9" w:rsidRPr="00542EB9" w:rsidRDefault="00E048EE" w:rsidP="00843E64">
      <w:pPr>
        <w:rPr>
          <w:noProof/>
        </w:rPr>
      </w:pPr>
      <w:r w:rsidRPr="00542EB9">
        <w:rPr>
          <w:noProof/>
        </w:rPr>
        <w:t xml:space="preserve">The </w:t>
      </w:r>
      <w:r w:rsidRPr="00542EB9">
        <w:rPr>
          <w:b/>
          <w:bCs/>
          <w:noProof/>
        </w:rPr>
        <w:t>unified scenario</w:t>
      </w:r>
      <w:r w:rsidRPr="00542EB9">
        <w:rPr>
          <w:noProof/>
        </w:rPr>
        <w:t xml:space="preserve"> could offer an opportunity </w:t>
      </w:r>
      <w:r w:rsidR="00843E64" w:rsidRPr="00542EB9">
        <w:rPr>
          <w:noProof/>
        </w:rPr>
        <w:t>for savings from common templates and streamlined requirements for work programmes, annual management plans, annual activity reports, Commission Implementing Decisions, etc.</w:t>
      </w:r>
      <w:r w:rsidRPr="00542EB9">
        <w:rPr>
          <w:noProof/>
        </w:rPr>
        <w:t xml:space="preserve">, </w:t>
      </w:r>
      <w:r w:rsidR="00843E64" w:rsidRPr="00542EB9">
        <w:rPr>
          <w:noProof/>
        </w:rPr>
        <w:t>savings from centralised procurement</w:t>
      </w:r>
      <w:r w:rsidRPr="00542EB9">
        <w:rPr>
          <w:noProof/>
        </w:rPr>
        <w:t>, however to be noted a remaining r</w:t>
      </w:r>
      <w:r w:rsidR="00843E64" w:rsidRPr="00542EB9">
        <w:rPr>
          <w:noProof/>
        </w:rPr>
        <w:t>isk of considerable adjustment and adaptation costs in setting up new programme governance and management arrangements</w:t>
      </w:r>
      <w:r w:rsidR="00B317EC" w:rsidRPr="00542EB9">
        <w:rPr>
          <w:noProof/>
        </w:rPr>
        <w:t>, a</w:t>
      </w:r>
      <w:r w:rsidR="00843E64" w:rsidRPr="00542EB9">
        <w:rPr>
          <w:noProof/>
        </w:rPr>
        <w:t xml:space="preserve">dditional burden </w:t>
      </w:r>
      <w:r w:rsidR="002D0384" w:rsidRPr="00542EB9">
        <w:rPr>
          <w:noProof/>
        </w:rPr>
        <w:t>a</w:t>
      </w:r>
      <w:r w:rsidR="00B317EC" w:rsidRPr="00542EB9">
        <w:rPr>
          <w:noProof/>
        </w:rPr>
        <w:t xml:space="preserve">nd </w:t>
      </w:r>
      <w:r w:rsidR="00843E64" w:rsidRPr="00542EB9">
        <w:rPr>
          <w:noProof/>
        </w:rPr>
        <w:t>additional co-ordination costs at programme level (compared with the more siloed approach under the other scenario)</w:t>
      </w:r>
      <w:r w:rsidR="0014197E" w:rsidRPr="00542EB9">
        <w:rPr>
          <w:noProof/>
        </w:rPr>
        <w:t>, as well as a r</w:t>
      </w:r>
      <w:r w:rsidR="00843E64" w:rsidRPr="00542EB9">
        <w:rPr>
          <w:noProof/>
        </w:rPr>
        <w:t>isk of additional longer time to develop and adopt the programme regulation</w:t>
      </w:r>
      <w:r w:rsidR="0014197E" w:rsidRPr="00542EB9">
        <w:rPr>
          <w:noProof/>
        </w:rPr>
        <w:t>.</w:t>
      </w:r>
    </w:p>
    <w:p w14:paraId="06BB4111" w14:textId="4E93A583" w:rsidR="00A87319" w:rsidRPr="00542EB9" w:rsidRDefault="00172716" w:rsidP="00843E64">
      <w:pPr>
        <w:rPr>
          <w:noProof/>
        </w:rPr>
      </w:pPr>
      <w:r w:rsidRPr="00542EB9">
        <w:rPr>
          <w:noProof/>
        </w:rPr>
        <w:t>There is potential</w:t>
      </w:r>
      <w:r w:rsidR="00AB61E3" w:rsidRPr="00542EB9">
        <w:rPr>
          <w:noProof/>
        </w:rPr>
        <w:t xml:space="preserve"> to lower </w:t>
      </w:r>
      <w:r w:rsidR="00AB61E3" w:rsidRPr="00542EB9">
        <w:rPr>
          <w:b/>
          <w:bCs/>
          <w:noProof/>
        </w:rPr>
        <w:t>a</w:t>
      </w:r>
      <w:r w:rsidRPr="00542EB9">
        <w:rPr>
          <w:b/>
          <w:bCs/>
          <w:noProof/>
        </w:rPr>
        <w:t>dministrative burden for applicants, beneficiaries and participants</w:t>
      </w:r>
      <w:r w:rsidRPr="00542EB9">
        <w:rPr>
          <w:noProof/>
        </w:rPr>
        <w:t xml:space="preserve"> for incremental improvements compared with the current programmes</w:t>
      </w:r>
      <w:r w:rsidR="004B0BC2" w:rsidRPr="00542EB9">
        <w:rPr>
          <w:noProof/>
        </w:rPr>
        <w:t xml:space="preserve"> in all scenarios and </w:t>
      </w:r>
      <w:r w:rsidR="00DB4C2E" w:rsidRPr="00542EB9">
        <w:rPr>
          <w:noProof/>
        </w:rPr>
        <w:t>to</w:t>
      </w:r>
      <w:r w:rsidR="004B0BC2" w:rsidRPr="00542EB9">
        <w:rPr>
          <w:noProof/>
        </w:rPr>
        <w:t xml:space="preserve"> further </w:t>
      </w:r>
      <w:r w:rsidR="00DB4C2E" w:rsidRPr="00542EB9">
        <w:rPr>
          <w:noProof/>
        </w:rPr>
        <w:t>red</w:t>
      </w:r>
      <w:r w:rsidRPr="00542EB9">
        <w:rPr>
          <w:noProof/>
        </w:rPr>
        <w:t>uce administrative burden through a Common Rulebook</w:t>
      </w:r>
      <w:r w:rsidR="00DB4C2E" w:rsidRPr="00542EB9">
        <w:rPr>
          <w:noProof/>
        </w:rPr>
        <w:t xml:space="preserve"> in the integrated and the unified option</w:t>
      </w:r>
      <w:r w:rsidR="00014C1C" w:rsidRPr="00542EB9">
        <w:rPr>
          <w:noProof/>
        </w:rPr>
        <w:t>, bearing in mind</w:t>
      </w:r>
      <w:r w:rsidRPr="00542EB9">
        <w:rPr>
          <w:noProof/>
        </w:rPr>
        <w:t xml:space="preserve"> adaptation/adjustment </w:t>
      </w:r>
      <w:r w:rsidR="00AB12F0" w:rsidRPr="00542EB9">
        <w:rPr>
          <w:noProof/>
        </w:rPr>
        <w:t>issues</w:t>
      </w:r>
      <w:r w:rsidRPr="00542EB9">
        <w:rPr>
          <w:noProof/>
        </w:rPr>
        <w:t xml:space="preserve"> where funding arrangements are revised</w:t>
      </w:r>
      <w:r w:rsidR="0056314F" w:rsidRPr="00542EB9">
        <w:rPr>
          <w:noProof/>
        </w:rPr>
        <w:t>.</w:t>
      </w:r>
    </w:p>
    <w:p w14:paraId="5933D086" w14:textId="7632B106" w:rsidR="00634B10" w:rsidRPr="00542EB9" w:rsidRDefault="6D8B637B" w:rsidP="00B26F84">
      <w:pPr>
        <w:pStyle w:val="Heading2"/>
        <w:rPr>
          <w:noProof/>
        </w:rPr>
      </w:pPr>
      <w:bookmarkStart w:id="59" w:name="_Toc198549057"/>
      <w:r w:rsidRPr="00542EB9">
        <w:rPr>
          <w:noProof/>
        </w:rPr>
        <w:t>Coherence</w:t>
      </w:r>
      <w:bookmarkEnd w:id="59"/>
    </w:p>
    <w:p w14:paraId="7E668B99" w14:textId="55114DE4" w:rsidR="37848CB3" w:rsidRPr="00542EB9" w:rsidRDefault="0092073B">
      <w:pPr>
        <w:rPr>
          <w:noProof/>
        </w:rPr>
      </w:pPr>
      <w:r w:rsidRPr="00542EB9">
        <w:rPr>
          <w:noProof/>
        </w:rPr>
        <w:t>As both</w:t>
      </w:r>
      <w:r w:rsidR="00912D86" w:rsidRPr="00542EB9">
        <w:rPr>
          <w:noProof/>
        </w:rPr>
        <w:t xml:space="preserve"> scenarios </w:t>
      </w:r>
      <w:r w:rsidRPr="00542EB9">
        <w:rPr>
          <w:noProof/>
        </w:rPr>
        <w:t xml:space="preserve">bring the currently separate programmes closer to each other, the </w:t>
      </w:r>
      <w:r w:rsidR="004C71EF" w:rsidRPr="00542EB9">
        <w:rPr>
          <w:noProof/>
        </w:rPr>
        <w:t xml:space="preserve">unity </w:t>
      </w:r>
      <w:r w:rsidR="007C1D0E" w:rsidRPr="00542EB9">
        <w:rPr>
          <w:noProof/>
        </w:rPr>
        <w:t xml:space="preserve"> </w:t>
      </w:r>
      <w:r w:rsidR="00FC60D9" w:rsidRPr="00542EB9">
        <w:rPr>
          <w:noProof/>
        </w:rPr>
        <w:t>Under the current programmes, there</w:t>
      </w:r>
      <w:r w:rsidR="005059EF" w:rsidRPr="00542EB9">
        <w:rPr>
          <w:noProof/>
        </w:rPr>
        <w:t xml:space="preserve"> i</w:t>
      </w:r>
      <w:r w:rsidR="00FC60D9" w:rsidRPr="00542EB9">
        <w:rPr>
          <w:noProof/>
        </w:rPr>
        <w:t>s</w:t>
      </w:r>
      <w:r w:rsidR="00FC60D9" w:rsidRPr="00542EB9">
        <w:rPr>
          <w:b/>
          <w:bCs/>
          <w:noProof/>
        </w:rPr>
        <w:t xml:space="preserve"> </w:t>
      </w:r>
      <w:r w:rsidR="00A20D15" w:rsidRPr="00542EB9">
        <w:rPr>
          <w:b/>
          <w:bCs/>
          <w:noProof/>
        </w:rPr>
        <w:t>i</w:t>
      </w:r>
      <w:r w:rsidR="00332CC0" w:rsidRPr="00542EB9">
        <w:rPr>
          <w:b/>
          <w:bCs/>
          <w:noProof/>
        </w:rPr>
        <w:t>nternal coherence between programme</w:t>
      </w:r>
      <w:r w:rsidR="00332CC0" w:rsidRPr="00542EB9">
        <w:rPr>
          <w:b/>
          <w:noProof/>
        </w:rPr>
        <w:t xml:space="preserve"> </w:t>
      </w:r>
      <w:r w:rsidR="00332CC0" w:rsidRPr="00542EB9">
        <w:rPr>
          <w:b/>
          <w:bCs/>
          <w:noProof/>
        </w:rPr>
        <w:t>actions</w:t>
      </w:r>
      <w:r w:rsidR="00332CC0" w:rsidRPr="00542EB9">
        <w:rPr>
          <w:b/>
          <w:noProof/>
        </w:rPr>
        <w:t xml:space="preserve"> </w:t>
      </w:r>
      <w:r w:rsidR="00332CC0" w:rsidRPr="00542EB9">
        <w:rPr>
          <w:noProof/>
        </w:rPr>
        <w:t>within the SMP (few significant overlaps between its pillars and sub-pillars)</w:t>
      </w:r>
      <w:r w:rsidR="00A20D15" w:rsidRPr="00542EB9">
        <w:rPr>
          <w:noProof/>
        </w:rPr>
        <w:t xml:space="preserve"> and</w:t>
      </w:r>
      <w:r w:rsidR="00332CC0" w:rsidRPr="00542EB9">
        <w:rPr>
          <w:noProof/>
        </w:rPr>
        <w:t xml:space="preserve"> within Customs </w:t>
      </w:r>
      <w:r w:rsidR="000F275A" w:rsidRPr="00542EB9">
        <w:rPr>
          <w:noProof/>
        </w:rPr>
        <w:t>p</w:t>
      </w:r>
      <w:r w:rsidR="00332CC0" w:rsidRPr="00542EB9">
        <w:rPr>
          <w:noProof/>
        </w:rPr>
        <w:t>rogramme, Fiscalis Programme and UAFP (mixture of EU-level procurement essential to the fulfilment of the Commission’s legal responsibilities and support to build capacity of national authorities and foster co-operation between them).</w:t>
      </w:r>
      <w:r w:rsidR="00A20D15" w:rsidRPr="00542EB9">
        <w:rPr>
          <w:noProof/>
        </w:rPr>
        <w:t xml:space="preserve"> There are n</w:t>
      </w:r>
      <w:r w:rsidR="00332CC0" w:rsidRPr="00542EB9">
        <w:rPr>
          <w:noProof/>
        </w:rPr>
        <w:t>o significant overlaps between the four programmes (support for distinct areas of policy and legislation).</w:t>
      </w:r>
      <w:r w:rsidR="00460A6B" w:rsidRPr="00542EB9">
        <w:rPr>
          <w:noProof/>
        </w:rPr>
        <w:t xml:space="preserve"> The baseline shows </w:t>
      </w:r>
      <w:r w:rsidR="00EA79A2" w:rsidRPr="00542EB9">
        <w:rPr>
          <w:noProof/>
        </w:rPr>
        <w:t>the potential</w:t>
      </w:r>
      <w:r w:rsidR="00332CC0" w:rsidRPr="00542EB9">
        <w:rPr>
          <w:noProof/>
        </w:rPr>
        <w:t xml:space="preserve"> to improve synergies between policy areas featuring in multiple pillars, notably market surveillance, standardisation and consumer protection. </w:t>
      </w:r>
      <w:r w:rsidR="00D14D70" w:rsidRPr="00542EB9">
        <w:rPr>
          <w:noProof/>
        </w:rPr>
        <w:t>There</w:t>
      </w:r>
      <w:r w:rsidR="005059EF" w:rsidRPr="00542EB9">
        <w:rPr>
          <w:noProof/>
        </w:rPr>
        <w:t xml:space="preserve"> is</w:t>
      </w:r>
      <w:r w:rsidR="00D14D70" w:rsidRPr="00542EB9">
        <w:rPr>
          <w:noProof/>
        </w:rPr>
        <w:t xml:space="preserve"> also a l</w:t>
      </w:r>
      <w:r w:rsidR="00332CC0" w:rsidRPr="00542EB9">
        <w:rPr>
          <w:noProof/>
        </w:rPr>
        <w:t>ost opportunity for synergies in two areas of intervention: first and primarily, in respect of supporting of building the capacity of relevant national authorities and facilitating co-operation between them; second, in terms of providing information to consumers and businesses.</w:t>
      </w:r>
      <w:r w:rsidR="005328A1" w:rsidRPr="00542EB9">
        <w:rPr>
          <w:noProof/>
        </w:rPr>
        <w:t xml:space="preserve"> </w:t>
      </w:r>
    </w:p>
    <w:p w14:paraId="76A8607E" w14:textId="62E10230" w:rsidR="00332CC0" w:rsidRPr="00542EB9" w:rsidRDefault="05CF83F5" w:rsidP="00332CC0">
      <w:pPr>
        <w:rPr>
          <w:noProof/>
        </w:rPr>
      </w:pPr>
      <w:r w:rsidRPr="00542EB9">
        <w:rPr>
          <w:noProof/>
        </w:rPr>
        <w:t xml:space="preserve">The </w:t>
      </w:r>
      <w:r w:rsidRPr="00542EB9">
        <w:rPr>
          <w:b/>
          <w:bCs/>
          <w:noProof/>
        </w:rPr>
        <w:t>integrated scenario</w:t>
      </w:r>
      <w:r w:rsidRPr="00542EB9">
        <w:rPr>
          <w:noProof/>
        </w:rPr>
        <w:t xml:space="preserve"> provides p</w:t>
      </w:r>
      <w:r w:rsidR="13B0FA3B" w:rsidRPr="00542EB9">
        <w:rPr>
          <w:noProof/>
        </w:rPr>
        <w:t>otential for inc</w:t>
      </w:r>
      <w:r w:rsidR="13B0FA3B" w:rsidRPr="00542EB9">
        <w:rPr>
          <w:b/>
          <w:bCs/>
          <w:noProof/>
        </w:rPr>
        <w:t>reased coherence by better aligning/co-ordinating activities</w:t>
      </w:r>
      <w:r w:rsidR="13B0FA3B" w:rsidRPr="00542EB9">
        <w:rPr>
          <w:noProof/>
        </w:rPr>
        <w:t xml:space="preserve"> currently in different pillars or programmes that serve the same policy areas (market surveillance, standardisation</w:t>
      </w:r>
      <w:r w:rsidR="266F006B" w:rsidRPr="00542EB9">
        <w:rPr>
          <w:noProof/>
        </w:rPr>
        <w:t>,</w:t>
      </w:r>
      <w:r w:rsidR="13B0FA3B" w:rsidRPr="00542EB9">
        <w:rPr>
          <w:noProof/>
        </w:rPr>
        <w:t xml:space="preserve"> consumer protection</w:t>
      </w:r>
      <w:r w:rsidR="6205AB00" w:rsidRPr="00542EB9">
        <w:rPr>
          <w:noProof/>
        </w:rPr>
        <w:t>,</w:t>
      </w:r>
      <w:r w:rsidR="13B0FA3B" w:rsidRPr="00542EB9">
        <w:rPr>
          <w:noProof/>
        </w:rPr>
        <w:t xml:space="preserve"> company law, </w:t>
      </w:r>
      <w:r w:rsidR="4E789CAA" w:rsidRPr="00542EB9">
        <w:rPr>
          <w:noProof/>
        </w:rPr>
        <w:t xml:space="preserve">customs </w:t>
      </w:r>
      <w:r w:rsidR="4D9D3D33" w:rsidRPr="00542EB9">
        <w:rPr>
          <w:noProof/>
        </w:rPr>
        <w:t>and taxation</w:t>
      </w:r>
      <w:r w:rsidR="13B0FA3B" w:rsidRPr="00542EB9">
        <w:rPr>
          <w:noProof/>
        </w:rPr>
        <w:t>).</w:t>
      </w:r>
      <w:r w:rsidRPr="00542EB9">
        <w:rPr>
          <w:noProof/>
        </w:rPr>
        <w:t xml:space="preserve"> In a similar manner </w:t>
      </w:r>
      <w:r w:rsidR="5EA1164E" w:rsidRPr="00542EB9">
        <w:rPr>
          <w:noProof/>
        </w:rPr>
        <w:t>to be noted a p</w:t>
      </w:r>
      <w:r w:rsidR="13B0FA3B" w:rsidRPr="00542EB9">
        <w:rPr>
          <w:noProof/>
        </w:rPr>
        <w:t>otential for synergies in respect of supporting of building the capacity of relevant national authorities and facilitating co-operation between them or in terms of providing information to consumers and businesses (but may require a dedicated budget for joint activities)</w:t>
      </w:r>
      <w:r w:rsidR="00A83189" w:rsidRPr="00542EB9">
        <w:rPr>
          <w:noProof/>
        </w:rPr>
        <w:t>. However, the interim evaluation of the SMP showed potential synergies linked with the use of framework contracts. DG FISMA introduced a framework contract in collaboration with DG COMP. This contract, awarded in December 2023</w:t>
      </w:r>
      <w:r w:rsidR="00A83189" w:rsidRPr="00542EB9">
        <w:rPr>
          <w:noProof/>
          <w:vertAlign w:val="superscript"/>
        </w:rPr>
        <w:footnoteReference w:id="86"/>
      </w:r>
      <w:r w:rsidR="00A83189" w:rsidRPr="00542EB9">
        <w:rPr>
          <w:noProof/>
        </w:rPr>
        <w:t xml:space="preserve">, involves providing assistance in verifying the alignment of national legal frameworks with EU standards in financial and competition policy areas. </w:t>
      </w:r>
      <w:r w:rsidR="00E277A4" w:rsidRPr="00542EB9">
        <w:rPr>
          <w:noProof/>
        </w:rPr>
        <w:t>The collaboration within the SMP enabled a larger financial envelope for this contract, showcasing a benefit brought by this joint action. Another example of a joint framework contract is between DG GROW and DG JUST, fostering cooperation on consumer protection and market surveillance, and was signed</w:t>
      </w:r>
      <w:r w:rsidR="00E277A4" w:rsidRPr="00542EB9">
        <w:rPr>
          <w:b/>
          <w:bCs/>
          <w:noProof/>
        </w:rPr>
        <w:t xml:space="preserve"> </w:t>
      </w:r>
      <w:r w:rsidR="00E277A4" w:rsidRPr="00542EB9">
        <w:rPr>
          <w:noProof/>
        </w:rPr>
        <w:t>in 2022. It relates to</w:t>
      </w:r>
      <w:r w:rsidR="00E557AC" w:rsidRPr="00542EB9">
        <w:rPr>
          <w:noProof/>
        </w:rPr>
        <w:t xml:space="preserve"> the joint activities on the compliance of products (JACOP) and</w:t>
      </w:r>
      <w:r w:rsidR="00E277A4" w:rsidRPr="00542EB9">
        <w:rPr>
          <w:noProof/>
        </w:rPr>
        <w:t xml:space="preserve"> </w:t>
      </w:r>
      <w:r w:rsidR="00FB334E" w:rsidRPr="00542EB9">
        <w:rPr>
          <w:noProof/>
        </w:rPr>
        <w:t>the coordinated activities on the safety of products (</w:t>
      </w:r>
      <w:r w:rsidR="00E277A4" w:rsidRPr="00542EB9">
        <w:rPr>
          <w:noProof/>
        </w:rPr>
        <w:t>CASP</w:t>
      </w:r>
      <w:r w:rsidR="00FB334E" w:rsidRPr="00542EB9">
        <w:rPr>
          <w:noProof/>
        </w:rPr>
        <w:t>)</w:t>
      </w:r>
      <w:r w:rsidR="00E277A4" w:rsidRPr="00542EB9">
        <w:rPr>
          <w:noProof/>
        </w:rPr>
        <w:t xml:space="preserve"> coordinated activities on the safety of products. It allows for the organisation of common testing activities relevant for both harmonised and non-harmonised products. The collaboration on the Safety Gate also represents some degree of synergy related to dangerous products (</w:t>
      </w:r>
      <w:r w:rsidR="00EA7417" w:rsidRPr="00542EB9">
        <w:rPr>
          <w:noProof/>
        </w:rPr>
        <w:t xml:space="preserve">more than hundred </w:t>
      </w:r>
      <w:r w:rsidR="00E277A4" w:rsidRPr="00542EB9">
        <w:rPr>
          <w:noProof/>
        </w:rPr>
        <w:t>products were subject to Safety Gate notifications</w:t>
      </w:r>
      <w:r w:rsidR="00E277A4" w:rsidRPr="00542EB9">
        <w:rPr>
          <w:noProof/>
          <w:vertAlign w:val="superscript"/>
        </w:rPr>
        <w:footnoteReference w:id="87"/>
      </w:r>
      <w:r w:rsidR="00E277A4" w:rsidRPr="00542EB9">
        <w:rPr>
          <w:noProof/>
        </w:rPr>
        <w:t>, so the relevant information was shared with other MSAs, consumers and economic operators</w:t>
      </w:r>
      <w:r w:rsidR="00E277A4" w:rsidRPr="00542EB9">
        <w:rPr>
          <w:noProof/>
          <w:vertAlign w:val="superscript"/>
        </w:rPr>
        <w:t>,</w:t>
      </w:r>
      <w:r w:rsidR="00E277A4" w:rsidRPr="00542EB9">
        <w:rPr>
          <w:noProof/>
        </w:rPr>
        <w:t xml:space="preserve"> with follow-up actions to ensure they are withdrawn or recalled).</w:t>
      </w:r>
    </w:p>
    <w:p w14:paraId="4D0F364E" w14:textId="1E1E84F8" w:rsidR="00332CC0" w:rsidRPr="00542EB9" w:rsidRDefault="69CB08E4" w:rsidP="00332CC0">
      <w:pPr>
        <w:rPr>
          <w:noProof/>
        </w:rPr>
      </w:pPr>
      <w:r w:rsidRPr="00542EB9">
        <w:rPr>
          <w:noProof/>
        </w:rPr>
        <w:t xml:space="preserve">Preliminary findings of the </w:t>
      </w:r>
      <w:r w:rsidR="00134659" w:rsidRPr="00542EB9">
        <w:rPr>
          <w:noProof/>
        </w:rPr>
        <w:t>interim</w:t>
      </w:r>
      <w:r w:rsidRPr="00542EB9">
        <w:rPr>
          <w:noProof/>
        </w:rPr>
        <w:t xml:space="preserve"> evaluation of the Fiscalis programme confirm that Fiscalis is fully coherent with a range of other Commission initiatives in terms of alignment of objectives and complementarity of activities and outputs. However, no concrete practical links were found among the initiatives and a solution for this could be to explore further opportunities and exploit synergies. The latter could </w:t>
      </w:r>
      <w:r w:rsidRPr="00542EB9">
        <w:rPr>
          <w:rFonts w:eastAsia="Times New Roman"/>
          <w:noProof/>
        </w:rPr>
        <w:t xml:space="preserve">potentially </w:t>
      </w:r>
      <w:r w:rsidRPr="00542EB9">
        <w:rPr>
          <w:noProof/>
        </w:rPr>
        <w:t xml:space="preserve">be achieved through the unified scenario. </w:t>
      </w:r>
    </w:p>
    <w:p w14:paraId="49409EF0" w14:textId="2894805A" w:rsidR="00332CC0" w:rsidRPr="00542EB9" w:rsidRDefault="00C67DFF" w:rsidP="00332CC0">
      <w:pPr>
        <w:rPr>
          <w:noProof/>
        </w:rPr>
      </w:pPr>
      <w:r w:rsidRPr="00542EB9">
        <w:rPr>
          <w:noProof/>
        </w:rPr>
        <w:t>In addition</w:t>
      </w:r>
      <w:r w:rsidR="00614FB1" w:rsidRPr="00542EB9">
        <w:rPr>
          <w:noProof/>
        </w:rPr>
        <w:t>,</w:t>
      </w:r>
      <w:r w:rsidRPr="00542EB9">
        <w:rPr>
          <w:noProof/>
        </w:rPr>
        <w:t xml:space="preserve"> for </w:t>
      </w:r>
      <w:r w:rsidR="00332CC0" w:rsidRPr="00542EB9">
        <w:rPr>
          <w:noProof/>
        </w:rPr>
        <w:t xml:space="preserve">the </w:t>
      </w:r>
      <w:r w:rsidR="00312D25" w:rsidRPr="00542EB9">
        <w:rPr>
          <w:b/>
          <w:noProof/>
        </w:rPr>
        <w:t>unified scenario,</w:t>
      </w:r>
      <w:r w:rsidR="00312D25" w:rsidRPr="00542EB9">
        <w:rPr>
          <w:noProof/>
        </w:rPr>
        <w:t xml:space="preserve"> </w:t>
      </w:r>
      <w:r w:rsidR="00332CC0" w:rsidRPr="00542EB9">
        <w:rPr>
          <w:noProof/>
        </w:rPr>
        <w:t xml:space="preserve">opportunities </w:t>
      </w:r>
      <w:r w:rsidR="00312D25" w:rsidRPr="00542EB9">
        <w:rPr>
          <w:noProof/>
        </w:rPr>
        <w:t>can be found</w:t>
      </w:r>
      <w:r w:rsidR="00332CC0" w:rsidRPr="00542EB9">
        <w:rPr>
          <w:noProof/>
        </w:rPr>
        <w:t xml:space="preserve"> for synergies in cross-cutting interventions, most notably related to supporting networks of national authorities and providing information and advice to consumers and businesses (assuming a dedicated budget for horizontal activities).</w:t>
      </w:r>
      <w:r w:rsidR="7B9370DF" w:rsidRPr="00542EB9">
        <w:rPr>
          <w:noProof/>
        </w:rPr>
        <w:t xml:space="preserve"> </w:t>
      </w:r>
    </w:p>
    <w:p w14:paraId="1B8DA5FD" w14:textId="0C65124D" w:rsidR="006E5254" w:rsidRPr="00542EB9" w:rsidRDefault="006E5254" w:rsidP="006E5254">
      <w:pPr>
        <w:pStyle w:val="bullet1"/>
        <w:numPr>
          <w:ilvl w:val="0"/>
          <w:numId w:val="0"/>
        </w:numPr>
        <w:spacing w:after="0"/>
        <w:rPr>
          <w:rFonts w:ascii="Times New Roman" w:hAnsi="Times New Roman"/>
          <w:sz w:val="24"/>
        </w:rPr>
      </w:pPr>
      <w:r w:rsidRPr="00542EB9">
        <w:rPr>
          <w:rFonts w:ascii="Times New Roman" w:hAnsi="Times New Roman"/>
          <w:sz w:val="24"/>
        </w:rPr>
        <w:t xml:space="preserve">Furthermore, greater EU added value is more likely in the </w:t>
      </w:r>
      <w:r w:rsidRPr="00542EB9">
        <w:rPr>
          <w:rFonts w:ascii="Times New Roman" w:hAnsi="Times New Roman"/>
          <w:b/>
          <w:sz w:val="24"/>
        </w:rPr>
        <w:t>unified scenario</w:t>
      </w:r>
      <w:r w:rsidRPr="00542EB9">
        <w:rPr>
          <w:rFonts w:ascii="Times New Roman" w:hAnsi="Times New Roman"/>
          <w:sz w:val="24"/>
        </w:rPr>
        <w:t xml:space="preserve"> to the extent that more or more effective capacity-building and coordinated actions for national competent authorities are implemented</w:t>
      </w:r>
      <w:r w:rsidR="00246BC0" w:rsidRPr="00542EB9">
        <w:rPr>
          <w:rFonts w:ascii="Times New Roman" w:hAnsi="Times New Roman"/>
          <w:sz w:val="20"/>
          <w:szCs w:val="20"/>
          <w:vertAlign w:val="superscript"/>
        </w:rPr>
        <w:footnoteReference w:id="88"/>
      </w:r>
      <w:r w:rsidRPr="00542EB9">
        <w:rPr>
          <w:rFonts w:ascii="Times New Roman" w:hAnsi="Times New Roman"/>
          <w:sz w:val="24"/>
        </w:rPr>
        <w:t>.</w:t>
      </w:r>
      <w:r w:rsidR="533AA0F5" w:rsidRPr="00542EB9">
        <w:rPr>
          <w:rFonts w:ascii="Times New Roman" w:hAnsi="Times New Roman"/>
          <w:sz w:val="24"/>
        </w:rPr>
        <w:t xml:space="preserve"> </w:t>
      </w:r>
    </w:p>
    <w:p w14:paraId="73306BD9" w14:textId="649A770F" w:rsidR="3FC66F66" w:rsidRPr="00542EB9" w:rsidRDefault="3FC66F66" w:rsidP="3FC66F66">
      <w:pPr>
        <w:spacing w:after="0"/>
        <w:rPr>
          <w:rFonts w:eastAsia="Aptos"/>
          <w:noProof/>
          <w:sz w:val="22"/>
          <w:szCs w:val="22"/>
          <w:lang w:val="en-US"/>
        </w:rPr>
      </w:pPr>
    </w:p>
    <w:p w14:paraId="7ACDF040" w14:textId="557ADB21" w:rsidR="6D172CFC" w:rsidRPr="00542EB9" w:rsidRDefault="6E9A94D2" w:rsidP="00532142">
      <w:pPr>
        <w:rPr>
          <w:noProof/>
          <w:lang w:val="en-US"/>
        </w:rPr>
      </w:pPr>
      <w:r w:rsidRPr="00542EB9">
        <w:rPr>
          <w:noProof/>
          <w:lang w:val="en-US"/>
        </w:rPr>
        <w:t>For example, the UAFP and the CCEI despite</w:t>
      </w:r>
      <w:r w:rsidR="6D172CFC" w:rsidRPr="00542EB9">
        <w:rPr>
          <w:noProof/>
          <w:lang w:val="en-US"/>
        </w:rPr>
        <w:t xml:space="preserve"> belonging to separate structures, ensure complementarity between their the Work Programmes and implement projects providing for additional capabilities in terms of Intelligence, Equipment, as well IT software and hardware that are not eligible under the CCEI but are fully complementary to its objective to harmonise customs controls and to contribute to adequate and equivalent results</w:t>
      </w:r>
      <w:r w:rsidR="6D172CFC" w:rsidRPr="00542EB9">
        <w:rPr>
          <w:rStyle w:val="FootnoteReference"/>
          <w:rFonts w:eastAsiaTheme="minorEastAsia"/>
          <w:noProof/>
          <w:sz w:val="20"/>
          <w:szCs w:val="20"/>
          <w:lang w:val="en-US"/>
        </w:rPr>
        <w:footnoteReference w:id="89"/>
      </w:r>
      <w:r w:rsidR="6D172CFC" w:rsidRPr="00542EB9">
        <w:rPr>
          <w:noProof/>
          <w:lang w:val="en-US"/>
        </w:rPr>
        <w:t xml:space="preserve">. Under the unified scenario, this type of cooperation </w:t>
      </w:r>
      <w:r w:rsidR="38694C73" w:rsidRPr="00542EB9">
        <w:rPr>
          <w:noProof/>
          <w:lang w:val="en-US"/>
        </w:rPr>
        <w:t>fores</w:t>
      </w:r>
      <w:r w:rsidR="1239C7E2" w:rsidRPr="00542EB9">
        <w:rPr>
          <w:noProof/>
          <w:lang w:val="en-US"/>
        </w:rPr>
        <w:t>e</w:t>
      </w:r>
      <w:r w:rsidR="38694C73" w:rsidRPr="00542EB9">
        <w:rPr>
          <w:noProof/>
          <w:lang w:val="en-US"/>
        </w:rPr>
        <w:t>en in</w:t>
      </w:r>
      <w:r w:rsidR="6D172CFC" w:rsidRPr="00542EB9">
        <w:rPr>
          <w:noProof/>
          <w:lang w:val="en-US"/>
        </w:rPr>
        <w:t xml:space="preserve"> a more structured design, would offer more enhanced and deepened cooperation rather than </w:t>
      </w:r>
      <w:r w:rsidR="5E15C1A3" w:rsidRPr="00542EB9">
        <w:rPr>
          <w:noProof/>
          <w:lang w:val="en-US"/>
        </w:rPr>
        <w:t xml:space="preserve">on a case by case </w:t>
      </w:r>
      <w:r w:rsidR="53488559" w:rsidRPr="00542EB9">
        <w:rPr>
          <w:noProof/>
          <w:lang w:val="en-US"/>
        </w:rPr>
        <w:t>basis</w:t>
      </w:r>
      <w:r w:rsidR="325AE10A" w:rsidRPr="00542EB9">
        <w:rPr>
          <w:noProof/>
          <w:lang w:val="en-US"/>
        </w:rPr>
        <w:t xml:space="preserve"> on the own initiative of the Member States</w:t>
      </w:r>
      <w:r w:rsidR="6D172CFC" w:rsidRPr="00542EB9">
        <w:rPr>
          <w:noProof/>
          <w:lang w:val="en-US"/>
        </w:rPr>
        <w:t>.</w:t>
      </w:r>
    </w:p>
    <w:p w14:paraId="2DF85D66" w14:textId="43E50CA1" w:rsidR="00AA08D3" w:rsidRPr="00542EB9" w:rsidRDefault="00A34EC9" w:rsidP="00645819">
      <w:pPr>
        <w:rPr>
          <w:noProof/>
        </w:rPr>
      </w:pPr>
      <w:r w:rsidRPr="00542EB9">
        <w:rPr>
          <w:noProof/>
        </w:rPr>
        <w:t xml:space="preserve">As for </w:t>
      </w:r>
      <w:r w:rsidRPr="00542EB9">
        <w:rPr>
          <w:b/>
          <w:bCs/>
          <w:noProof/>
        </w:rPr>
        <w:t>c</w:t>
      </w:r>
      <w:r w:rsidR="00332CC0" w:rsidRPr="00542EB9">
        <w:rPr>
          <w:b/>
          <w:bCs/>
          <w:noProof/>
        </w:rPr>
        <w:t>oherence</w:t>
      </w:r>
      <w:r w:rsidR="00332CC0" w:rsidRPr="00542EB9">
        <w:rPr>
          <w:b/>
          <w:noProof/>
        </w:rPr>
        <w:t xml:space="preserve"> with other EU programmes/wider EU policies</w:t>
      </w:r>
      <w:r w:rsidRPr="00542EB9">
        <w:rPr>
          <w:noProof/>
        </w:rPr>
        <w:t>, there</w:t>
      </w:r>
      <w:r w:rsidR="00F35A9A" w:rsidRPr="00542EB9">
        <w:rPr>
          <w:noProof/>
        </w:rPr>
        <w:t xml:space="preserve"> i</w:t>
      </w:r>
      <w:r w:rsidRPr="00542EB9">
        <w:rPr>
          <w:noProof/>
        </w:rPr>
        <w:t>s no</w:t>
      </w:r>
      <w:r w:rsidR="00332CC0" w:rsidRPr="00542EB9">
        <w:rPr>
          <w:noProof/>
        </w:rPr>
        <w:t xml:space="preserve"> significant duplication or overlap with other EU policies or programmes</w:t>
      </w:r>
      <w:r w:rsidRPr="00542EB9">
        <w:rPr>
          <w:noProof/>
        </w:rPr>
        <w:t xml:space="preserve"> in all scenarios</w:t>
      </w:r>
      <w:r w:rsidR="00332CC0" w:rsidRPr="00542EB9">
        <w:rPr>
          <w:noProof/>
        </w:rPr>
        <w:t>.</w:t>
      </w:r>
      <w:r w:rsidR="00C742FB" w:rsidRPr="00542EB9">
        <w:rPr>
          <w:noProof/>
        </w:rPr>
        <w:t xml:space="preserve"> The unified scenario</w:t>
      </w:r>
      <w:r w:rsidR="00AE63E3" w:rsidRPr="00542EB9">
        <w:rPr>
          <w:noProof/>
        </w:rPr>
        <w:t xml:space="preserve"> provides high budget flexibility and ensures policy coherence across the fields</w:t>
      </w:r>
      <w:r w:rsidR="00425809" w:rsidRPr="00542EB9">
        <w:rPr>
          <w:noProof/>
        </w:rPr>
        <w:t>, without increasing administrative burden for stakeholders</w:t>
      </w:r>
      <w:r w:rsidR="00AE63E3" w:rsidRPr="00542EB9">
        <w:rPr>
          <w:noProof/>
        </w:rPr>
        <w:t>.</w:t>
      </w:r>
    </w:p>
    <w:p w14:paraId="2BF8B3CB" w14:textId="2B332AE9" w:rsidR="006B087E" w:rsidRPr="00542EB9" w:rsidRDefault="2CEB5DE4" w:rsidP="5DD21FD3">
      <w:pPr>
        <w:pStyle w:val="Heading1"/>
        <w:rPr>
          <w:noProof/>
        </w:rPr>
      </w:pPr>
      <w:bookmarkStart w:id="60" w:name="_Toc198549058"/>
      <w:r w:rsidRPr="00542EB9">
        <w:rPr>
          <w:noProof/>
        </w:rPr>
        <w:t>Preferred option</w:t>
      </w:r>
      <w:bookmarkEnd w:id="56"/>
      <w:bookmarkEnd w:id="60"/>
    </w:p>
    <w:p w14:paraId="259AB235" w14:textId="309F2065" w:rsidR="00760618" w:rsidRPr="00542EB9" w:rsidRDefault="00766726" w:rsidP="007F3105">
      <w:pPr>
        <w:rPr>
          <w:noProof/>
        </w:rPr>
      </w:pPr>
      <w:r w:rsidRPr="00542EB9">
        <w:rPr>
          <w:noProof/>
        </w:rPr>
        <w:t>After assessing the impacts, effectiveness and efficiency of the two policy options</w:t>
      </w:r>
      <w:r w:rsidR="002E7FCE" w:rsidRPr="00542EB9">
        <w:rPr>
          <w:noProof/>
        </w:rPr>
        <w:t>,</w:t>
      </w:r>
      <w:r w:rsidR="006F20D4" w:rsidRPr="00542EB9">
        <w:rPr>
          <w:noProof/>
        </w:rPr>
        <w:t xml:space="preserve"> primarily focusing on design,</w:t>
      </w:r>
      <w:r w:rsidR="002E7FCE" w:rsidRPr="00542EB9">
        <w:rPr>
          <w:noProof/>
        </w:rPr>
        <w:t xml:space="preserve"> the unified scenario is </w:t>
      </w:r>
      <w:r w:rsidR="64DD60CE" w:rsidRPr="00542EB9">
        <w:rPr>
          <w:noProof/>
        </w:rPr>
        <w:t>the preferred option</w:t>
      </w:r>
      <w:r w:rsidR="002E7FCE" w:rsidRPr="00542EB9">
        <w:rPr>
          <w:noProof/>
        </w:rPr>
        <w:t>. It</w:t>
      </w:r>
      <w:r w:rsidR="16BC62BF" w:rsidRPr="00542EB9">
        <w:rPr>
          <w:noProof/>
        </w:rPr>
        <w:t xml:space="preserve"> </w:t>
      </w:r>
      <w:r w:rsidR="1FB2066B" w:rsidRPr="00542EB9">
        <w:rPr>
          <w:noProof/>
        </w:rPr>
        <w:t>best addresses a</w:t>
      </w:r>
      <w:r w:rsidR="64DD60CE" w:rsidRPr="00542EB9">
        <w:rPr>
          <w:noProof/>
        </w:rPr>
        <w:t xml:space="preserve">ll </w:t>
      </w:r>
      <w:r w:rsidR="4B359BF2" w:rsidRPr="00542EB9">
        <w:rPr>
          <w:noProof/>
        </w:rPr>
        <w:t>identified problems and problem drivers</w:t>
      </w:r>
      <w:r w:rsidR="08D40ADA" w:rsidRPr="00542EB9">
        <w:rPr>
          <w:noProof/>
        </w:rPr>
        <w:t xml:space="preserve"> both </w:t>
      </w:r>
      <w:r w:rsidR="5E3C5F46" w:rsidRPr="00542EB9">
        <w:rPr>
          <w:noProof/>
        </w:rPr>
        <w:t>in terms of</w:t>
      </w:r>
      <w:r w:rsidR="08D40ADA" w:rsidRPr="00542EB9">
        <w:rPr>
          <w:noProof/>
        </w:rPr>
        <w:t xml:space="preserve"> the programme design and the covered policy areas</w:t>
      </w:r>
      <w:r w:rsidR="4A6CBEDE" w:rsidRPr="00542EB9">
        <w:rPr>
          <w:noProof/>
        </w:rPr>
        <w:t>.</w:t>
      </w:r>
      <w:r w:rsidR="00C411FF" w:rsidRPr="00542EB9">
        <w:rPr>
          <w:noProof/>
        </w:rPr>
        <w:t xml:space="preserve"> Yet, </w:t>
      </w:r>
      <w:r w:rsidR="00F41B34" w:rsidRPr="00542EB9">
        <w:rPr>
          <w:noProof/>
        </w:rPr>
        <w:t xml:space="preserve">given the </w:t>
      </w:r>
      <w:r w:rsidR="00E84B48" w:rsidRPr="00542EB9">
        <w:rPr>
          <w:noProof/>
        </w:rPr>
        <w:t xml:space="preserve">innovative approach of its governance model, </w:t>
      </w:r>
      <w:r w:rsidR="00C411FF" w:rsidRPr="00542EB9">
        <w:rPr>
          <w:noProof/>
        </w:rPr>
        <w:t xml:space="preserve">it demands the greatest focus on </w:t>
      </w:r>
      <w:r w:rsidR="00697DD4" w:rsidRPr="00542EB9">
        <w:rPr>
          <w:noProof/>
        </w:rPr>
        <w:t>tackling</w:t>
      </w:r>
      <w:r w:rsidR="00C411FF" w:rsidRPr="00542EB9">
        <w:rPr>
          <w:noProof/>
        </w:rPr>
        <w:t xml:space="preserve"> the associated potential challenges </w:t>
      </w:r>
      <w:r w:rsidR="00697DD4" w:rsidRPr="00542EB9">
        <w:rPr>
          <w:noProof/>
        </w:rPr>
        <w:t xml:space="preserve">with the appropriate mitigation measures. </w:t>
      </w:r>
    </w:p>
    <w:p w14:paraId="4A25DE46" w14:textId="4265777C" w:rsidR="00B5561B" w:rsidRPr="00542EB9" w:rsidRDefault="00B5561B" w:rsidP="007F3105">
      <w:pPr>
        <w:rPr>
          <w:noProof/>
        </w:rPr>
      </w:pPr>
      <w:r w:rsidRPr="00542EB9">
        <w:rPr>
          <w:noProof/>
        </w:rPr>
        <w:t xml:space="preserve">The table below provides a </w:t>
      </w:r>
      <w:r w:rsidR="007261F3" w:rsidRPr="00542EB9">
        <w:rPr>
          <w:noProof/>
        </w:rPr>
        <w:t>qualitative scoring of the options.</w:t>
      </w:r>
    </w:p>
    <w:tbl>
      <w:tblPr>
        <w:tblStyle w:val="TableGrid"/>
        <w:tblW w:w="5000" w:type="pct"/>
        <w:tblLook w:val="04A0" w:firstRow="1" w:lastRow="0" w:firstColumn="1" w:lastColumn="0" w:noHBand="0" w:noVBand="1"/>
      </w:tblPr>
      <w:tblGrid>
        <w:gridCol w:w="1550"/>
        <w:gridCol w:w="2447"/>
        <w:gridCol w:w="2449"/>
        <w:gridCol w:w="2447"/>
      </w:tblGrid>
      <w:tr w:rsidR="0099749B" w:rsidRPr="00542EB9" w14:paraId="290773DC" w14:textId="77777777" w:rsidTr="00E05311">
        <w:tc>
          <w:tcPr>
            <w:tcW w:w="871" w:type="pct"/>
            <w:shd w:val="clear" w:color="auto" w:fill="1F497D" w:themeFill="text2"/>
          </w:tcPr>
          <w:p w14:paraId="34BA7702" w14:textId="77777777" w:rsidR="0009346A" w:rsidRPr="00E05311" w:rsidRDefault="0009346A" w:rsidP="0009346A">
            <w:pPr>
              <w:rPr>
                <w:b/>
                <w:bCs/>
                <w:noProof/>
                <w:color w:val="FFFFFF" w:themeColor="background1"/>
              </w:rPr>
            </w:pPr>
            <w:r w:rsidRPr="00E05311">
              <w:rPr>
                <w:b/>
                <w:bCs/>
                <w:noProof/>
                <w:color w:val="FFFFFF" w:themeColor="background1"/>
              </w:rPr>
              <w:t>Criteria</w:t>
            </w:r>
          </w:p>
        </w:tc>
        <w:tc>
          <w:tcPr>
            <w:tcW w:w="1376" w:type="pct"/>
            <w:shd w:val="clear" w:color="auto" w:fill="1F497D" w:themeFill="text2"/>
          </w:tcPr>
          <w:p w14:paraId="707449E3" w14:textId="77777777" w:rsidR="0009346A" w:rsidRPr="00E05311" w:rsidRDefault="0009346A" w:rsidP="0009346A">
            <w:pPr>
              <w:rPr>
                <w:b/>
                <w:bCs/>
                <w:noProof/>
                <w:color w:val="FFFFFF" w:themeColor="background1"/>
              </w:rPr>
            </w:pPr>
            <w:r w:rsidRPr="00E05311">
              <w:rPr>
                <w:b/>
                <w:bCs/>
                <w:noProof/>
                <w:color w:val="FFFFFF" w:themeColor="background1"/>
              </w:rPr>
              <w:t>Continuity Scenario</w:t>
            </w:r>
          </w:p>
        </w:tc>
        <w:tc>
          <w:tcPr>
            <w:tcW w:w="1377" w:type="pct"/>
            <w:shd w:val="clear" w:color="auto" w:fill="1F497D" w:themeFill="text2"/>
          </w:tcPr>
          <w:p w14:paraId="38437237" w14:textId="77777777" w:rsidR="0009346A" w:rsidRPr="00E05311" w:rsidRDefault="0009346A" w:rsidP="0009346A">
            <w:pPr>
              <w:rPr>
                <w:b/>
                <w:bCs/>
                <w:noProof/>
                <w:color w:val="FFFFFF" w:themeColor="background1"/>
              </w:rPr>
            </w:pPr>
            <w:r w:rsidRPr="00E05311">
              <w:rPr>
                <w:b/>
                <w:bCs/>
                <w:noProof/>
                <w:color w:val="FFFFFF" w:themeColor="background1"/>
              </w:rPr>
              <w:t>Integrated Scenario</w:t>
            </w:r>
          </w:p>
        </w:tc>
        <w:tc>
          <w:tcPr>
            <w:tcW w:w="1376" w:type="pct"/>
            <w:shd w:val="clear" w:color="auto" w:fill="1F497D" w:themeFill="text2"/>
          </w:tcPr>
          <w:p w14:paraId="0E817F6D" w14:textId="77777777" w:rsidR="0009346A" w:rsidRPr="00E05311" w:rsidRDefault="0009346A" w:rsidP="0009346A">
            <w:pPr>
              <w:rPr>
                <w:b/>
                <w:bCs/>
                <w:noProof/>
                <w:color w:val="FFFFFF" w:themeColor="background1"/>
              </w:rPr>
            </w:pPr>
            <w:r w:rsidRPr="00E05311">
              <w:rPr>
                <w:b/>
                <w:bCs/>
                <w:noProof/>
                <w:color w:val="FFFFFF" w:themeColor="background1"/>
              </w:rPr>
              <w:t>Unified Scenario</w:t>
            </w:r>
          </w:p>
        </w:tc>
      </w:tr>
      <w:tr w:rsidR="00BC765E" w:rsidRPr="00542EB9" w14:paraId="0694E8B7" w14:textId="77777777" w:rsidTr="00214496">
        <w:tc>
          <w:tcPr>
            <w:tcW w:w="871" w:type="pct"/>
          </w:tcPr>
          <w:p w14:paraId="033C4842" w14:textId="77777777" w:rsidR="0009346A" w:rsidRPr="00542EB9" w:rsidRDefault="0009346A" w:rsidP="0009346A">
            <w:pPr>
              <w:rPr>
                <w:b/>
                <w:bCs/>
                <w:noProof/>
              </w:rPr>
            </w:pPr>
            <w:r w:rsidRPr="00542EB9">
              <w:rPr>
                <w:b/>
                <w:bCs/>
                <w:noProof/>
              </w:rPr>
              <w:t>Effectiveness</w:t>
            </w:r>
          </w:p>
        </w:tc>
        <w:tc>
          <w:tcPr>
            <w:tcW w:w="1376" w:type="pct"/>
          </w:tcPr>
          <w:p w14:paraId="3AACCE37" w14:textId="77777777" w:rsidR="0009346A" w:rsidRPr="00542EB9" w:rsidRDefault="0009346A" w:rsidP="0009346A">
            <w:pPr>
              <w:rPr>
                <w:b/>
                <w:bCs/>
                <w:noProof/>
              </w:rPr>
            </w:pPr>
            <w:r w:rsidRPr="00542EB9">
              <w:rPr>
                <w:b/>
                <w:bCs/>
                <w:noProof/>
              </w:rPr>
              <w:t>0</w:t>
            </w:r>
          </w:p>
        </w:tc>
        <w:tc>
          <w:tcPr>
            <w:tcW w:w="1377" w:type="pct"/>
          </w:tcPr>
          <w:p w14:paraId="126FDD57" w14:textId="77777777" w:rsidR="0009346A" w:rsidRPr="00542EB9" w:rsidRDefault="0009346A" w:rsidP="0009346A">
            <w:pPr>
              <w:rPr>
                <w:b/>
                <w:bCs/>
                <w:noProof/>
              </w:rPr>
            </w:pPr>
            <w:r w:rsidRPr="00542EB9">
              <w:rPr>
                <w:b/>
                <w:bCs/>
                <w:noProof/>
              </w:rPr>
              <w:t>+</w:t>
            </w:r>
          </w:p>
        </w:tc>
        <w:tc>
          <w:tcPr>
            <w:tcW w:w="1376" w:type="pct"/>
          </w:tcPr>
          <w:p w14:paraId="688B166A" w14:textId="77777777" w:rsidR="0009346A" w:rsidRPr="00542EB9" w:rsidRDefault="0009346A" w:rsidP="0009346A">
            <w:pPr>
              <w:rPr>
                <w:b/>
                <w:bCs/>
                <w:noProof/>
              </w:rPr>
            </w:pPr>
            <w:r w:rsidRPr="00542EB9">
              <w:rPr>
                <w:b/>
                <w:bCs/>
                <w:noProof/>
              </w:rPr>
              <w:t>++</w:t>
            </w:r>
          </w:p>
        </w:tc>
      </w:tr>
      <w:tr w:rsidR="00BC765E" w:rsidRPr="00542EB9" w14:paraId="071A667E" w14:textId="77777777" w:rsidTr="00214496">
        <w:tc>
          <w:tcPr>
            <w:tcW w:w="871" w:type="pct"/>
          </w:tcPr>
          <w:p w14:paraId="691B0086" w14:textId="77777777" w:rsidR="0009346A" w:rsidRPr="00542EB9" w:rsidRDefault="0009346A" w:rsidP="0009346A">
            <w:pPr>
              <w:rPr>
                <w:b/>
                <w:bCs/>
                <w:noProof/>
              </w:rPr>
            </w:pPr>
            <w:r w:rsidRPr="00542EB9">
              <w:rPr>
                <w:b/>
                <w:bCs/>
                <w:noProof/>
              </w:rPr>
              <w:t>Efficiency</w:t>
            </w:r>
          </w:p>
        </w:tc>
        <w:tc>
          <w:tcPr>
            <w:tcW w:w="1376" w:type="pct"/>
          </w:tcPr>
          <w:p w14:paraId="4BF00E37" w14:textId="77777777" w:rsidR="0009346A" w:rsidRPr="00542EB9" w:rsidRDefault="0009346A" w:rsidP="0009346A">
            <w:pPr>
              <w:rPr>
                <w:b/>
                <w:bCs/>
                <w:noProof/>
              </w:rPr>
            </w:pPr>
            <w:r w:rsidRPr="00542EB9">
              <w:rPr>
                <w:b/>
                <w:bCs/>
                <w:noProof/>
              </w:rPr>
              <w:t>0</w:t>
            </w:r>
          </w:p>
        </w:tc>
        <w:tc>
          <w:tcPr>
            <w:tcW w:w="1377" w:type="pct"/>
          </w:tcPr>
          <w:p w14:paraId="535E1F48" w14:textId="77777777" w:rsidR="0009346A" w:rsidRPr="00542EB9" w:rsidRDefault="0009346A" w:rsidP="0009346A">
            <w:pPr>
              <w:rPr>
                <w:b/>
                <w:bCs/>
                <w:noProof/>
              </w:rPr>
            </w:pPr>
            <w:r w:rsidRPr="00542EB9">
              <w:rPr>
                <w:b/>
                <w:bCs/>
                <w:noProof/>
              </w:rPr>
              <w:t>+</w:t>
            </w:r>
          </w:p>
        </w:tc>
        <w:tc>
          <w:tcPr>
            <w:tcW w:w="1376" w:type="pct"/>
          </w:tcPr>
          <w:p w14:paraId="5CE2FC0C" w14:textId="77777777" w:rsidR="0009346A" w:rsidRPr="00542EB9" w:rsidRDefault="0009346A" w:rsidP="0009346A">
            <w:pPr>
              <w:rPr>
                <w:b/>
                <w:bCs/>
                <w:noProof/>
              </w:rPr>
            </w:pPr>
            <w:r w:rsidRPr="00542EB9">
              <w:rPr>
                <w:b/>
                <w:bCs/>
                <w:noProof/>
              </w:rPr>
              <w:t>++</w:t>
            </w:r>
          </w:p>
        </w:tc>
      </w:tr>
      <w:tr w:rsidR="00BC765E" w:rsidRPr="00542EB9" w14:paraId="413C3A98" w14:textId="77777777" w:rsidTr="00214496">
        <w:tc>
          <w:tcPr>
            <w:tcW w:w="871" w:type="pct"/>
          </w:tcPr>
          <w:p w14:paraId="2711695E" w14:textId="77777777" w:rsidR="0009346A" w:rsidRPr="00542EB9" w:rsidRDefault="0009346A" w:rsidP="0009346A">
            <w:pPr>
              <w:rPr>
                <w:b/>
                <w:bCs/>
                <w:noProof/>
              </w:rPr>
            </w:pPr>
            <w:r w:rsidRPr="00542EB9">
              <w:rPr>
                <w:b/>
                <w:bCs/>
                <w:noProof/>
              </w:rPr>
              <w:t>Coherence</w:t>
            </w:r>
          </w:p>
        </w:tc>
        <w:tc>
          <w:tcPr>
            <w:tcW w:w="1376" w:type="pct"/>
          </w:tcPr>
          <w:p w14:paraId="6203FF8E" w14:textId="77777777" w:rsidR="0009346A" w:rsidRPr="00542EB9" w:rsidRDefault="0009346A" w:rsidP="0009346A">
            <w:pPr>
              <w:rPr>
                <w:b/>
                <w:bCs/>
                <w:noProof/>
              </w:rPr>
            </w:pPr>
            <w:r w:rsidRPr="00542EB9">
              <w:rPr>
                <w:b/>
                <w:bCs/>
                <w:noProof/>
              </w:rPr>
              <w:t>0</w:t>
            </w:r>
          </w:p>
        </w:tc>
        <w:tc>
          <w:tcPr>
            <w:tcW w:w="1377" w:type="pct"/>
          </w:tcPr>
          <w:p w14:paraId="4E6FE492" w14:textId="77777777" w:rsidR="0009346A" w:rsidRPr="00542EB9" w:rsidRDefault="0009346A" w:rsidP="0009346A">
            <w:pPr>
              <w:rPr>
                <w:b/>
                <w:bCs/>
                <w:noProof/>
              </w:rPr>
            </w:pPr>
            <w:r w:rsidRPr="00542EB9">
              <w:rPr>
                <w:b/>
                <w:bCs/>
                <w:noProof/>
              </w:rPr>
              <w:t>++</w:t>
            </w:r>
          </w:p>
        </w:tc>
        <w:tc>
          <w:tcPr>
            <w:tcW w:w="1376" w:type="pct"/>
          </w:tcPr>
          <w:p w14:paraId="35A083CA" w14:textId="77777777" w:rsidR="0009346A" w:rsidRPr="00542EB9" w:rsidRDefault="0009346A" w:rsidP="0009346A">
            <w:pPr>
              <w:rPr>
                <w:b/>
                <w:bCs/>
                <w:noProof/>
              </w:rPr>
            </w:pPr>
            <w:r w:rsidRPr="00542EB9">
              <w:rPr>
                <w:b/>
                <w:bCs/>
                <w:noProof/>
              </w:rPr>
              <w:t>+++</w:t>
            </w:r>
          </w:p>
        </w:tc>
      </w:tr>
      <w:tr w:rsidR="00BC765E" w:rsidRPr="00542EB9" w14:paraId="5F542CF6" w14:textId="77777777" w:rsidTr="00214496">
        <w:tc>
          <w:tcPr>
            <w:tcW w:w="871" w:type="pct"/>
          </w:tcPr>
          <w:p w14:paraId="388AA0B7" w14:textId="77777777" w:rsidR="0009346A" w:rsidRPr="00542EB9" w:rsidRDefault="0009346A" w:rsidP="0009346A">
            <w:pPr>
              <w:rPr>
                <w:b/>
                <w:bCs/>
                <w:noProof/>
              </w:rPr>
            </w:pPr>
            <w:r w:rsidRPr="00542EB9">
              <w:rPr>
                <w:b/>
                <w:bCs/>
                <w:noProof/>
              </w:rPr>
              <w:t>EU added value</w:t>
            </w:r>
          </w:p>
        </w:tc>
        <w:tc>
          <w:tcPr>
            <w:tcW w:w="1376" w:type="pct"/>
          </w:tcPr>
          <w:p w14:paraId="39446FFC" w14:textId="77777777" w:rsidR="0009346A" w:rsidRPr="00542EB9" w:rsidRDefault="0009346A" w:rsidP="0009346A">
            <w:pPr>
              <w:rPr>
                <w:b/>
                <w:bCs/>
                <w:noProof/>
              </w:rPr>
            </w:pPr>
            <w:r w:rsidRPr="00542EB9">
              <w:rPr>
                <w:b/>
                <w:bCs/>
                <w:noProof/>
              </w:rPr>
              <w:t>0</w:t>
            </w:r>
          </w:p>
        </w:tc>
        <w:tc>
          <w:tcPr>
            <w:tcW w:w="1377" w:type="pct"/>
          </w:tcPr>
          <w:p w14:paraId="1188F8C8" w14:textId="77777777" w:rsidR="0009346A" w:rsidRPr="00542EB9" w:rsidRDefault="0009346A" w:rsidP="0009346A">
            <w:pPr>
              <w:rPr>
                <w:b/>
                <w:bCs/>
                <w:noProof/>
              </w:rPr>
            </w:pPr>
            <w:r w:rsidRPr="00542EB9">
              <w:rPr>
                <w:b/>
                <w:bCs/>
                <w:noProof/>
              </w:rPr>
              <w:t>0</w:t>
            </w:r>
          </w:p>
        </w:tc>
        <w:tc>
          <w:tcPr>
            <w:tcW w:w="1376" w:type="pct"/>
          </w:tcPr>
          <w:p w14:paraId="4EBCC927" w14:textId="77777777" w:rsidR="0009346A" w:rsidRPr="00542EB9" w:rsidRDefault="0009346A" w:rsidP="0009346A">
            <w:pPr>
              <w:rPr>
                <w:b/>
                <w:bCs/>
                <w:noProof/>
              </w:rPr>
            </w:pPr>
            <w:r w:rsidRPr="00542EB9">
              <w:rPr>
                <w:b/>
                <w:bCs/>
                <w:noProof/>
              </w:rPr>
              <w:t>+</w:t>
            </w:r>
          </w:p>
        </w:tc>
      </w:tr>
      <w:tr w:rsidR="00BC765E" w:rsidRPr="00542EB9" w14:paraId="2F1F56E7" w14:textId="77777777" w:rsidTr="00214496">
        <w:tc>
          <w:tcPr>
            <w:tcW w:w="871" w:type="pct"/>
          </w:tcPr>
          <w:p w14:paraId="60A35C3E" w14:textId="77777777" w:rsidR="0009346A" w:rsidRPr="00542EB9" w:rsidRDefault="0009346A" w:rsidP="0009346A">
            <w:pPr>
              <w:rPr>
                <w:b/>
                <w:bCs/>
                <w:noProof/>
              </w:rPr>
            </w:pPr>
            <w:r w:rsidRPr="00542EB9">
              <w:rPr>
                <w:b/>
                <w:bCs/>
                <w:noProof/>
              </w:rPr>
              <w:t>Need for risk mitigation measures</w:t>
            </w:r>
          </w:p>
        </w:tc>
        <w:tc>
          <w:tcPr>
            <w:tcW w:w="1376" w:type="pct"/>
          </w:tcPr>
          <w:p w14:paraId="76169DD9" w14:textId="77777777" w:rsidR="0009346A" w:rsidRPr="00542EB9" w:rsidRDefault="0009346A" w:rsidP="0009346A">
            <w:pPr>
              <w:rPr>
                <w:b/>
                <w:bCs/>
                <w:noProof/>
              </w:rPr>
            </w:pPr>
            <w:r w:rsidRPr="00542EB9">
              <w:rPr>
                <w:b/>
                <w:bCs/>
                <w:noProof/>
              </w:rPr>
              <w:t>0</w:t>
            </w:r>
          </w:p>
        </w:tc>
        <w:tc>
          <w:tcPr>
            <w:tcW w:w="1377" w:type="pct"/>
          </w:tcPr>
          <w:p w14:paraId="5CB27A2D" w14:textId="77777777" w:rsidR="0009346A" w:rsidRPr="00542EB9" w:rsidRDefault="0009346A" w:rsidP="0009346A">
            <w:pPr>
              <w:rPr>
                <w:b/>
                <w:bCs/>
                <w:noProof/>
              </w:rPr>
            </w:pPr>
            <w:r w:rsidRPr="00542EB9">
              <w:rPr>
                <w:b/>
                <w:bCs/>
                <w:noProof/>
              </w:rPr>
              <w:t>-</w:t>
            </w:r>
          </w:p>
        </w:tc>
        <w:tc>
          <w:tcPr>
            <w:tcW w:w="1376" w:type="pct"/>
          </w:tcPr>
          <w:p w14:paraId="4606035D" w14:textId="77777777" w:rsidR="0009346A" w:rsidRPr="00542EB9" w:rsidRDefault="0009346A" w:rsidP="0009346A">
            <w:pPr>
              <w:rPr>
                <w:b/>
                <w:bCs/>
                <w:noProof/>
              </w:rPr>
            </w:pPr>
            <w:r w:rsidRPr="00542EB9">
              <w:rPr>
                <w:b/>
                <w:bCs/>
                <w:noProof/>
              </w:rPr>
              <w:t>--</w:t>
            </w:r>
          </w:p>
        </w:tc>
      </w:tr>
    </w:tbl>
    <w:p w14:paraId="3BE18480" w14:textId="2B950CA6" w:rsidR="00ED0BCA" w:rsidRPr="00542EB9" w:rsidRDefault="00214496" w:rsidP="007F3105">
      <w:pPr>
        <w:rPr>
          <w:noProof/>
        </w:rPr>
      </w:pPr>
      <w:r w:rsidRPr="00542EB9">
        <w:rPr>
          <w:i/>
          <w:iCs/>
          <w:noProof/>
        </w:rPr>
        <w:t>Significantly better (+++), moderately better (++), slightly better (+), no change (0), slightly worse (-), moderately worse (--), significantly worse (---).</w:t>
      </w:r>
    </w:p>
    <w:p w14:paraId="0DE79333" w14:textId="7AA5B294" w:rsidR="00A23F59" w:rsidRPr="00542EB9" w:rsidRDefault="00ED0BCA" w:rsidP="00A23F59">
      <w:pPr>
        <w:rPr>
          <w:noProof/>
        </w:rPr>
      </w:pPr>
      <w:r w:rsidRPr="00542EB9">
        <w:rPr>
          <w:noProof/>
        </w:rPr>
        <w:t xml:space="preserve">Related to effectiveness, </w:t>
      </w:r>
      <w:r w:rsidR="00A23F59" w:rsidRPr="00542EB9">
        <w:rPr>
          <w:noProof/>
        </w:rPr>
        <w:t xml:space="preserve">the unified Scenario offers the greatest potential to address knowledge and data gaps, as well as other barriers, through broad, horizontal information and advice services spanning all policy fields. Under the continuity and integrated Scenarios, information and advice services for authorities, consumers, and businesses would likely remain fragmented across policy areas. The integrated and unified scenarios could both introduce a common rulebook, enabling communication across policy fields. </w:t>
      </w:r>
    </w:p>
    <w:p w14:paraId="18E0A41F" w14:textId="77777777" w:rsidR="00B01BEB" w:rsidRPr="00542EB9" w:rsidRDefault="00B01BEB" w:rsidP="00B01BEB">
      <w:pPr>
        <w:rPr>
          <w:noProof/>
        </w:rPr>
      </w:pPr>
      <w:r w:rsidRPr="00542EB9">
        <w:rPr>
          <w:noProof/>
        </w:rPr>
        <w:t>Regarding efficiency, the unified scenario offers the greatest potential for flexibility, synergies, and simplification, enabled by joint and horizontal activities and by programme features such as joint procurement. It also allows for cost savings through the use of common templates and streamlined procedures for work programmes, annual management plans, activity reports, Commission Implementing Decisions, and centralised procurement. The integrated scenario provides less potential for added flexibility, synergies, and simplification. Both the integrated and unified scenarios could reduce programme development and management costs by limiting duplication across previously separate programmes, and could lower administrative burden through a Common Rulebook. All scenarios offer some potential for gradually reducing the administrative burden for applicants, beneficiaries, and participants compared to existing programmes.</w:t>
      </w:r>
    </w:p>
    <w:p w14:paraId="109D5758" w14:textId="569BCECB" w:rsidR="003B1E2C" w:rsidRPr="00542EB9" w:rsidRDefault="00B01BEB" w:rsidP="003B1E2C">
      <w:pPr>
        <w:rPr>
          <w:noProof/>
        </w:rPr>
      </w:pPr>
      <w:r w:rsidRPr="00542EB9">
        <w:rPr>
          <w:noProof/>
        </w:rPr>
        <w:t xml:space="preserve">On coherence, </w:t>
      </w:r>
      <w:r w:rsidR="003B1E2C" w:rsidRPr="00542EB9">
        <w:rPr>
          <w:noProof/>
        </w:rPr>
        <w:t>the unified scenario provides the strongest potential, particularly through synergies in cross-cutting interventions—such as supporting networks of national authorities and delivering information and advice to consumers and businesses. The integrated scenario also enables greater coherence by aligning or coordinating activities currently spread across separate pillars or programmes serving the same policy areas. Both the integrated and unified scenarios offer scope for synergies in building the capacity of national authorities, promoting their cooperation, and improving information provision to consumers and businesses, though such gains may depend on joint funding arrangements. The continuity scenario ensures internal coherence within individual programmes but does not enhance coherence between them. It must be noted that none of the scenarios show incoherence with other EU policies or programmes.</w:t>
      </w:r>
    </w:p>
    <w:p w14:paraId="6535D955" w14:textId="77777777" w:rsidR="00463203" w:rsidRPr="00542EB9" w:rsidRDefault="00463203" w:rsidP="00463203">
      <w:pPr>
        <w:rPr>
          <w:noProof/>
        </w:rPr>
      </w:pPr>
      <w:r w:rsidRPr="00542EB9">
        <w:rPr>
          <w:noProof/>
        </w:rPr>
        <w:t>Concerning the EU added-value created by the Programme, the unified scenario offers the highest potential, particularly where it enables more or more effective capacity-building and coordinated actions for national authorities. All scenarios offer EU added value by supporting activities necessary for the Commission to meet incumbent legal obligations, financing transnational and cross-border services and digital platforms, and supporting capacity-building and coordination among national authorities—initiatives that would be less feasible or cost-effective if undertaken at national level.</w:t>
      </w:r>
    </w:p>
    <w:p w14:paraId="1B8F3177" w14:textId="442788B8" w:rsidR="00ED5D1B" w:rsidRPr="00542EB9" w:rsidRDefault="0088224E" w:rsidP="658819FF">
      <w:pPr>
        <w:rPr>
          <w:noProof/>
        </w:rPr>
      </w:pPr>
      <w:r w:rsidRPr="00542EB9">
        <w:rPr>
          <w:noProof/>
        </w:rPr>
        <w:t>When it comes to the need for risk mitigation measures, the unified scenario poses the most significant risks, including in particular higher adjustment and adaptation costs for establishing new governance and management structures, potential duplication or confusion between activities, and potential inflexibility where uniform rules or funding rates do not suit all policy areas. It may also lead to additional burden and transaction costs related to programme-level coordination and management. Both the integrated and unified scenarios may require mitigation measures such as enhanced programme-level coordination, support for applicants and at the outset, and mechanisms for monitoring and adjustments.</w:t>
      </w:r>
    </w:p>
    <w:p w14:paraId="53855973" w14:textId="26EADF8F" w:rsidR="00B62BC8" w:rsidRPr="00542EB9" w:rsidRDefault="000D5259" w:rsidP="658819FF">
      <w:pPr>
        <w:rPr>
          <w:noProof/>
        </w:rPr>
      </w:pPr>
      <w:r w:rsidRPr="00542EB9">
        <w:rPr>
          <w:noProof/>
        </w:rPr>
        <w:t>Flexibility is key in guaranteeing the budget’s ability to respond to a changing reality along with simplification and synergies</w:t>
      </w:r>
      <w:r w:rsidR="00484259" w:rsidRPr="00542EB9">
        <w:rPr>
          <w:noProof/>
        </w:rPr>
        <w:t xml:space="preserve"> while </w:t>
      </w:r>
      <w:r w:rsidR="00C63D75" w:rsidRPr="00542EB9">
        <w:rPr>
          <w:noProof/>
        </w:rPr>
        <w:t xml:space="preserve">preserving the certainty needed to fulfil </w:t>
      </w:r>
      <w:r w:rsidR="00A67BF6" w:rsidRPr="00542EB9">
        <w:rPr>
          <w:noProof/>
        </w:rPr>
        <w:t xml:space="preserve">the requirements </w:t>
      </w:r>
      <w:r w:rsidR="001F153B" w:rsidRPr="00542EB9">
        <w:rPr>
          <w:noProof/>
        </w:rPr>
        <w:t>established by</w:t>
      </w:r>
      <w:r w:rsidR="00A67BF6" w:rsidRPr="00542EB9">
        <w:rPr>
          <w:noProof/>
        </w:rPr>
        <w:t xml:space="preserve"> </w:t>
      </w:r>
      <w:r w:rsidR="00C63D75" w:rsidRPr="00542EB9">
        <w:rPr>
          <w:noProof/>
        </w:rPr>
        <w:t>legal obligations</w:t>
      </w:r>
      <w:r w:rsidRPr="00542EB9">
        <w:rPr>
          <w:noProof/>
        </w:rPr>
        <w:t>. The flexibility offered by a unified scenario</w:t>
      </w:r>
      <w:r w:rsidR="00C41375" w:rsidRPr="00542EB9">
        <w:rPr>
          <w:noProof/>
        </w:rPr>
        <w:t xml:space="preserve"> consolidating </w:t>
      </w:r>
      <w:r w:rsidR="003C1868" w:rsidRPr="00542EB9">
        <w:rPr>
          <w:noProof/>
        </w:rPr>
        <w:t>five</w:t>
      </w:r>
      <w:r w:rsidR="00C41375" w:rsidRPr="00542EB9">
        <w:rPr>
          <w:noProof/>
        </w:rPr>
        <w:t xml:space="preserve"> predecessor programmes</w:t>
      </w:r>
      <w:r w:rsidRPr="00542EB9">
        <w:rPr>
          <w:noProof/>
        </w:rPr>
        <w:t xml:space="preserve"> </w:t>
      </w:r>
      <w:r w:rsidR="001F153B" w:rsidRPr="00542EB9">
        <w:rPr>
          <w:noProof/>
        </w:rPr>
        <w:t>enables</w:t>
      </w:r>
      <w:r w:rsidRPr="00542EB9">
        <w:rPr>
          <w:noProof/>
        </w:rPr>
        <w:t xml:space="preserve"> to better address in an agile manner complex and emerging challenges</w:t>
      </w:r>
      <w:r w:rsidR="009E3AEB" w:rsidRPr="00542EB9">
        <w:rPr>
          <w:noProof/>
        </w:rPr>
        <w:t xml:space="preserve"> while simplifying</w:t>
      </w:r>
      <w:r w:rsidR="00141230" w:rsidRPr="00542EB9">
        <w:rPr>
          <w:noProof/>
        </w:rPr>
        <w:t xml:space="preserve"> and streamlining</w:t>
      </w:r>
      <w:r w:rsidR="009E3AEB" w:rsidRPr="00542EB9">
        <w:rPr>
          <w:noProof/>
        </w:rPr>
        <w:t xml:space="preserve"> </w:t>
      </w:r>
      <w:r w:rsidR="00A32DCE" w:rsidRPr="00542EB9">
        <w:rPr>
          <w:noProof/>
        </w:rPr>
        <w:t xml:space="preserve">access to </w:t>
      </w:r>
      <w:r w:rsidR="009E3AEB" w:rsidRPr="00542EB9">
        <w:rPr>
          <w:noProof/>
        </w:rPr>
        <w:t>EU funding</w:t>
      </w:r>
      <w:r w:rsidRPr="00542EB9">
        <w:rPr>
          <w:noProof/>
        </w:rPr>
        <w:t xml:space="preserve">. </w:t>
      </w:r>
      <w:r w:rsidR="007A7CCD" w:rsidRPr="00542EB9">
        <w:rPr>
          <w:noProof/>
        </w:rPr>
        <w:t>Ultimately, the unified scenario has the most potential to achieve the general objective of the programme.</w:t>
      </w:r>
    </w:p>
    <w:p w14:paraId="2975C9B5" w14:textId="52AE4C89" w:rsidR="006B087E" w:rsidRPr="00542EB9" w:rsidRDefault="00A1725B" w:rsidP="00BD0E6A">
      <w:pPr>
        <w:rPr>
          <w:noProof/>
        </w:rPr>
      </w:pPr>
      <w:r w:rsidRPr="00542EB9">
        <w:rPr>
          <w:rFonts w:eastAsia="Aptos"/>
          <w:noProof/>
        </w:rPr>
        <w:t>In conclusion, the concerned policy areas</w:t>
      </w:r>
      <w:r w:rsidR="00C618FF" w:rsidRPr="00542EB9">
        <w:rPr>
          <w:rFonts w:eastAsia="Aptos"/>
          <w:noProof/>
        </w:rPr>
        <w:t xml:space="preserve"> can</w:t>
      </w:r>
      <w:r w:rsidR="00353015" w:rsidRPr="00542EB9">
        <w:rPr>
          <w:noProof/>
        </w:rPr>
        <w:t xml:space="preserve"> be</w:t>
      </w:r>
      <w:r w:rsidR="00BC0CD0" w:rsidRPr="00542EB9">
        <w:rPr>
          <w:noProof/>
        </w:rPr>
        <w:t xml:space="preserve"> best</w:t>
      </w:r>
      <w:r w:rsidR="00353015" w:rsidRPr="00542EB9">
        <w:rPr>
          <w:noProof/>
        </w:rPr>
        <w:t xml:space="preserve"> tackled with </w:t>
      </w:r>
      <w:r w:rsidR="00036D0C" w:rsidRPr="00542EB9">
        <w:rPr>
          <w:noProof/>
        </w:rPr>
        <w:t xml:space="preserve">the </w:t>
      </w:r>
      <w:r w:rsidR="00036D0C" w:rsidRPr="00542EB9">
        <w:rPr>
          <w:bCs/>
          <w:noProof/>
        </w:rPr>
        <w:t>unified scenario</w:t>
      </w:r>
      <w:r w:rsidR="00353015" w:rsidRPr="00542EB9">
        <w:rPr>
          <w:noProof/>
        </w:rPr>
        <w:t xml:space="preserve"> by simplifying </w:t>
      </w:r>
      <w:r w:rsidR="00E05C45" w:rsidRPr="00542EB9">
        <w:rPr>
          <w:noProof/>
        </w:rPr>
        <w:t xml:space="preserve">and streamlining </w:t>
      </w:r>
      <w:r w:rsidR="00353015" w:rsidRPr="00542EB9">
        <w:rPr>
          <w:noProof/>
        </w:rPr>
        <w:t>procedures which would help promote EU policies and programmes and fostering stakeholders’ involvement and the relevance of activities</w:t>
      </w:r>
      <w:r w:rsidR="00BC0EF5" w:rsidRPr="00542EB9">
        <w:rPr>
          <w:noProof/>
        </w:rPr>
        <w:t xml:space="preserve"> while maintaining the flexibility, synergy and simplicity that the program aims to provide</w:t>
      </w:r>
      <w:r w:rsidR="00353015" w:rsidRPr="00542EB9">
        <w:rPr>
          <w:noProof/>
        </w:rPr>
        <w:t xml:space="preserve">. </w:t>
      </w:r>
      <w:r w:rsidR="00BD0E6A" w:rsidRPr="00542EB9">
        <w:rPr>
          <w:noProof/>
        </w:rPr>
        <w:t>Moreover</w:t>
      </w:r>
      <w:r w:rsidR="00654CB5" w:rsidRPr="00542EB9">
        <w:rPr>
          <w:noProof/>
        </w:rPr>
        <w:t>, the unified scenario</w:t>
      </w:r>
      <w:r w:rsidR="00FE66C1" w:rsidRPr="00542EB9">
        <w:rPr>
          <w:noProof/>
        </w:rPr>
        <w:t xml:space="preserve"> </w:t>
      </w:r>
      <w:r w:rsidR="00AE6600" w:rsidRPr="00542EB9">
        <w:rPr>
          <w:noProof/>
        </w:rPr>
        <w:t>brings</w:t>
      </w:r>
      <w:r w:rsidR="00C7411F" w:rsidRPr="00542EB9">
        <w:rPr>
          <w:noProof/>
        </w:rPr>
        <w:t xml:space="preserve"> enhanced operational and administrative synergies, increased efficiency and flexibility, reducing the administrative burden through simplified programme/EU funding procedures and improved digital-ready and evidence-based policymaking.</w:t>
      </w:r>
      <w:r w:rsidR="008C5507" w:rsidRPr="00542EB9">
        <w:rPr>
          <w:noProof/>
        </w:rPr>
        <w:t xml:space="preserve"> </w:t>
      </w:r>
      <w:r w:rsidR="00031ECF" w:rsidRPr="00542EB9">
        <w:rPr>
          <w:noProof/>
        </w:rPr>
        <w:t>Through well-developed programme governance</w:t>
      </w:r>
      <w:r w:rsidR="00576AA8" w:rsidRPr="00542EB9">
        <w:rPr>
          <w:noProof/>
        </w:rPr>
        <w:t xml:space="preserve"> and clear governance structures and</w:t>
      </w:r>
      <w:r w:rsidR="00031ECF" w:rsidRPr="00542EB9">
        <w:rPr>
          <w:noProof/>
        </w:rPr>
        <w:t xml:space="preserve"> coordination, simplified processes, integrated digital tools, </w:t>
      </w:r>
      <w:r w:rsidR="00621671" w:rsidRPr="00542EB9">
        <w:rPr>
          <w:noProof/>
        </w:rPr>
        <w:t>cross-policy synergies</w:t>
      </w:r>
      <w:r w:rsidR="00A81102" w:rsidRPr="00542EB9">
        <w:rPr>
          <w:noProof/>
        </w:rPr>
        <w:t xml:space="preserve">, </w:t>
      </w:r>
      <w:r w:rsidR="00AC38EF" w:rsidRPr="00542EB9">
        <w:rPr>
          <w:noProof/>
        </w:rPr>
        <w:t xml:space="preserve">stakeholder engagement, </w:t>
      </w:r>
      <w:r w:rsidR="008C5507" w:rsidRPr="00542EB9">
        <w:rPr>
          <w:noProof/>
        </w:rPr>
        <w:t xml:space="preserve">the unified scenario </w:t>
      </w:r>
      <w:r w:rsidR="00A81102" w:rsidRPr="00542EB9">
        <w:rPr>
          <w:noProof/>
        </w:rPr>
        <w:t xml:space="preserve">has the benefit to </w:t>
      </w:r>
      <w:r w:rsidR="00CD3CFA" w:rsidRPr="00542EB9">
        <w:rPr>
          <w:noProof/>
        </w:rPr>
        <w:t>offer a holistic approach that balances flexib</w:t>
      </w:r>
      <w:r w:rsidR="00CC412F" w:rsidRPr="00542EB9">
        <w:rPr>
          <w:noProof/>
        </w:rPr>
        <w:t>ility</w:t>
      </w:r>
      <w:r w:rsidR="00E90217" w:rsidRPr="00542EB9">
        <w:rPr>
          <w:noProof/>
        </w:rPr>
        <w:t xml:space="preserve"> with efficiency w</w:t>
      </w:r>
      <w:r w:rsidR="00BB4067" w:rsidRPr="00542EB9">
        <w:rPr>
          <w:noProof/>
        </w:rPr>
        <w:t>hi</w:t>
      </w:r>
      <w:r w:rsidR="00AA63CC" w:rsidRPr="00542EB9">
        <w:rPr>
          <w:noProof/>
        </w:rPr>
        <w:t>le</w:t>
      </w:r>
      <w:r w:rsidR="00E90217" w:rsidRPr="00542EB9">
        <w:rPr>
          <w:noProof/>
        </w:rPr>
        <w:t xml:space="preserve"> </w:t>
      </w:r>
      <w:r w:rsidR="00AA63CC" w:rsidRPr="00542EB9">
        <w:rPr>
          <w:noProof/>
        </w:rPr>
        <w:t xml:space="preserve">still safeguarding </w:t>
      </w:r>
      <w:r w:rsidR="00E90217" w:rsidRPr="00542EB9">
        <w:rPr>
          <w:noProof/>
        </w:rPr>
        <w:t>the progra</w:t>
      </w:r>
      <w:r w:rsidR="00F82553" w:rsidRPr="00542EB9">
        <w:rPr>
          <w:noProof/>
        </w:rPr>
        <w:t>mme’s</w:t>
      </w:r>
      <w:r w:rsidR="00AA63CC" w:rsidRPr="00542EB9">
        <w:rPr>
          <w:noProof/>
        </w:rPr>
        <w:t xml:space="preserve"> objectives. </w:t>
      </w:r>
      <w:r w:rsidR="008C5507" w:rsidRPr="00542EB9">
        <w:rPr>
          <w:noProof/>
        </w:rPr>
        <w:t xml:space="preserve"> </w:t>
      </w:r>
    </w:p>
    <w:p w14:paraId="76B9D107" w14:textId="0FB8F665" w:rsidR="2CEB5DE4" w:rsidRPr="00542EB9" w:rsidRDefault="2CEB5DE4" w:rsidP="658819FF">
      <w:pPr>
        <w:pStyle w:val="Heading1"/>
        <w:rPr>
          <w:noProof/>
        </w:rPr>
      </w:pPr>
      <w:bookmarkStart w:id="61" w:name="_Toc191909154"/>
      <w:bookmarkStart w:id="62" w:name="_Toc198549059"/>
      <w:r w:rsidRPr="00542EB9">
        <w:rPr>
          <w:noProof/>
        </w:rPr>
        <w:t>How will actual impacts be monitored and evaluated?</w:t>
      </w:r>
      <w:bookmarkEnd w:id="61"/>
      <w:bookmarkEnd w:id="62"/>
    </w:p>
    <w:p w14:paraId="0BE4E937" w14:textId="515DC23A" w:rsidR="4030CC1A" w:rsidRPr="00542EB9" w:rsidRDefault="4030CC1A" w:rsidP="00B26F84">
      <w:pPr>
        <w:spacing w:after="0"/>
        <w:rPr>
          <w:rFonts w:eastAsia="Times New Roman"/>
          <w:noProof/>
        </w:rPr>
      </w:pPr>
      <w:r w:rsidRPr="00542EB9">
        <w:rPr>
          <w:rFonts w:eastAsia="Times New Roman"/>
          <w:noProof/>
        </w:rPr>
        <w:t>This initiative will be monitored through the performance framework for the post-2027 budget, which is examined in a separate impact assessment. The performance framework provides for an implementation report during the implementation phase of the programme, as well as a retrospective evaluation to be carried out in accordance with Article 34(3) of Regulation (EU, Euratom) 2024/2509. The evaluation shall be conducted in accordance with the Commission's Better Regulation Guidelines and will be based on indicators relevant to the objectives of the programme.</w:t>
      </w:r>
    </w:p>
    <w:p w14:paraId="717BB718" w14:textId="77777777" w:rsidR="006B087E" w:rsidRPr="00542EB9" w:rsidRDefault="006B087E" w:rsidP="00FA5F81">
      <w:pPr>
        <w:pStyle w:val="AnnexTitle"/>
        <w:rPr>
          <w:noProof/>
        </w:rPr>
      </w:pPr>
      <w:bookmarkStart w:id="63" w:name="_Toc191909155"/>
      <w:bookmarkStart w:id="64" w:name="_Toc198549060"/>
      <w:r w:rsidRPr="00542EB9">
        <w:rPr>
          <w:noProof/>
        </w:rPr>
        <w:t>Annex 1: Procedural information</w:t>
      </w:r>
      <w:bookmarkEnd w:id="63"/>
      <w:bookmarkEnd w:id="64"/>
    </w:p>
    <w:p w14:paraId="5D9DF228" w14:textId="302159C1" w:rsidR="006B087E" w:rsidRPr="00542EB9" w:rsidRDefault="006B087E" w:rsidP="00306B02">
      <w:pPr>
        <w:pStyle w:val="Heading1"/>
        <w:numPr>
          <w:ilvl w:val="0"/>
          <w:numId w:val="108"/>
        </w:numPr>
        <w:rPr>
          <w:noProof/>
        </w:rPr>
      </w:pPr>
      <w:bookmarkStart w:id="65" w:name="_Toc471997754"/>
      <w:bookmarkStart w:id="66" w:name="_Toc191909156"/>
      <w:bookmarkStart w:id="67" w:name="_Toc198549061"/>
      <w:r w:rsidRPr="00542EB9">
        <w:rPr>
          <w:noProof/>
        </w:rPr>
        <w:t>Lead DG, Decide Planning/CWP references</w:t>
      </w:r>
      <w:bookmarkEnd w:id="65"/>
      <w:bookmarkEnd w:id="66"/>
      <w:bookmarkEnd w:id="67"/>
    </w:p>
    <w:p w14:paraId="0A7D0D05" w14:textId="79500FE4" w:rsidR="009E5120" w:rsidRPr="00542EB9" w:rsidRDefault="009D26A6" w:rsidP="009D26A6">
      <w:pPr>
        <w:pStyle w:val="Text1"/>
        <w:ind w:left="0"/>
        <w:rPr>
          <w:noProof/>
        </w:rPr>
      </w:pPr>
      <w:r w:rsidRPr="00542EB9">
        <w:rPr>
          <w:noProof/>
        </w:rPr>
        <w:t>Lead Directorates-General (DGs)</w:t>
      </w:r>
      <w:r w:rsidR="00B07B33" w:rsidRPr="00542EB9">
        <w:rPr>
          <w:noProof/>
        </w:rPr>
        <w:t>: DG GROW, DG TAXUD</w:t>
      </w:r>
    </w:p>
    <w:p w14:paraId="24B13963" w14:textId="40D92781" w:rsidR="002E6910" w:rsidRPr="00542EB9" w:rsidRDefault="002E6910" w:rsidP="003A5FB5">
      <w:pPr>
        <w:pStyle w:val="Text1"/>
        <w:ind w:left="0"/>
        <w:rPr>
          <w:rFonts w:eastAsiaTheme="minorHAnsi"/>
          <w:noProof/>
          <w:szCs w:val="24"/>
        </w:rPr>
      </w:pPr>
      <w:r w:rsidRPr="00542EB9">
        <w:rPr>
          <w:rFonts w:eastAsia="MyriadPro-Light"/>
          <w:noProof/>
          <w:szCs w:val="19"/>
        </w:rPr>
        <w:t>Decide planning and Commission Work Programme references</w:t>
      </w:r>
      <w:r w:rsidR="009F663E" w:rsidRPr="00542EB9">
        <w:rPr>
          <w:rFonts w:eastAsia="MyriadPro-Light"/>
          <w:noProof/>
          <w:szCs w:val="19"/>
        </w:rPr>
        <w:t>: N/A</w:t>
      </w:r>
    </w:p>
    <w:p w14:paraId="68995DB5" w14:textId="47BDB9A3" w:rsidR="006B087E" w:rsidRPr="00542EB9" w:rsidRDefault="006B087E" w:rsidP="5DD21FD3">
      <w:pPr>
        <w:pStyle w:val="Heading1"/>
        <w:rPr>
          <w:noProof/>
        </w:rPr>
      </w:pPr>
      <w:bookmarkStart w:id="68" w:name="_Toc471997755"/>
      <w:bookmarkStart w:id="69" w:name="_Toc191909157"/>
      <w:bookmarkStart w:id="70" w:name="_Toc198549062"/>
      <w:r w:rsidRPr="00542EB9">
        <w:rPr>
          <w:noProof/>
        </w:rPr>
        <w:t>Organisation and timing</w:t>
      </w:r>
      <w:bookmarkEnd w:id="68"/>
      <w:bookmarkEnd w:id="69"/>
      <w:bookmarkEnd w:id="70"/>
      <w:r w:rsidR="00936E60" w:rsidRPr="00542EB9">
        <w:rPr>
          <w:noProof/>
        </w:rPr>
        <w:t xml:space="preserve"> </w:t>
      </w:r>
      <w:r w:rsidR="004923B7" w:rsidRPr="00542EB9">
        <w:rPr>
          <w:i/>
          <w:iCs/>
          <w:noProof/>
        </w:rPr>
        <w:t xml:space="preserve"> </w:t>
      </w:r>
    </w:p>
    <w:p w14:paraId="599011B0" w14:textId="2F7CCAFF" w:rsidR="00A337BE" w:rsidRPr="00542EB9" w:rsidRDefault="00A337BE" w:rsidP="00A337BE">
      <w:pPr>
        <w:rPr>
          <w:rFonts w:eastAsia="MyriadPro-Light"/>
          <w:noProof/>
          <w:szCs w:val="19"/>
        </w:rPr>
      </w:pPr>
      <w:r w:rsidRPr="00542EB9">
        <w:rPr>
          <w:rFonts w:eastAsia="MyriadPro-Light"/>
          <w:noProof/>
          <w:szCs w:val="19"/>
        </w:rPr>
        <w:t>The Inter-Service Steering Group for this initiative was chaired by the SG</w:t>
      </w:r>
      <w:r w:rsidR="001E3E5E" w:rsidRPr="00542EB9">
        <w:rPr>
          <w:rFonts w:eastAsia="MyriadPro-Light"/>
          <w:noProof/>
          <w:szCs w:val="19"/>
        </w:rPr>
        <w:t xml:space="preserve"> in close coordination with DG BUDG</w:t>
      </w:r>
      <w:r w:rsidRPr="00542EB9">
        <w:rPr>
          <w:rFonts w:eastAsia="MyriadPro-Light"/>
          <w:noProof/>
          <w:szCs w:val="19"/>
        </w:rPr>
        <w:t>.</w:t>
      </w:r>
      <w:r w:rsidR="00AC7B88" w:rsidRPr="00542EB9">
        <w:rPr>
          <w:rFonts w:eastAsia="MyriadPro-Light"/>
          <w:noProof/>
          <w:szCs w:val="19"/>
        </w:rPr>
        <w:t xml:space="preserve"> </w:t>
      </w:r>
      <w:r w:rsidR="00F54536" w:rsidRPr="00542EB9">
        <w:rPr>
          <w:noProof/>
        </w:rPr>
        <w:t xml:space="preserve">The ISSG was composed of DGs GROW, </w:t>
      </w:r>
      <w:r w:rsidR="00EB4852" w:rsidRPr="00542EB9">
        <w:rPr>
          <w:noProof/>
        </w:rPr>
        <w:t>TAXUD</w:t>
      </w:r>
      <w:r w:rsidR="00F54536" w:rsidRPr="00542EB9">
        <w:rPr>
          <w:noProof/>
        </w:rPr>
        <w:t xml:space="preserve">, COMP, </w:t>
      </w:r>
      <w:r w:rsidR="00751746" w:rsidRPr="00542EB9">
        <w:rPr>
          <w:noProof/>
        </w:rPr>
        <w:t xml:space="preserve">DIGIT, ECFIN, </w:t>
      </w:r>
      <w:r w:rsidR="00B358FE" w:rsidRPr="00542EB9">
        <w:rPr>
          <w:noProof/>
        </w:rPr>
        <w:t>ESTAT,</w:t>
      </w:r>
      <w:r w:rsidR="00F54536" w:rsidRPr="00542EB9">
        <w:rPr>
          <w:noProof/>
        </w:rPr>
        <w:t xml:space="preserve"> </w:t>
      </w:r>
      <w:r w:rsidR="00751746" w:rsidRPr="00542EB9">
        <w:rPr>
          <w:noProof/>
        </w:rPr>
        <w:t xml:space="preserve">FISMA, </w:t>
      </w:r>
      <w:r w:rsidR="007706F7" w:rsidRPr="00542EB9">
        <w:rPr>
          <w:noProof/>
        </w:rPr>
        <w:t>JRC</w:t>
      </w:r>
      <w:r w:rsidR="003E1699" w:rsidRPr="00542EB9">
        <w:rPr>
          <w:noProof/>
        </w:rPr>
        <w:t xml:space="preserve">, </w:t>
      </w:r>
      <w:r w:rsidR="000F5575" w:rsidRPr="00542EB9">
        <w:rPr>
          <w:noProof/>
        </w:rPr>
        <w:t xml:space="preserve">JUST, OLAF, </w:t>
      </w:r>
      <w:r w:rsidR="00F54536" w:rsidRPr="00542EB9">
        <w:rPr>
          <w:noProof/>
        </w:rPr>
        <w:t xml:space="preserve">SANTE, </w:t>
      </w:r>
      <w:r w:rsidR="00B46F5A" w:rsidRPr="00542EB9">
        <w:rPr>
          <w:noProof/>
        </w:rPr>
        <w:t xml:space="preserve">SG </w:t>
      </w:r>
      <w:r w:rsidR="000F5575" w:rsidRPr="00542EB9">
        <w:rPr>
          <w:noProof/>
        </w:rPr>
        <w:t>REFORM</w:t>
      </w:r>
      <w:r w:rsidR="00585C1C" w:rsidRPr="00542EB9">
        <w:rPr>
          <w:noProof/>
        </w:rPr>
        <w:t xml:space="preserve"> and representatives of the LS</w:t>
      </w:r>
      <w:r w:rsidR="00A06775" w:rsidRPr="00542EB9">
        <w:rPr>
          <w:noProof/>
        </w:rPr>
        <w:t>.</w:t>
      </w:r>
      <w:r w:rsidR="00AC7B88" w:rsidRPr="00542EB9">
        <w:rPr>
          <w:rFonts w:eastAsia="MyriadPro-Light"/>
          <w:i/>
          <w:noProof/>
          <w:szCs w:val="19"/>
        </w:rPr>
        <w:t xml:space="preserve"> </w:t>
      </w:r>
    </w:p>
    <w:p w14:paraId="070379D0" w14:textId="77777777" w:rsidR="00A337BE" w:rsidRPr="00542EB9" w:rsidRDefault="00A337BE" w:rsidP="00A337BE">
      <w:pPr>
        <w:rPr>
          <w:rFonts w:eastAsia="MyriadPro-Light"/>
          <w:noProof/>
          <w:szCs w:val="19"/>
        </w:rPr>
      </w:pPr>
      <w:r w:rsidRPr="00542EB9">
        <w:rPr>
          <w:rFonts w:eastAsia="MyriadPro-Light"/>
          <w:noProof/>
          <w:szCs w:val="19"/>
        </w:rPr>
        <w:t>The following meetings took place:</w:t>
      </w:r>
    </w:p>
    <w:p w14:paraId="2B64D11E" w14:textId="1E31F2AD" w:rsidR="00A337BE" w:rsidRPr="00542EB9" w:rsidRDefault="00A337BE" w:rsidP="00A337BE">
      <w:pPr>
        <w:pStyle w:val="ListParagraph"/>
        <w:numPr>
          <w:ilvl w:val="0"/>
          <w:numId w:val="86"/>
        </w:numPr>
        <w:spacing w:after="200" w:line="276" w:lineRule="auto"/>
        <w:rPr>
          <w:rFonts w:eastAsia="MyriadPro-Light"/>
          <w:noProof/>
          <w:szCs w:val="19"/>
        </w:rPr>
      </w:pPr>
      <w:r w:rsidRPr="00542EB9">
        <w:rPr>
          <w:rFonts w:eastAsia="MyriadPro-Light"/>
          <w:noProof/>
          <w:szCs w:val="19"/>
        </w:rPr>
        <w:t>2</w:t>
      </w:r>
      <w:r w:rsidR="00867626" w:rsidRPr="00542EB9">
        <w:rPr>
          <w:rFonts w:eastAsia="MyriadPro-Light"/>
          <w:noProof/>
          <w:szCs w:val="19"/>
        </w:rPr>
        <w:t>9</w:t>
      </w:r>
      <w:r w:rsidRPr="00542EB9">
        <w:rPr>
          <w:rFonts w:eastAsia="MyriadPro-Light"/>
          <w:noProof/>
          <w:szCs w:val="19"/>
        </w:rPr>
        <w:t xml:space="preserve"> </w:t>
      </w:r>
      <w:r w:rsidR="00867626" w:rsidRPr="00542EB9">
        <w:rPr>
          <w:rFonts w:eastAsia="MyriadPro-Light"/>
          <w:noProof/>
          <w:szCs w:val="19"/>
        </w:rPr>
        <w:t>January</w:t>
      </w:r>
      <w:r w:rsidRPr="00542EB9">
        <w:rPr>
          <w:rFonts w:eastAsia="MyriadPro-Light"/>
          <w:noProof/>
          <w:szCs w:val="19"/>
        </w:rPr>
        <w:t xml:space="preserve"> 20</w:t>
      </w:r>
      <w:r w:rsidR="00867626" w:rsidRPr="00542EB9">
        <w:rPr>
          <w:rFonts w:eastAsia="MyriadPro-Light"/>
          <w:noProof/>
          <w:szCs w:val="19"/>
        </w:rPr>
        <w:t>25</w:t>
      </w:r>
      <w:r w:rsidRPr="00542EB9">
        <w:rPr>
          <w:rFonts w:eastAsia="MyriadPro-Light"/>
          <w:noProof/>
          <w:szCs w:val="19"/>
        </w:rPr>
        <w:t xml:space="preserve"> – preparation of public consultation</w:t>
      </w:r>
    </w:p>
    <w:p w14:paraId="55B73A59" w14:textId="34BC2F02" w:rsidR="00A337BE" w:rsidRPr="00542EB9" w:rsidRDefault="00D3700B" w:rsidP="00A337BE">
      <w:pPr>
        <w:pStyle w:val="ListParagraph"/>
        <w:numPr>
          <w:ilvl w:val="0"/>
          <w:numId w:val="86"/>
        </w:numPr>
        <w:spacing w:after="200" w:line="276" w:lineRule="auto"/>
        <w:rPr>
          <w:rFonts w:eastAsia="MyriadPro-Light"/>
          <w:noProof/>
          <w:szCs w:val="19"/>
        </w:rPr>
      </w:pPr>
      <w:r w:rsidRPr="00542EB9">
        <w:rPr>
          <w:rFonts w:eastAsia="MyriadPro-Light"/>
          <w:noProof/>
          <w:szCs w:val="19"/>
        </w:rPr>
        <w:t>12</w:t>
      </w:r>
      <w:r w:rsidR="00A337BE" w:rsidRPr="00542EB9">
        <w:rPr>
          <w:rFonts w:eastAsia="MyriadPro-Light"/>
          <w:noProof/>
          <w:szCs w:val="19"/>
        </w:rPr>
        <w:t xml:space="preserve"> February 20</w:t>
      </w:r>
      <w:r w:rsidRPr="00542EB9">
        <w:rPr>
          <w:rFonts w:eastAsia="MyriadPro-Light"/>
          <w:noProof/>
          <w:szCs w:val="19"/>
        </w:rPr>
        <w:t>25</w:t>
      </w:r>
      <w:r w:rsidR="00A337BE" w:rsidRPr="00542EB9">
        <w:rPr>
          <w:rFonts w:eastAsia="MyriadPro-Light"/>
          <w:noProof/>
          <w:szCs w:val="19"/>
        </w:rPr>
        <w:t xml:space="preserve"> –</w:t>
      </w:r>
      <w:r w:rsidR="00095717" w:rsidRPr="00542EB9">
        <w:rPr>
          <w:rFonts w:eastAsia="MyriadPro-Light"/>
          <w:noProof/>
          <w:szCs w:val="19"/>
        </w:rPr>
        <w:t xml:space="preserve"> </w:t>
      </w:r>
      <w:r w:rsidR="007732B4" w:rsidRPr="00542EB9">
        <w:rPr>
          <w:rFonts w:eastAsia="MyriadPro-Light"/>
          <w:noProof/>
          <w:szCs w:val="19"/>
        </w:rPr>
        <w:t>policy options and limited draft I</w:t>
      </w:r>
      <w:r w:rsidR="00DE379B" w:rsidRPr="00542EB9">
        <w:rPr>
          <w:rFonts w:eastAsia="MyriadPro-Light"/>
          <w:noProof/>
          <w:szCs w:val="19"/>
        </w:rPr>
        <w:t xml:space="preserve">mpact </w:t>
      </w:r>
      <w:r w:rsidR="007732B4" w:rsidRPr="00542EB9">
        <w:rPr>
          <w:rFonts w:eastAsia="MyriadPro-Light"/>
          <w:noProof/>
          <w:szCs w:val="19"/>
        </w:rPr>
        <w:t>A</w:t>
      </w:r>
      <w:r w:rsidR="00DE379B" w:rsidRPr="00542EB9">
        <w:rPr>
          <w:rFonts w:eastAsia="MyriadPro-Light"/>
          <w:noProof/>
          <w:szCs w:val="19"/>
        </w:rPr>
        <w:t>ssessment</w:t>
      </w:r>
      <w:r w:rsidR="007732B4" w:rsidRPr="00542EB9">
        <w:rPr>
          <w:rFonts w:eastAsia="MyriadPro-Light"/>
          <w:noProof/>
          <w:szCs w:val="19"/>
        </w:rPr>
        <w:t xml:space="preserve"> (first three chapters)</w:t>
      </w:r>
    </w:p>
    <w:p w14:paraId="714648FD" w14:textId="6C45182D" w:rsidR="00A337BE" w:rsidRPr="00542EB9" w:rsidRDefault="01DDF10B" w:rsidP="00A337BE">
      <w:pPr>
        <w:pStyle w:val="ListParagraph"/>
        <w:numPr>
          <w:ilvl w:val="0"/>
          <w:numId w:val="86"/>
        </w:numPr>
        <w:spacing w:after="200" w:line="276" w:lineRule="auto"/>
        <w:rPr>
          <w:rFonts w:eastAsia="MyriadPro-Light"/>
          <w:noProof/>
        </w:rPr>
      </w:pPr>
      <w:r w:rsidRPr="00542EB9">
        <w:rPr>
          <w:rFonts w:eastAsia="MyriadPro-Light"/>
          <w:noProof/>
        </w:rPr>
        <w:t>5</w:t>
      </w:r>
      <w:r w:rsidR="00A337BE" w:rsidRPr="00542EB9">
        <w:rPr>
          <w:rFonts w:eastAsia="MyriadPro-Light"/>
          <w:noProof/>
        </w:rPr>
        <w:t xml:space="preserve"> March 20</w:t>
      </w:r>
      <w:r w:rsidR="00EE051D" w:rsidRPr="00542EB9">
        <w:rPr>
          <w:rFonts w:eastAsia="MyriadPro-Light"/>
          <w:noProof/>
        </w:rPr>
        <w:t>25</w:t>
      </w:r>
      <w:r w:rsidR="00A337BE" w:rsidRPr="00542EB9">
        <w:rPr>
          <w:rFonts w:eastAsia="MyriadPro-Light"/>
          <w:noProof/>
        </w:rPr>
        <w:t xml:space="preserve"> –</w:t>
      </w:r>
      <w:r w:rsidR="00095717" w:rsidRPr="00542EB9">
        <w:rPr>
          <w:rFonts w:eastAsia="MyriadPro-Light"/>
          <w:noProof/>
        </w:rPr>
        <w:t xml:space="preserve"> </w:t>
      </w:r>
      <w:r w:rsidR="00675CCE" w:rsidRPr="00542EB9">
        <w:rPr>
          <w:rFonts w:eastAsia="MyriadPro-Light"/>
          <w:noProof/>
        </w:rPr>
        <w:t xml:space="preserve">skeleton, problem tree and provisional </w:t>
      </w:r>
      <w:r w:rsidR="00A337BE" w:rsidRPr="00542EB9">
        <w:rPr>
          <w:rFonts w:eastAsia="MyriadPro-Light"/>
          <w:noProof/>
        </w:rPr>
        <w:t>draft IA</w:t>
      </w:r>
      <w:r w:rsidR="00DE379B" w:rsidRPr="00542EB9">
        <w:rPr>
          <w:rFonts w:eastAsia="MyriadPro-Light"/>
          <w:noProof/>
        </w:rPr>
        <w:t xml:space="preserve"> </w:t>
      </w:r>
      <w:r w:rsidR="00675CCE" w:rsidRPr="00542EB9">
        <w:rPr>
          <w:rFonts w:eastAsia="MyriadPro-Light"/>
          <w:noProof/>
        </w:rPr>
        <w:t>(first five chapter</w:t>
      </w:r>
      <w:r w:rsidR="00A337BE" w:rsidRPr="00542EB9">
        <w:rPr>
          <w:rFonts w:eastAsia="MyriadPro-Light"/>
          <w:noProof/>
        </w:rPr>
        <w:t>s</w:t>
      </w:r>
      <w:r w:rsidR="00DE379B" w:rsidRPr="00542EB9">
        <w:rPr>
          <w:rFonts w:eastAsia="MyriadPro-Light"/>
          <w:noProof/>
        </w:rPr>
        <w:t>)</w:t>
      </w:r>
    </w:p>
    <w:p w14:paraId="3BB39A0D" w14:textId="76020938" w:rsidR="00675CCE" w:rsidRPr="00542EB9" w:rsidRDefault="00DE379B" w:rsidP="00A337BE">
      <w:pPr>
        <w:pStyle w:val="ListParagraph"/>
        <w:numPr>
          <w:ilvl w:val="0"/>
          <w:numId w:val="86"/>
        </w:numPr>
        <w:spacing w:after="200" w:line="276" w:lineRule="auto"/>
        <w:rPr>
          <w:rFonts w:eastAsia="MyriadPro-Light"/>
          <w:noProof/>
          <w:szCs w:val="19"/>
        </w:rPr>
      </w:pPr>
      <w:r w:rsidRPr="00542EB9">
        <w:rPr>
          <w:rFonts w:eastAsia="MyriadPro-Light"/>
          <w:noProof/>
          <w:szCs w:val="19"/>
        </w:rPr>
        <w:t>27 March 2025 –</w:t>
      </w:r>
      <w:r w:rsidR="00095717" w:rsidRPr="00542EB9">
        <w:rPr>
          <w:rFonts w:eastAsia="MyriadPro-Light"/>
          <w:noProof/>
          <w:szCs w:val="19"/>
        </w:rPr>
        <w:t xml:space="preserve"> </w:t>
      </w:r>
      <w:r w:rsidRPr="00542EB9">
        <w:rPr>
          <w:rFonts w:eastAsia="MyriadPro-Light"/>
          <w:noProof/>
          <w:szCs w:val="19"/>
        </w:rPr>
        <w:t>consolidated draft on first five IA chapters</w:t>
      </w:r>
    </w:p>
    <w:p w14:paraId="5B1407CA" w14:textId="1CC21940" w:rsidR="0040735A" w:rsidRPr="00542EB9" w:rsidRDefault="0040735A" w:rsidP="00A337BE">
      <w:pPr>
        <w:pStyle w:val="ListParagraph"/>
        <w:numPr>
          <w:ilvl w:val="0"/>
          <w:numId w:val="86"/>
        </w:numPr>
        <w:spacing w:after="200" w:line="276" w:lineRule="auto"/>
        <w:rPr>
          <w:rFonts w:eastAsia="MyriadPro-Light"/>
          <w:noProof/>
          <w:szCs w:val="19"/>
        </w:rPr>
      </w:pPr>
      <w:r w:rsidRPr="00542EB9">
        <w:rPr>
          <w:rFonts w:eastAsia="MyriadPro-Light"/>
          <w:noProof/>
          <w:szCs w:val="19"/>
        </w:rPr>
        <w:t>6 May 2025 –</w:t>
      </w:r>
      <w:r w:rsidRPr="00542EB9" w:rsidDel="00A7522B">
        <w:rPr>
          <w:rFonts w:eastAsia="MyriadPro-Light"/>
          <w:noProof/>
          <w:szCs w:val="19"/>
        </w:rPr>
        <w:t xml:space="preserve"> </w:t>
      </w:r>
      <w:r w:rsidRPr="00542EB9">
        <w:rPr>
          <w:rFonts w:eastAsia="MyriadPro-Light"/>
          <w:noProof/>
          <w:szCs w:val="19"/>
        </w:rPr>
        <w:t>full draft IA</w:t>
      </w:r>
    </w:p>
    <w:p w14:paraId="786B3C9A" w14:textId="5671535F" w:rsidR="00885319" w:rsidRPr="00542EB9" w:rsidRDefault="00885319" w:rsidP="00A337BE">
      <w:pPr>
        <w:pStyle w:val="ListParagraph"/>
        <w:numPr>
          <w:ilvl w:val="0"/>
          <w:numId w:val="86"/>
        </w:numPr>
        <w:spacing w:after="200" w:line="276" w:lineRule="auto"/>
        <w:rPr>
          <w:rFonts w:eastAsia="MyriadPro-Light"/>
          <w:noProof/>
          <w:szCs w:val="19"/>
        </w:rPr>
      </w:pPr>
      <w:r w:rsidRPr="00542EB9">
        <w:rPr>
          <w:rFonts w:eastAsia="MyriadPro-Light"/>
          <w:noProof/>
          <w:szCs w:val="19"/>
        </w:rPr>
        <w:t>20 May 2025 – written consultation of the final IA</w:t>
      </w:r>
    </w:p>
    <w:p w14:paraId="67EA1F86" w14:textId="7490320F" w:rsidR="00A045D0" w:rsidRPr="00542EB9" w:rsidRDefault="00EA673C" w:rsidP="00A045D0">
      <w:pPr>
        <w:rPr>
          <w:noProof/>
        </w:rPr>
      </w:pPr>
      <w:r w:rsidRPr="00542EB9">
        <w:rPr>
          <w:noProof/>
        </w:rPr>
        <w:t xml:space="preserve">The </w:t>
      </w:r>
      <w:r w:rsidR="00A045D0" w:rsidRPr="00542EB9">
        <w:rPr>
          <w:b/>
          <w:noProof/>
        </w:rPr>
        <w:t>external study</w:t>
      </w:r>
      <w:r w:rsidR="00A045D0" w:rsidRPr="00542EB9">
        <w:rPr>
          <w:noProof/>
        </w:rPr>
        <w:t xml:space="preserve"> was commissioned and conducted between March and May 2025 resulting in two key deliverables: assessment of costs and benefits and comparison of options as well as the analysis of the Open Public Consultation. Both fed into the IA report. </w:t>
      </w:r>
    </w:p>
    <w:p w14:paraId="08D79A43" w14:textId="10130F67" w:rsidR="00CF339E" w:rsidRPr="00542EB9" w:rsidRDefault="00CF339E" w:rsidP="00CF339E">
      <w:pPr>
        <w:spacing w:before="120" w:after="120"/>
        <w:rPr>
          <w:noProof/>
          <w:lang w:val="en-US"/>
        </w:rPr>
      </w:pPr>
      <w:r w:rsidRPr="00542EB9">
        <w:rPr>
          <w:noProof/>
        </w:rPr>
        <w:t xml:space="preserve">A </w:t>
      </w:r>
      <w:r w:rsidRPr="00542EB9">
        <w:rPr>
          <w:b/>
          <w:noProof/>
        </w:rPr>
        <w:t>Public Consultation</w:t>
      </w:r>
      <w:r w:rsidRPr="00542EB9">
        <w:rPr>
          <w:noProof/>
        </w:rPr>
        <w:t xml:space="preserve"> (PC) </w:t>
      </w:r>
      <w:r w:rsidR="00603825" w:rsidRPr="00542EB9">
        <w:rPr>
          <w:noProof/>
        </w:rPr>
        <w:t xml:space="preserve">was carried out </w:t>
      </w:r>
      <w:r w:rsidRPr="00542EB9">
        <w:rPr>
          <w:noProof/>
        </w:rPr>
        <w:t xml:space="preserve">between </w:t>
      </w:r>
      <w:r w:rsidRPr="00542EB9">
        <w:rPr>
          <w:noProof/>
          <w:color w:val="000000" w:themeColor="text1"/>
          <w:lang w:val="en-US"/>
        </w:rPr>
        <w:t>12 February 2025 - 0</w:t>
      </w:r>
      <w:r w:rsidR="00C504F2" w:rsidRPr="00542EB9">
        <w:rPr>
          <w:noProof/>
          <w:color w:val="000000" w:themeColor="text1"/>
          <w:lang w:val="en-US"/>
        </w:rPr>
        <w:t>7</w:t>
      </w:r>
      <w:r w:rsidRPr="00542EB9">
        <w:rPr>
          <w:noProof/>
          <w:color w:val="000000" w:themeColor="text1"/>
          <w:lang w:val="en-US"/>
        </w:rPr>
        <w:t xml:space="preserve"> May 2025</w:t>
      </w:r>
      <w:r w:rsidRPr="00542EB9">
        <w:rPr>
          <w:noProof/>
          <w:lang w:val="en-US"/>
        </w:rPr>
        <w:t xml:space="preserve">. </w:t>
      </w:r>
      <w:r w:rsidR="007706F7" w:rsidRPr="00542EB9">
        <w:rPr>
          <w:noProof/>
          <w:lang w:val="en-US"/>
        </w:rPr>
        <w:t>F</w:t>
      </w:r>
      <w:r w:rsidR="007706F7" w:rsidRPr="00542EB9">
        <w:rPr>
          <w:noProof/>
        </w:rPr>
        <w:t>or reference</w:t>
      </w:r>
      <w:r w:rsidR="00A02654" w:rsidRPr="00542EB9">
        <w:rPr>
          <w:noProof/>
        </w:rPr>
        <w:t xml:space="preserve">: Annex 2 - </w:t>
      </w:r>
      <w:r w:rsidRPr="00542EB9">
        <w:rPr>
          <w:noProof/>
        </w:rPr>
        <w:t>Synopsis report.</w:t>
      </w:r>
    </w:p>
    <w:p w14:paraId="26589FE2" w14:textId="77777777" w:rsidR="006B087E" w:rsidRPr="00542EB9" w:rsidRDefault="006B087E" w:rsidP="5DD21FD3">
      <w:pPr>
        <w:pStyle w:val="Heading1"/>
        <w:rPr>
          <w:noProof/>
        </w:rPr>
      </w:pPr>
      <w:bookmarkStart w:id="71" w:name="_Toc471997757"/>
      <w:bookmarkStart w:id="72" w:name="_Toc191909158"/>
      <w:bookmarkStart w:id="73" w:name="_Toc198549063"/>
      <w:r w:rsidRPr="00542EB9">
        <w:rPr>
          <w:noProof/>
        </w:rPr>
        <w:t>Consultation of the RSB</w:t>
      </w:r>
      <w:bookmarkEnd w:id="71"/>
      <w:bookmarkEnd w:id="72"/>
      <w:bookmarkEnd w:id="73"/>
    </w:p>
    <w:p w14:paraId="5F29BD27" w14:textId="63846012" w:rsidR="009B50EA" w:rsidRPr="00542EB9" w:rsidRDefault="002022C9" w:rsidP="5DD21FD3">
      <w:pPr>
        <w:rPr>
          <w:rFonts w:eastAsia="MyriadPro-Light"/>
          <w:noProof/>
          <w:szCs w:val="19"/>
        </w:rPr>
      </w:pPr>
      <w:r w:rsidRPr="00542EB9">
        <w:rPr>
          <w:rFonts w:eastAsia="MyriadPro-Light"/>
          <w:noProof/>
          <w:szCs w:val="19"/>
        </w:rPr>
        <w:t xml:space="preserve">An upstream meeting was held with RSB representatives on </w:t>
      </w:r>
      <w:r w:rsidR="00531A6B" w:rsidRPr="00542EB9">
        <w:rPr>
          <w:rFonts w:eastAsia="MyriadPro-Light"/>
          <w:noProof/>
          <w:szCs w:val="19"/>
        </w:rPr>
        <w:t>28</w:t>
      </w:r>
      <w:r w:rsidR="00D165DA" w:rsidRPr="00542EB9">
        <w:rPr>
          <w:rFonts w:eastAsia="MyriadPro-Light"/>
          <w:noProof/>
          <w:szCs w:val="19"/>
        </w:rPr>
        <w:t xml:space="preserve"> March 2025.</w:t>
      </w:r>
      <w:r w:rsidRPr="00542EB9">
        <w:rPr>
          <w:rFonts w:eastAsia="MyriadPro-Light"/>
          <w:noProof/>
          <w:szCs w:val="19"/>
        </w:rPr>
        <w:t xml:space="preserve"> </w:t>
      </w:r>
      <w:r w:rsidR="007519A5" w:rsidRPr="00542EB9">
        <w:rPr>
          <w:rFonts w:eastAsia="MyriadPro-Light"/>
          <w:noProof/>
          <w:szCs w:val="19"/>
        </w:rPr>
        <w:t>During this discussion Board members provided early feedback and advice on the basis of </w:t>
      </w:r>
      <w:r w:rsidR="00414FAA" w:rsidRPr="00542EB9">
        <w:rPr>
          <w:rFonts w:eastAsia="MyriadPro-Light"/>
          <w:noProof/>
          <w:szCs w:val="19"/>
        </w:rPr>
        <w:t xml:space="preserve">a problem tree </w:t>
      </w:r>
      <w:r w:rsidR="00D14A76" w:rsidRPr="00542EB9">
        <w:rPr>
          <w:rFonts w:eastAsia="MyriadPro-Light"/>
          <w:noProof/>
          <w:szCs w:val="19"/>
        </w:rPr>
        <w:t xml:space="preserve">for the </w:t>
      </w:r>
      <w:r w:rsidR="007519A5" w:rsidRPr="00542EB9">
        <w:rPr>
          <w:rFonts w:eastAsia="MyriadPro-Light"/>
          <w:noProof/>
          <w:szCs w:val="19"/>
        </w:rPr>
        <w:t>impact assessment</w:t>
      </w:r>
      <w:r w:rsidR="00B5397F" w:rsidRPr="00542EB9">
        <w:rPr>
          <w:rFonts w:eastAsia="MyriadPro-Light"/>
          <w:noProof/>
          <w:szCs w:val="19"/>
        </w:rPr>
        <w:t xml:space="preserve"> and the related narrative</w:t>
      </w:r>
      <w:r w:rsidR="007519A5" w:rsidRPr="00542EB9">
        <w:rPr>
          <w:rFonts w:eastAsia="MyriadPro-Light"/>
          <w:noProof/>
          <w:szCs w:val="19"/>
        </w:rPr>
        <w:t>. Board members' feedback did not prejudge in any way the subsequent formal deliberations of the RSB.</w:t>
      </w:r>
    </w:p>
    <w:p w14:paraId="741EC988" w14:textId="5612D48B" w:rsidR="00BD0839" w:rsidRPr="00542EB9" w:rsidRDefault="00BD0839" w:rsidP="5DD21FD3">
      <w:pPr>
        <w:rPr>
          <w:rFonts w:eastAsia="MyriadPro-Light"/>
          <w:noProof/>
          <w:szCs w:val="19"/>
        </w:rPr>
      </w:pPr>
      <w:r w:rsidRPr="00542EB9">
        <w:rPr>
          <w:rFonts w:eastAsia="MyriadPro-Light"/>
          <w:noProof/>
          <w:szCs w:val="19"/>
        </w:rPr>
        <w:t>The RSB issued an Opinion without qualification</w:t>
      </w:r>
      <w:r w:rsidR="00055752" w:rsidRPr="00542EB9">
        <w:rPr>
          <w:rFonts w:eastAsia="MyriadPro-Light"/>
          <w:noProof/>
          <w:szCs w:val="19"/>
        </w:rPr>
        <w:t xml:space="preserve">. The feedback is summarised in the table below. </w:t>
      </w:r>
    </w:p>
    <w:tbl>
      <w:tblPr>
        <w:tblStyle w:val="TableGrid"/>
        <w:tblW w:w="8901" w:type="dxa"/>
        <w:tblLook w:val="04A0" w:firstRow="1" w:lastRow="0" w:firstColumn="1" w:lastColumn="0" w:noHBand="0" w:noVBand="1"/>
      </w:tblPr>
      <w:tblGrid>
        <w:gridCol w:w="4446"/>
        <w:gridCol w:w="4455"/>
      </w:tblGrid>
      <w:tr w:rsidR="00055752" w:rsidRPr="00542EB9" w14:paraId="5DFE5B1A" w14:textId="77777777" w:rsidTr="00AB4AAF">
        <w:trPr>
          <w:trHeight w:val="300"/>
        </w:trPr>
        <w:tc>
          <w:tcPr>
            <w:tcW w:w="4446" w:type="dxa"/>
            <w:shd w:val="clear" w:color="auto" w:fill="1F497D" w:themeFill="text2"/>
          </w:tcPr>
          <w:p w14:paraId="0F15AEAD" w14:textId="570C05E3" w:rsidR="00055752" w:rsidRPr="00AB4AAF" w:rsidRDefault="61832A3C" w:rsidP="60B5ED44">
            <w:pPr>
              <w:rPr>
                <w:rFonts w:eastAsia="MyriadPro-Light"/>
                <w:b/>
                <w:bCs/>
                <w:noProof/>
                <w:color w:val="FFFFFF" w:themeColor="background1"/>
                <w:sz w:val="22"/>
                <w:szCs w:val="22"/>
              </w:rPr>
            </w:pPr>
            <w:r w:rsidRPr="00AB4AAF">
              <w:rPr>
                <w:rFonts w:eastAsia="MyriadPro-Light"/>
                <w:b/>
                <w:bCs/>
                <w:noProof/>
                <w:color w:val="FFFFFF" w:themeColor="background1"/>
                <w:sz w:val="22"/>
                <w:szCs w:val="22"/>
              </w:rPr>
              <w:t>RSB</w:t>
            </w:r>
            <w:r w:rsidR="10DBFB0B" w:rsidRPr="00AB4AAF">
              <w:rPr>
                <w:rFonts w:eastAsia="MyriadPro-Light"/>
                <w:b/>
                <w:bCs/>
                <w:noProof/>
                <w:color w:val="FFFFFF" w:themeColor="background1"/>
                <w:sz w:val="22"/>
                <w:szCs w:val="22"/>
              </w:rPr>
              <w:t xml:space="preserve"> recommendations</w:t>
            </w:r>
          </w:p>
        </w:tc>
        <w:tc>
          <w:tcPr>
            <w:tcW w:w="4455" w:type="dxa"/>
            <w:shd w:val="clear" w:color="auto" w:fill="1F497D" w:themeFill="text2"/>
          </w:tcPr>
          <w:p w14:paraId="4DDACD2F" w14:textId="2AC8EEF9" w:rsidR="00055752" w:rsidRPr="00AB4AAF" w:rsidRDefault="4BFE439E" w:rsidP="60B5ED44">
            <w:pPr>
              <w:rPr>
                <w:rFonts w:eastAsia="MyriadPro-Light"/>
                <w:b/>
                <w:bCs/>
                <w:noProof/>
                <w:color w:val="FFFFFF" w:themeColor="background1"/>
                <w:sz w:val="22"/>
                <w:szCs w:val="22"/>
              </w:rPr>
            </w:pPr>
            <w:r w:rsidRPr="00AB4AAF">
              <w:rPr>
                <w:rFonts w:eastAsia="MyriadPro-Light"/>
                <w:b/>
                <w:bCs/>
                <w:noProof/>
                <w:color w:val="FFFFFF" w:themeColor="background1"/>
                <w:sz w:val="22"/>
                <w:szCs w:val="22"/>
              </w:rPr>
              <w:t>Actions</w:t>
            </w:r>
          </w:p>
        </w:tc>
      </w:tr>
      <w:tr w:rsidR="00055752" w:rsidRPr="00542EB9" w14:paraId="5290EC9F" w14:textId="77777777" w:rsidTr="00306B02">
        <w:trPr>
          <w:trHeight w:val="300"/>
        </w:trPr>
        <w:tc>
          <w:tcPr>
            <w:tcW w:w="4446" w:type="dxa"/>
          </w:tcPr>
          <w:p w14:paraId="53850B63" w14:textId="60FA2A4C" w:rsidR="00B533FA" w:rsidRPr="00542EB9" w:rsidRDefault="00CA6498" w:rsidP="00B533FA">
            <w:pPr>
              <w:rPr>
                <w:rFonts w:eastAsia="MyriadPro-Light"/>
                <w:b/>
                <w:bCs/>
                <w:noProof/>
                <w:sz w:val="22"/>
                <w:szCs w:val="22"/>
              </w:rPr>
            </w:pPr>
            <w:r w:rsidRPr="00542EB9">
              <w:rPr>
                <w:rFonts w:eastAsia="MyriadPro-Light"/>
                <w:b/>
                <w:bCs/>
                <w:noProof/>
                <w:sz w:val="22"/>
                <w:szCs w:val="22"/>
              </w:rPr>
              <w:t xml:space="preserve">1. </w:t>
            </w:r>
            <w:r w:rsidR="00B533FA" w:rsidRPr="00542EB9">
              <w:rPr>
                <w:rFonts w:eastAsia="MyriadPro-Light"/>
                <w:b/>
                <w:bCs/>
                <w:noProof/>
                <w:sz w:val="22"/>
                <w:szCs w:val="22"/>
              </w:rPr>
              <w:t>On scope:</w:t>
            </w:r>
          </w:p>
          <w:p w14:paraId="4AF3FBEE" w14:textId="68845BE8" w:rsidR="00055752" w:rsidRPr="00542EB9" w:rsidRDefault="00B533FA" w:rsidP="00B533FA">
            <w:pPr>
              <w:rPr>
                <w:rFonts w:eastAsia="MyriadPro-Light"/>
                <w:noProof/>
                <w:sz w:val="22"/>
                <w:szCs w:val="22"/>
              </w:rPr>
            </w:pPr>
            <w:r w:rsidRPr="00542EB9">
              <w:rPr>
                <w:rFonts w:eastAsia="MyriadPro-Light"/>
                <w:noProof/>
                <w:sz w:val="22"/>
                <w:szCs w:val="22"/>
              </w:rPr>
              <w:t xml:space="preserve">The report should be clear about which aspects of the </w:t>
            </w:r>
            <w:r w:rsidR="00C4178B">
              <w:rPr>
                <w:rFonts w:eastAsia="MyriadPro-Light"/>
                <w:noProof/>
                <w:sz w:val="22"/>
                <w:szCs w:val="22"/>
              </w:rPr>
              <w:t>s</w:t>
            </w:r>
            <w:r w:rsidRPr="00542EB9">
              <w:rPr>
                <w:rFonts w:eastAsia="MyriadPro-Light"/>
                <w:noProof/>
                <w:sz w:val="22"/>
                <w:szCs w:val="22"/>
              </w:rPr>
              <w:t xml:space="preserve">ingle </w:t>
            </w:r>
            <w:r w:rsidR="00C4178B">
              <w:rPr>
                <w:rFonts w:eastAsia="MyriadPro-Light"/>
                <w:noProof/>
                <w:sz w:val="22"/>
                <w:szCs w:val="22"/>
              </w:rPr>
              <w:t>m</w:t>
            </w:r>
            <w:r w:rsidRPr="00542EB9">
              <w:rPr>
                <w:rFonts w:eastAsia="MyriadPro-Light"/>
                <w:noProof/>
                <w:sz w:val="22"/>
                <w:szCs w:val="22"/>
              </w:rPr>
              <w:t>arket it covers – and those that it does not – and that it comprises only flanking measures.</w:t>
            </w:r>
          </w:p>
          <w:p w14:paraId="3ADE99C5" w14:textId="77777777" w:rsidR="00A34F35" w:rsidRPr="00542EB9" w:rsidRDefault="00A34F35" w:rsidP="00B533FA">
            <w:pPr>
              <w:rPr>
                <w:rFonts w:eastAsia="MyriadPro-Light"/>
                <w:noProof/>
                <w:sz w:val="22"/>
                <w:szCs w:val="22"/>
              </w:rPr>
            </w:pPr>
            <w:r w:rsidRPr="00542EB9">
              <w:rPr>
                <w:rFonts w:eastAsia="MyriadPro-Light"/>
                <w:noProof/>
                <w:sz w:val="22"/>
                <w:szCs w:val="22"/>
              </w:rPr>
              <w:t>The report needs to demonstrate that the financial architecture is well suited to facilitate delivery on the policy objectives.</w:t>
            </w:r>
          </w:p>
          <w:p w14:paraId="01F9E07F" w14:textId="353F0F3D" w:rsidR="00A34F35" w:rsidRPr="00542EB9" w:rsidRDefault="00A34F35" w:rsidP="00A34F35">
            <w:pPr>
              <w:rPr>
                <w:rFonts w:eastAsia="MyriadPro-Light"/>
                <w:noProof/>
                <w:sz w:val="22"/>
                <w:szCs w:val="22"/>
              </w:rPr>
            </w:pPr>
            <w:r w:rsidRPr="00542EB9">
              <w:rPr>
                <w:rFonts w:eastAsia="MyriadPro-Light"/>
                <w:noProof/>
                <w:sz w:val="22"/>
                <w:szCs w:val="22"/>
              </w:rPr>
              <w:t xml:space="preserve">The report should cover in a more comprehensive way different elements of </w:t>
            </w:r>
            <w:r w:rsidR="00C4178B">
              <w:rPr>
                <w:rFonts w:eastAsia="MyriadPro-Light"/>
                <w:noProof/>
                <w:sz w:val="22"/>
                <w:szCs w:val="22"/>
              </w:rPr>
              <w:t>s</w:t>
            </w:r>
            <w:r w:rsidRPr="00542EB9">
              <w:rPr>
                <w:rFonts w:eastAsia="MyriadPro-Light"/>
                <w:noProof/>
                <w:sz w:val="22"/>
                <w:szCs w:val="22"/>
              </w:rPr>
              <w:t xml:space="preserve">ingle </w:t>
            </w:r>
            <w:r w:rsidR="00C4178B">
              <w:rPr>
                <w:rFonts w:eastAsia="MyriadPro-Light"/>
                <w:noProof/>
                <w:sz w:val="22"/>
                <w:szCs w:val="22"/>
              </w:rPr>
              <w:t>m</w:t>
            </w:r>
            <w:r w:rsidRPr="00542EB9">
              <w:rPr>
                <w:rFonts w:eastAsia="MyriadPro-Light"/>
                <w:noProof/>
                <w:sz w:val="22"/>
                <w:szCs w:val="22"/>
              </w:rPr>
              <w:t>arket and Customs Union policies in the context, problem definition and objectives.</w:t>
            </w:r>
          </w:p>
        </w:tc>
        <w:tc>
          <w:tcPr>
            <w:tcW w:w="4455" w:type="dxa"/>
          </w:tcPr>
          <w:p w14:paraId="2219FE7E" w14:textId="77777777" w:rsidR="0062328B" w:rsidRPr="00542EB9" w:rsidRDefault="0062328B" w:rsidP="5DD21FD3">
            <w:pPr>
              <w:rPr>
                <w:rFonts w:eastAsia="MyriadPro-Light"/>
                <w:noProof/>
                <w:sz w:val="22"/>
                <w:szCs w:val="22"/>
              </w:rPr>
            </w:pPr>
          </w:p>
          <w:p w14:paraId="35215B56" w14:textId="3C679AF5" w:rsidR="00055752" w:rsidRPr="00542EB9" w:rsidRDefault="00781796" w:rsidP="5DD21FD3">
            <w:pPr>
              <w:rPr>
                <w:rFonts w:eastAsia="MyriadPro-Light"/>
                <w:noProof/>
                <w:sz w:val="22"/>
                <w:szCs w:val="22"/>
              </w:rPr>
            </w:pPr>
            <w:r w:rsidRPr="00542EB9">
              <w:rPr>
                <w:rFonts w:eastAsia="MyriadPro-Light"/>
                <w:noProof/>
                <w:sz w:val="22"/>
                <w:szCs w:val="22"/>
              </w:rPr>
              <w:t xml:space="preserve">Additional information on the scope of the programme </w:t>
            </w:r>
            <w:r w:rsidR="001A39F7" w:rsidRPr="00542EB9">
              <w:rPr>
                <w:rFonts w:eastAsia="MyriadPro-Light"/>
                <w:noProof/>
                <w:sz w:val="22"/>
                <w:szCs w:val="22"/>
              </w:rPr>
              <w:t xml:space="preserve">as well as </w:t>
            </w:r>
            <w:r w:rsidR="00696EAD" w:rsidRPr="00542EB9">
              <w:rPr>
                <w:rFonts w:eastAsia="MyriadPro-Light"/>
                <w:noProof/>
                <w:sz w:val="22"/>
                <w:szCs w:val="22"/>
              </w:rPr>
              <w:t xml:space="preserve">on the </w:t>
            </w:r>
            <w:r w:rsidR="00C4178B">
              <w:rPr>
                <w:rFonts w:eastAsia="MyriadPro-Light"/>
                <w:noProof/>
                <w:sz w:val="22"/>
                <w:szCs w:val="22"/>
              </w:rPr>
              <w:t>s</w:t>
            </w:r>
            <w:r w:rsidR="00696EAD" w:rsidRPr="00542EB9">
              <w:rPr>
                <w:rFonts w:eastAsia="MyriadPro-Light"/>
                <w:noProof/>
                <w:sz w:val="22"/>
                <w:szCs w:val="22"/>
              </w:rPr>
              <w:t xml:space="preserve">ingle </w:t>
            </w:r>
            <w:r w:rsidR="00C4178B">
              <w:rPr>
                <w:rFonts w:eastAsia="MyriadPro-Light"/>
                <w:noProof/>
                <w:sz w:val="22"/>
                <w:szCs w:val="22"/>
              </w:rPr>
              <w:t>m</w:t>
            </w:r>
            <w:r w:rsidR="00696EAD" w:rsidRPr="00542EB9">
              <w:rPr>
                <w:rFonts w:eastAsia="MyriadPro-Light"/>
                <w:noProof/>
                <w:sz w:val="22"/>
                <w:szCs w:val="22"/>
              </w:rPr>
              <w:t xml:space="preserve">arket and Customs Union policies </w:t>
            </w:r>
            <w:r w:rsidRPr="00542EB9">
              <w:rPr>
                <w:rFonts w:eastAsia="MyriadPro-Light"/>
                <w:noProof/>
                <w:sz w:val="22"/>
                <w:szCs w:val="22"/>
              </w:rPr>
              <w:t xml:space="preserve">have been included </w:t>
            </w:r>
            <w:r w:rsidR="00D3546C" w:rsidRPr="00542EB9">
              <w:rPr>
                <w:rFonts w:eastAsia="MyriadPro-Light"/>
                <w:noProof/>
                <w:sz w:val="22"/>
                <w:szCs w:val="22"/>
              </w:rPr>
              <w:t xml:space="preserve">in </w:t>
            </w:r>
            <w:r w:rsidRPr="00542EB9">
              <w:rPr>
                <w:rFonts w:eastAsia="MyriadPro-Light"/>
                <w:b/>
                <w:bCs/>
                <w:noProof/>
                <w:sz w:val="22"/>
                <w:szCs w:val="22"/>
              </w:rPr>
              <w:t>section</w:t>
            </w:r>
            <w:r w:rsidR="00696EAD" w:rsidRPr="00542EB9">
              <w:rPr>
                <w:rFonts w:eastAsia="MyriadPro-Light"/>
                <w:b/>
                <w:bCs/>
                <w:noProof/>
                <w:sz w:val="22"/>
                <w:szCs w:val="22"/>
              </w:rPr>
              <w:t xml:space="preserve"> 1</w:t>
            </w:r>
            <w:r w:rsidR="00D3546C" w:rsidRPr="00542EB9">
              <w:rPr>
                <w:rFonts w:eastAsia="MyriadPro-Light"/>
                <w:b/>
                <w:bCs/>
                <w:noProof/>
                <w:sz w:val="22"/>
                <w:szCs w:val="22"/>
              </w:rPr>
              <w:t>.</w:t>
            </w:r>
          </w:p>
          <w:p w14:paraId="3AD8DF8A" w14:textId="3BB74E16" w:rsidR="00F814C9" w:rsidRPr="00542EB9" w:rsidRDefault="00F814C9" w:rsidP="5DD21FD3">
            <w:pPr>
              <w:rPr>
                <w:rFonts w:eastAsia="MyriadPro-Light"/>
                <w:noProof/>
                <w:sz w:val="22"/>
                <w:szCs w:val="22"/>
              </w:rPr>
            </w:pPr>
            <w:r w:rsidRPr="00542EB9">
              <w:rPr>
                <w:rFonts w:eastAsia="MyriadPro-Light"/>
                <w:noProof/>
                <w:sz w:val="22"/>
                <w:szCs w:val="22"/>
              </w:rPr>
              <w:t xml:space="preserve">A reference to Annex 7 has been included in </w:t>
            </w:r>
            <w:r w:rsidR="006871AF" w:rsidRPr="00542EB9">
              <w:rPr>
                <w:rFonts w:eastAsia="MyriadPro-Light"/>
                <w:b/>
                <w:bCs/>
                <w:noProof/>
                <w:sz w:val="22"/>
                <w:szCs w:val="22"/>
              </w:rPr>
              <w:t>section 1.</w:t>
            </w:r>
            <w:r w:rsidR="006871AF" w:rsidRPr="00542EB9">
              <w:rPr>
                <w:rFonts w:eastAsia="MyriadPro-Light"/>
                <w:noProof/>
                <w:sz w:val="22"/>
                <w:szCs w:val="22"/>
              </w:rPr>
              <w:t xml:space="preserve"> </w:t>
            </w:r>
          </w:p>
          <w:p w14:paraId="6F086ACC" w14:textId="6B5D0D27" w:rsidR="0003439D" w:rsidRPr="00542EB9" w:rsidRDefault="00F02FAC" w:rsidP="5DD21FD3">
            <w:pPr>
              <w:rPr>
                <w:rFonts w:eastAsia="MyriadPro-Light"/>
                <w:noProof/>
                <w:sz w:val="22"/>
                <w:szCs w:val="22"/>
              </w:rPr>
            </w:pPr>
            <w:r w:rsidRPr="00542EB9">
              <w:rPr>
                <w:rFonts w:eastAsia="MyriadPro-Light"/>
                <w:noProof/>
                <w:sz w:val="22"/>
                <w:szCs w:val="22"/>
              </w:rPr>
              <w:t>The d</w:t>
            </w:r>
            <w:r w:rsidR="00595A84" w:rsidRPr="00542EB9">
              <w:rPr>
                <w:rFonts w:eastAsia="MyriadPro-Light"/>
                <w:noProof/>
                <w:sz w:val="22"/>
                <w:szCs w:val="22"/>
              </w:rPr>
              <w:t>efinition of the single market</w:t>
            </w:r>
            <w:r w:rsidRPr="00542EB9">
              <w:rPr>
                <w:rFonts w:eastAsia="MyriadPro-Light"/>
                <w:noProof/>
                <w:sz w:val="22"/>
                <w:szCs w:val="22"/>
              </w:rPr>
              <w:t xml:space="preserve"> used for this impact assessment has been included</w:t>
            </w:r>
            <w:r w:rsidR="009C060E" w:rsidRPr="00542EB9">
              <w:rPr>
                <w:rFonts w:eastAsia="MyriadPro-Light"/>
                <w:noProof/>
                <w:sz w:val="22"/>
                <w:szCs w:val="22"/>
              </w:rPr>
              <w:t xml:space="preserve"> in </w:t>
            </w:r>
            <w:r w:rsidR="009C060E" w:rsidRPr="00542EB9">
              <w:rPr>
                <w:rFonts w:eastAsia="MyriadPro-Light"/>
                <w:b/>
                <w:bCs/>
                <w:noProof/>
                <w:sz w:val="22"/>
                <w:szCs w:val="22"/>
              </w:rPr>
              <w:t>section 1.2.</w:t>
            </w:r>
            <w:r w:rsidR="0003439D" w:rsidRPr="00542EB9">
              <w:rPr>
                <w:rFonts w:eastAsia="MyriadPro-Light"/>
                <w:noProof/>
                <w:sz w:val="22"/>
                <w:szCs w:val="22"/>
              </w:rPr>
              <w:t xml:space="preserve"> </w:t>
            </w:r>
            <w:r w:rsidR="00006B81" w:rsidRPr="00542EB9">
              <w:rPr>
                <w:rFonts w:eastAsia="MyriadPro-Light"/>
                <w:noProof/>
                <w:sz w:val="22"/>
                <w:szCs w:val="22"/>
              </w:rPr>
              <w:t>Clarifications</w:t>
            </w:r>
            <w:r w:rsidR="0003439D" w:rsidRPr="00542EB9">
              <w:rPr>
                <w:rFonts w:eastAsia="MyriadPro-Light"/>
                <w:noProof/>
                <w:sz w:val="22"/>
                <w:szCs w:val="22"/>
              </w:rPr>
              <w:t xml:space="preserve"> on the coverage of the Programme is provided in this section as well. </w:t>
            </w:r>
          </w:p>
          <w:p w14:paraId="6A2618C3" w14:textId="31EA48B8" w:rsidR="00781796" w:rsidRPr="00542EB9" w:rsidRDefault="00FD7CA9" w:rsidP="5DD21FD3">
            <w:pPr>
              <w:rPr>
                <w:rFonts w:eastAsia="MyriadPro-Light"/>
                <w:noProof/>
                <w:sz w:val="22"/>
                <w:szCs w:val="22"/>
              </w:rPr>
            </w:pPr>
            <w:r w:rsidRPr="00005B7E">
              <w:rPr>
                <w:rFonts w:eastAsia="MyriadPro-Light"/>
                <w:noProof/>
                <w:sz w:val="22"/>
                <w:szCs w:val="22"/>
              </w:rPr>
              <w:t xml:space="preserve">Clarification on how the design aspects of the programme will provide the right framework for </w:t>
            </w:r>
            <w:r w:rsidR="00F95D21" w:rsidRPr="00005B7E">
              <w:rPr>
                <w:rFonts w:eastAsia="MyriadPro-Light"/>
                <w:noProof/>
                <w:sz w:val="22"/>
                <w:szCs w:val="22"/>
              </w:rPr>
              <w:t xml:space="preserve">delivering on the policy objectives </w:t>
            </w:r>
            <w:r w:rsidR="00005B7E">
              <w:rPr>
                <w:rFonts w:eastAsia="MyriadPro-Light"/>
                <w:noProof/>
                <w:sz w:val="22"/>
                <w:szCs w:val="22"/>
              </w:rPr>
              <w:t xml:space="preserve">in </w:t>
            </w:r>
            <w:r w:rsidR="00F95D21" w:rsidRPr="00005B7E">
              <w:rPr>
                <w:rFonts w:eastAsia="MyriadPro-Light"/>
                <w:b/>
                <w:bCs/>
                <w:noProof/>
                <w:sz w:val="22"/>
                <w:szCs w:val="22"/>
              </w:rPr>
              <w:t xml:space="preserve">section </w:t>
            </w:r>
            <w:r w:rsidR="00975E4D" w:rsidRPr="00005B7E">
              <w:rPr>
                <w:rFonts w:eastAsia="MyriadPro-Light"/>
                <w:b/>
                <w:bCs/>
                <w:noProof/>
                <w:sz w:val="22"/>
                <w:szCs w:val="22"/>
              </w:rPr>
              <w:t>8</w:t>
            </w:r>
            <w:r w:rsidR="00005B7E">
              <w:rPr>
                <w:rFonts w:eastAsia="MyriadPro-Light"/>
                <w:noProof/>
                <w:sz w:val="22"/>
                <w:szCs w:val="22"/>
              </w:rPr>
              <w:t>.</w:t>
            </w:r>
          </w:p>
        </w:tc>
      </w:tr>
      <w:tr w:rsidR="00055752" w:rsidRPr="00542EB9" w14:paraId="5B3E0949" w14:textId="77777777" w:rsidTr="00306B02">
        <w:trPr>
          <w:trHeight w:val="300"/>
        </w:trPr>
        <w:tc>
          <w:tcPr>
            <w:tcW w:w="4446" w:type="dxa"/>
          </w:tcPr>
          <w:p w14:paraId="5740D426" w14:textId="1530B487" w:rsidR="00BA2869" w:rsidRPr="00542EB9" w:rsidRDefault="007C47B5" w:rsidP="00BA2869">
            <w:pPr>
              <w:pStyle w:val="Default"/>
              <w:jc w:val="both"/>
              <w:rPr>
                <w:b/>
                <w:bCs/>
                <w:noProof/>
                <w:sz w:val="22"/>
                <w:szCs w:val="22"/>
              </w:rPr>
            </w:pPr>
            <w:r w:rsidRPr="00542EB9">
              <w:rPr>
                <w:b/>
                <w:bCs/>
                <w:noProof/>
                <w:sz w:val="22"/>
                <w:szCs w:val="22"/>
              </w:rPr>
              <w:t xml:space="preserve">2. </w:t>
            </w:r>
            <w:r w:rsidR="00BA2869" w:rsidRPr="00542EB9">
              <w:rPr>
                <w:b/>
                <w:bCs/>
                <w:noProof/>
                <w:sz w:val="22"/>
                <w:szCs w:val="22"/>
              </w:rPr>
              <w:t xml:space="preserve">On the problem definition and on the use of evaluations: </w:t>
            </w:r>
          </w:p>
          <w:p w14:paraId="3E288FC7" w14:textId="77777777" w:rsidR="00631C4E" w:rsidRPr="00542EB9" w:rsidRDefault="00631C4E" w:rsidP="00BA2869">
            <w:pPr>
              <w:pStyle w:val="Default"/>
              <w:jc w:val="both"/>
              <w:rPr>
                <w:noProof/>
                <w:sz w:val="22"/>
                <w:szCs w:val="22"/>
              </w:rPr>
            </w:pPr>
          </w:p>
          <w:p w14:paraId="6917340F" w14:textId="165A7889" w:rsidR="00055752" w:rsidRPr="00542EB9" w:rsidRDefault="00BA2869" w:rsidP="5DD21FD3">
            <w:pPr>
              <w:rPr>
                <w:rFonts w:eastAsia="MyriadPro-Light"/>
                <w:noProof/>
                <w:sz w:val="22"/>
                <w:szCs w:val="22"/>
                <w:lang w:val="en-IE"/>
              </w:rPr>
            </w:pPr>
            <w:r w:rsidRPr="00542EB9">
              <w:rPr>
                <w:rFonts w:eastAsia="MyriadPro-Light"/>
                <w:noProof/>
                <w:sz w:val="22"/>
                <w:szCs w:val="22"/>
                <w:lang w:val="en-IE"/>
              </w:rPr>
              <w:t>The report should clearly state the relevant conclusions reached in those evaluations, and how strongly the conclusions are supported by a reliable evidence base.</w:t>
            </w:r>
          </w:p>
          <w:p w14:paraId="201511FB" w14:textId="624C51A5" w:rsidR="00BA2869" w:rsidRPr="00542EB9" w:rsidRDefault="003F2AE4" w:rsidP="5DD21FD3">
            <w:pPr>
              <w:rPr>
                <w:rFonts w:eastAsia="MyriadPro-Light"/>
                <w:noProof/>
                <w:sz w:val="22"/>
                <w:szCs w:val="22"/>
                <w:lang w:val="en-IE"/>
              </w:rPr>
            </w:pPr>
            <w:r w:rsidRPr="00542EB9">
              <w:rPr>
                <w:rFonts w:eastAsia="MyriadPro-Light"/>
                <w:noProof/>
                <w:sz w:val="22"/>
                <w:szCs w:val="22"/>
                <w:lang w:val="en-IE"/>
              </w:rPr>
              <w:t>The report should provide a more thorough analysis in support of its arguments and adequately utilise the findings from evaluations.</w:t>
            </w:r>
          </w:p>
          <w:p w14:paraId="1CD2834E" w14:textId="51276CAC" w:rsidR="00BA2869" w:rsidRPr="00542EB9" w:rsidRDefault="008A2665" w:rsidP="5DD21FD3">
            <w:pPr>
              <w:rPr>
                <w:rFonts w:eastAsia="MyriadPro-Light"/>
                <w:noProof/>
                <w:sz w:val="22"/>
                <w:szCs w:val="22"/>
                <w:lang w:val="en-IE"/>
              </w:rPr>
            </w:pPr>
            <w:r w:rsidRPr="00542EB9">
              <w:rPr>
                <w:rFonts w:eastAsia="MyriadPro-Light"/>
                <w:noProof/>
                <w:sz w:val="22"/>
                <w:szCs w:val="22"/>
                <w:lang w:val="en-IE"/>
              </w:rPr>
              <w:t>More robust evidence is needed about the gaps</w:t>
            </w:r>
            <w:r w:rsidR="00D243A7" w:rsidRPr="00542EB9">
              <w:rPr>
                <w:rFonts w:eastAsia="MyriadPro-Light"/>
                <w:noProof/>
                <w:sz w:val="22"/>
                <w:szCs w:val="22"/>
                <w:lang w:val="en-IE"/>
              </w:rPr>
              <w:t xml:space="preserve"> and to support the claims of the perceived suboptimal effectiveness and flexibility. The report should assess the magnitude of problems, and similarly analyse regulatory failures to be addressed, their magnitude and their impacts. The report should further assess the deficiencies of current funding arrangements, e.g. in the rulebooks, eligibility criteria.</w:t>
            </w:r>
          </w:p>
        </w:tc>
        <w:tc>
          <w:tcPr>
            <w:tcW w:w="4455" w:type="dxa"/>
          </w:tcPr>
          <w:p w14:paraId="24F48935" w14:textId="77777777" w:rsidR="0075134E" w:rsidRPr="00542EB9" w:rsidRDefault="0075134E" w:rsidP="5DD21FD3">
            <w:pPr>
              <w:rPr>
                <w:rFonts w:eastAsia="MyriadPro-Light"/>
                <w:noProof/>
                <w:sz w:val="22"/>
                <w:szCs w:val="22"/>
              </w:rPr>
            </w:pPr>
          </w:p>
          <w:p w14:paraId="77C2210F" w14:textId="0584F587" w:rsidR="00055752" w:rsidRPr="00542EB9" w:rsidRDefault="008E5E13" w:rsidP="5DD21FD3">
            <w:pPr>
              <w:rPr>
                <w:rFonts w:eastAsia="MyriadPro-Light"/>
                <w:noProof/>
                <w:sz w:val="22"/>
                <w:szCs w:val="22"/>
              </w:rPr>
            </w:pPr>
            <w:r w:rsidRPr="00542EB9">
              <w:rPr>
                <w:rFonts w:eastAsia="MyriadPro-Light"/>
                <w:noProof/>
                <w:sz w:val="22"/>
                <w:szCs w:val="22"/>
              </w:rPr>
              <w:t xml:space="preserve">More </w:t>
            </w:r>
            <w:r w:rsidR="00DA5DE6" w:rsidRPr="00542EB9">
              <w:rPr>
                <w:rFonts w:eastAsia="MyriadPro-Light"/>
                <w:noProof/>
                <w:sz w:val="22"/>
                <w:szCs w:val="22"/>
              </w:rPr>
              <w:t>evidence</w:t>
            </w:r>
            <w:r w:rsidR="00F714A2" w:rsidRPr="00542EB9">
              <w:rPr>
                <w:rFonts w:eastAsia="MyriadPro-Light"/>
                <w:noProof/>
                <w:sz w:val="22"/>
                <w:szCs w:val="22"/>
              </w:rPr>
              <w:t xml:space="preserve">, </w:t>
            </w:r>
            <w:r w:rsidR="00DA5DE6" w:rsidRPr="00542EB9">
              <w:rPr>
                <w:rFonts w:eastAsia="MyriadPro-Light"/>
                <w:noProof/>
                <w:sz w:val="22"/>
                <w:szCs w:val="22"/>
              </w:rPr>
              <w:t xml:space="preserve">findings </w:t>
            </w:r>
            <w:r w:rsidR="00F714A2" w:rsidRPr="00542EB9">
              <w:rPr>
                <w:rFonts w:eastAsia="MyriadPro-Light"/>
                <w:noProof/>
                <w:sz w:val="22"/>
                <w:szCs w:val="22"/>
              </w:rPr>
              <w:t>and lessons learn</w:t>
            </w:r>
            <w:r w:rsidR="005855D6" w:rsidRPr="00542EB9">
              <w:rPr>
                <w:rFonts w:eastAsia="MyriadPro-Light"/>
                <w:noProof/>
                <w:sz w:val="22"/>
                <w:szCs w:val="22"/>
              </w:rPr>
              <w:t>t</w:t>
            </w:r>
            <w:r w:rsidR="00F714A2" w:rsidRPr="00542EB9">
              <w:rPr>
                <w:rFonts w:eastAsia="MyriadPro-Light"/>
                <w:noProof/>
                <w:sz w:val="22"/>
                <w:szCs w:val="22"/>
              </w:rPr>
              <w:t xml:space="preserve"> </w:t>
            </w:r>
            <w:r w:rsidRPr="00542EB9">
              <w:rPr>
                <w:rFonts w:eastAsia="MyriadPro-Light"/>
                <w:noProof/>
                <w:sz w:val="22"/>
                <w:szCs w:val="22"/>
              </w:rPr>
              <w:t xml:space="preserve">from previous evaluations have been </w:t>
            </w:r>
            <w:r w:rsidR="005855D6" w:rsidRPr="00542EB9">
              <w:rPr>
                <w:rFonts w:eastAsia="MyriadPro-Light"/>
                <w:noProof/>
                <w:sz w:val="22"/>
                <w:szCs w:val="22"/>
              </w:rPr>
              <w:t xml:space="preserve">further </w:t>
            </w:r>
            <w:r w:rsidRPr="00542EB9">
              <w:rPr>
                <w:rFonts w:eastAsia="MyriadPro-Light"/>
                <w:noProof/>
                <w:sz w:val="22"/>
                <w:szCs w:val="22"/>
              </w:rPr>
              <w:t>inc</w:t>
            </w:r>
            <w:r w:rsidR="00CB3FA6" w:rsidRPr="00542EB9">
              <w:rPr>
                <w:rFonts w:eastAsia="MyriadPro-Light"/>
                <w:noProof/>
                <w:sz w:val="22"/>
                <w:szCs w:val="22"/>
              </w:rPr>
              <w:t>orporated</w:t>
            </w:r>
            <w:r w:rsidRPr="00542EB9">
              <w:rPr>
                <w:rFonts w:eastAsia="MyriadPro-Light"/>
                <w:noProof/>
                <w:sz w:val="22"/>
                <w:szCs w:val="22"/>
              </w:rPr>
              <w:t xml:space="preserve"> in</w:t>
            </w:r>
            <w:r w:rsidR="00CB3FA6" w:rsidRPr="00542EB9">
              <w:rPr>
                <w:rFonts w:eastAsia="MyriadPro-Light"/>
                <w:noProof/>
                <w:sz w:val="22"/>
                <w:szCs w:val="22"/>
              </w:rPr>
              <w:t>to</w:t>
            </w:r>
            <w:r w:rsidRPr="00542EB9">
              <w:rPr>
                <w:rFonts w:eastAsia="MyriadPro-Light"/>
                <w:noProof/>
                <w:sz w:val="22"/>
                <w:szCs w:val="22"/>
              </w:rPr>
              <w:t xml:space="preserve"> </w:t>
            </w:r>
            <w:r w:rsidR="005B1012" w:rsidRPr="00542EB9">
              <w:rPr>
                <w:rFonts w:eastAsia="MyriadPro-Light"/>
                <w:b/>
                <w:bCs/>
                <w:noProof/>
                <w:sz w:val="22"/>
                <w:szCs w:val="22"/>
              </w:rPr>
              <w:t>section 2</w:t>
            </w:r>
            <w:r w:rsidR="00DC1163" w:rsidRPr="00542EB9">
              <w:rPr>
                <w:rFonts w:eastAsia="MyriadPro-Light"/>
                <w:b/>
                <w:bCs/>
                <w:noProof/>
                <w:sz w:val="22"/>
                <w:szCs w:val="22"/>
              </w:rPr>
              <w:t xml:space="preserve"> </w:t>
            </w:r>
            <w:r w:rsidR="00DC1163" w:rsidRPr="00542EB9">
              <w:rPr>
                <w:rFonts w:eastAsia="MyriadPro-Light"/>
                <w:noProof/>
                <w:sz w:val="22"/>
                <w:szCs w:val="22"/>
              </w:rPr>
              <w:t>– by adding dedicated sub-sections –</w:t>
            </w:r>
            <w:r w:rsidR="009C3279" w:rsidRPr="00542EB9">
              <w:rPr>
                <w:rFonts w:eastAsia="MyriadPro-Light"/>
                <w:noProof/>
                <w:sz w:val="22"/>
                <w:szCs w:val="22"/>
              </w:rPr>
              <w:t xml:space="preserve"> </w:t>
            </w:r>
            <w:r w:rsidR="00596697" w:rsidRPr="00542EB9">
              <w:rPr>
                <w:rFonts w:eastAsia="MyriadPro-Light"/>
                <w:noProof/>
                <w:sz w:val="22"/>
                <w:szCs w:val="22"/>
              </w:rPr>
              <w:t xml:space="preserve">thereby </w:t>
            </w:r>
            <w:r w:rsidR="00C67598" w:rsidRPr="00542EB9">
              <w:rPr>
                <w:rFonts w:eastAsia="MyriadPro-Light"/>
                <w:noProof/>
                <w:sz w:val="22"/>
                <w:szCs w:val="22"/>
              </w:rPr>
              <w:t>providing information on the gaps and problems mentioned</w:t>
            </w:r>
            <w:r w:rsidR="00C75120" w:rsidRPr="00542EB9">
              <w:rPr>
                <w:rFonts w:eastAsia="MyriadPro-Light"/>
                <w:noProof/>
                <w:sz w:val="22"/>
                <w:szCs w:val="22"/>
              </w:rPr>
              <w:t>.</w:t>
            </w:r>
          </w:p>
          <w:p w14:paraId="5438C6CF" w14:textId="0A852FEF" w:rsidR="00D26C8D" w:rsidRPr="00542EB9" w:rsidRDefault="483C8BB8" w:rsidP="60B5ED44">
            <w:pPr>
              <w:rPr>
                <w:rFonts w:eastAsia="MyriadPro-Light"/>
                <w:noProof/>
                <w:sz w:val="22"/>
                <w:szCs w:val="22"/>
                <w:lang w:val="en-US"/>
              </w:rPr>
            </w:pPr>
            <w:r w:rsidRPr="00542EB9">
              <w:rPr>
                <w:rFonts w:eastAsia="MyriadPro-Light"/>
                <w:noProof/>
                <w:sz w:val="22"/>
                <w:szCs w:val="22"/>
                <w:lang w:val="en-US"/>
              </w:rPr>
              <w:t>All available evidence and data has been used for this impact assessment.</w:t>
            </w:r>
            <w:r w:rsidR="27017695" w:rsidRPr="00542EB9">
              <w:rPr>
                <w:rFonts w:eastAsia="MyriadPro-Light"/>
                <w:noProof/>
                <w:sz w:val="22"/>
                <w:szCs w:val="22"/>
                <w:lang w:val="en-US"/>
              </w:rPr>
              <w:t xml:space="preserve"> </w:t>
            </w:r>
            <w:r w:rsidR="00D65EE2" w:rsidRPr="00542EB9">
              <w:rPr>
                <w:rFonts w:eastAsia="MyriadPro-Light"/>
                <w:noProof/>
                <w:sz w:val="22"/>
                <w:szCs w:val="22"/>
                <w:lang w:val="en-US"/>
              </w:rPr>
              <w:t>Evidence from previous evluation exercises</w:t>
            </w:r>
            <w:r w:rsidR="002B40D5" w:rsidRPr="00542EB9">
              <w:rPr>
                <w:rFonts w:eastAsia="MyriadPro-Light"/>
                <w:noProof/>
                <w:sz w:val="22"/>
                <w:szCs w:val="22"/>
                <w:lang w:val="en-US"/>
              </w:rPr>
              <w:t xml:space="preserve">, as well as from other relevant sources and </w:t>
            </w:r>
            <w:r w:rsidR="004F2CFC" w:rsidRPr="00542EB9">
              <w:rPr>
                <w:rFonts w:eastAsia="MyriadPro-Light"/>
                <w:noProof/>
                <w:sz w:val="22"/>
                <w:szCs w:val="22"/>
                <w:lang w:val="en-US"/>
              </w:rPr>
              <w:t xml:space="preserve">a </w:t>
            </w:r>
            <w:r w:rsidR="002B40D5" w:rsidRPr="00542EB9">
              <w:rPr>
                <w:rFonts w:eastAsia="MyriadPro-Light"/>
                <w:noProof/>
                <w:sz w:val="22"/>
                <w:szCs w:val="22"/>
                <w:lang w:val="en-US"/>
              </w:rPr>
              <w:t>supporting study</w:t>
            </w:r>
            <w:r w:rsidR="004F2CFC" w:rsidRPr="00542EB9">
              <w:rPr>
                <w:rFonts w:eastAsia="MyriadPro-Light"/>
                <w:noProof/>
                <w:sz w:val="22"/>
                <w:szCs w:val="22"/>
                <w:lang w:val="en-US"/>
              </w:rPr>
              <w:t xml:space="preserve"> has been included</w:t>
            </w:r>
            <w:r w:rsidR="00237BD2" w:rsidRPr="00542EB9">
              <w:rPr>
                <w:rFonts w:eastAsia="MyriadPro-Light"/>
                <w:noProof/>
                <w:sz w:val="22"/>
                <w:szCs w:val="22"/>
                <w:lang w:val="en-US"/>
              </w:rPr>
              <w:t>.</w:t>
            </w:r>
            <w:r w:rsidR="002B40D5" w:rsidRPr="00542EB9">
              <w:rPr>
                <w:rFonts w:eastAsia="MyriadPro-Light"/>
                <w:noProof/>
                <w:sz w:val="22"/>
                <w:szCs w:val="22"/>
                <w:lang w:val="en-US"/>
              </w:rPr>
              <w:t xml:space="preserve"> </w:t>
            </w:r>
            <w:r w:rsidR="246DFF53" w:rsidRPr="00542EB9">
              <w:rPr>
                <w:rFonts w:eastAsia="MyriadPro-Light"/>
                <w:noProof/>
                <w:sz w:val="22"/>
                <w:szCs w:val="22"/>
                <w:lang w:val="en-US"/>
              </w:rPr>
              <w:t>T</w:t>
            </w:r>
            <w:r w:rsidR="27017695" w:rsidRPr="00542EB9">
              <w:rPr>
                <w:rFonts w:eastAsia="MyriadPro-Light"/>
                <w:noProof/>
                <w:sz w:val="22"/>
                <w:szCs w:val="22"/>
                <w:lang w:val="en-US"/>
              </w:rPr>
              <w:t>here are no further quantitative data available to give reply to the need of more robust evidence</w:t>
            </w:r>
            <w:r w:rsidR="717CA43F" w:rsidRPr="00542EB9">
              <w:rPr>
                <w:rFonts w:eastAsia="MyriadPro-Light"/>
                <w:noProof/>
                <w:sz w:val="22"/>
                <w:szCs w:val="22"/>
                <w:lang w:val="en-US"/>
              </w:rPr>
              <w:t>.</w:t>
            </w:r>
            <w:r w:rsidR="27017695" w:rsidRPr="00542EB9">
              <w:rPr>
                <w:rFonts w:eastAsia="MyriadPro-Light"/>
                <w:noProof/>
                <w:sz w:val="22"/>
                <w:szCs w:val="22"/>
                <w:lang w:val="en-US"/>
              </w:rPr>
              <w:t xml:space="preserve"> </w:t>
            </w:r>
            <w:r w:rsidR="717CA43F" w:rsidRPr="00542EB9">
              <w:rPr>
                <w:rFonts w:eastAsia="MyriadPro-Light"/>
                <w:noProof/>
                <w:sz w:val="22"/>
                <w:szCs w:val="22"/>
                <w:lang w:val="en-US"/>
              </w:rPr>
              <w:t>T</w:t>
            </w:r>
            <w:r w:rsidR="27017695" w:rsidRPr="00542EB9">
              <w:rPr>
                <w:rFonts w:eastAsia="MyriadPro-Light"/>
                <w:noProof/>
                <w:sz w:val="22"/>
                <w:szCs w:val="22"/>
                <w:lang w:val="en-US"/>
              </w:rPr>
              <w:t xml:space="preserve">he main conclusions and information </w:t>
            </w:r>
            <w:r w:rsidR="717CA43F" w:rsidRPr="00542EB9">
              <w:rPr>
                <w:rFonts w:eastAsia="MyriadPro-Light"/>
                <w:noProof/>
                <w:sz w:val="22"/>
                <w:szCs w:val="22"/>
                <w:lang w:val="en-US"/>
              </w:rPr>
              <w:t>are</w:t>
            </w:r>
            <w:r w:rsidR="27017695" w:rsidRPr="00542EB9">
              <w:rPr>
                <w:rFonts w:eastAsia="MyriadPro-Light"/>
                <w:noProof/>
                <w:sz w:val="22"/>
                <w:szCs w:val="22"/>
                <w:lang w:val="en-US"/>
              </w:rPr>
              <w:t xml:space="preserve"> based on qualitative data and assessment.</w:t>
            </w:r>
            <w:r w:rsidR="00B27B69" w:rsidRPr="00542EB9">
              <w:rPr>
                <w:rFonts w:eastAsia="MyriadPro-Light"/>
                <w:noProof/>
                <w:sz w:val="22"/>
                <w:szCs w:val="22"/>
                <w:lang w:val="en-US"/>
              </w:rPr>
              <w:t xml:space="preserve"> A list of evidence, sources and their</w:t>
            </w:r>
            <w:r w:rsidR="00B0378B" w:rsidRPr="00542EB9">
              <w:rPr>
                <w:rFonts w:eastAsia="MyriadPro-Light"/>
                <w:noProof/>
                <w:sz w:val="22"/>
                <w:szCs w:val="22"/>
                <w:lang w:val="en-US"/>
              </w:rPr>
              <w:t xml:space="preserve"> related quality is to be found in </w:t>
            </w:r>
            <w:r w:rsidR="00B0378B" w:rsidRPr="00542EB9">
              <w:rPr>
                <w:rFonts w:eastAsia="MyriadPro-Light"/>
                <w:b/>
                <w:bCs/>
                <w:noProof/>
                <w:sz w:val="22"/>
                <w:szCs w:val="22"/>
                <w:lang w:val="en-US"/>
              </w:rPr>
              <w:t>Annex 1.4.</w:t>
            </w:r>
          </w:p>
          <w:p w14:paraId="5303FE42" w14:textId="2DE24DD8" w:rsidR="008E5E13" w:rsidRPr="00542EB9" w:rsidRDefault="008E5E13" w:rsidP="5DD21FD3">
            <w:pPr>
              <w:rPr>
                <w:rFonts w:eastAsia="MyriadPro-Light"/>
                <w:noProof/>
                <w:sz w:val="22"/>
                <w:szCs w:val="22"/>
                <w:lang w:val="en-US"/>
              </w:rPr>
            </w:pPr>
          </w:p>
        </w:tc>
      </w:tr>
      <w:tr w:rsidR="00055752" w:rsidRPr="00542EB9" w14:paraId="736475A2" w14:textId="77777777" w:rsidTr="00306B02">
        <w:trPr>
          <w:trHeight w:val="300"/>
        </w:trPr>
        <w:tc>
          <w:tcPr>
            <w:tcW w:w="4446" w:type="dxa"/>
          </w:tcPr>
          <w:p w14:paraId="7231C7E8" w14:textId="5A7F9719" w:rsidR="00E95ADA" w:rsidRPr="00542EB9" w:rsidRDefault="004F16DD" w:rsidP="00E95ADA">
            <w:pPr>
              <w:pStyle w:val="Default"/>
              <w:jc w:val="both"/>
              <w:rPr>
                <w:b/>
                <w:bCs/>
                <w:noProof/>
                <w:sz w:val="22"/>
                <w:szCs w:val="22"/>
              </w:rPr>
            </w:pPr>
            <w:r w:rsidRPr="00542EB9">
              <w:rPr>
                <w:b/>
                <w:bCs/>
                <w:noProof/>
                <w:sz w:val="22"/>
                <w:szCs w:val="22"/>
              </w:rPr>
              <w:t xml:space="preserve">3. </w:t>
            </w:r>
            <w:r w:rsidR="00E95ADA" w:rsidRPr="00542EB9">
              <w:rPr>
                <w:b/>
                <w:bCs/>
                <w:noProof/>
                <w:sz w:val="22"/>
                <w:szCs w:val="22"/>
              </w:rPr>
              <w:t xml:space="preserve">On the intervention logic and objectives: </w:t>
            </w:r>
          </w:p>
          <w:p w14:paraId="518A3A1E" w14:textId="77777777" w:rsidR="00FB0A6A" w:rsidRPr="00542EB9" w:rsidRDefault="00FB0A6A" w:rsidP="00E95ADA">
            <w:pPr>
              <w:pStyle w:val="Default"/>
              <w:jc w:val="both"/>
              <w:rPr>
                <w:noProof/>
                <w:sz w:val="22"/>
                <w:szCs w:val="22"/>
              </w:rPr>
            </w:pPr>
          </w:p>
          <w:p w14:paraId="05E26DFA" w14:textId="77777777" w:rsidR="00FB0A6A" w:rsidRPr="00542EB9" w:rsidRDefault="00FB0A6A" w:rsidP="00D243A7">
            <w:pPr>
              <w:tabs>
                <w:tab w:val="left" w:pos="965"/>
              </w:tabs>
              <w:rPr>
                <w:rFonts w:eastAsia="MyriadPro-Light"/>
                <w:noProof/>
                <w:sz w:val="22"/>
                <w:szCs w:val="22"/>
                <w:lang w:val="en-IE"/>
              </w:rPr>
            </w:pPr>
            <w:r w:rsidRPr="00542EB9">
              <w:rPr>
                <w:rFonts w:eastAsia="MyriadPro-Light"/>
                <w:noProof/>
                <w:sz w:val="22"/>
                <w:szCs w:val="22"/>
                <w:lang w:val="en-IE"/>
              </w:rPr>
              <w:t xml:space="preserve">The intervention logic should cover all identified problems and their drivers. </w:t>
            </w:r>
          </w:p>
          <w:p w14:paraId="563BF6C5" w14:textId="77777777" w:rsidR="00FB0A6A" w:rsidRPr="00542EB9" w:rsidRDefault="00FB0A6A" w:rsidP="00D243A7">
            <w:pPr>
              <w:tabs>
                <w:tab w:val="left" w:pos="965"/>
              </w:tabs>
              <w:rPr>
                <w:rFonts w:eastAsia="MyriadPro-Light"/>
                <w:noProof/>
                <w:sz w:val="22"/>
                <w:szCs w:val="22"/>
                <w:lang w:val="en-IE"/>
              </w:rPr>
            </w:pPr>
            <w:r w:rsidRPr="00542EB9">
              <w:rPr>
                <w:rFonts w:eastAsia="MyriadPro-Light"/>
                <w:noProof/>
                <w:sz w:val="22"/>
                <w:szCs w:val="22"/>
                <w:lang w:val="en-IE"/>
              </w:rPr>
              <w:t xml:space="preserve">The causal links between the intervention and objectives should be more clearly established. </w:t>
            </w:r>
          </w:p>
          <w:p w14:paraId="2FE2F8C0" w14:textId="77777777" w:rsidR="00FB0A6A" w:rsidRPr="00542EB9" w:rsidRDefault="00FB0A6A" w:rsidP="00D243A7">
            <w:pPr>
              <w:tabs>
                <w:tab w:val="left" w:pos="965"/>
              </w:tabs>
              <w:rPr>
                <w:rFonts w:eastAsia="MyriadPro-Light"/>
                <w:noProof/>
                <w:sz w:val="22"/>
                <w:szCs w:val="22"/>
                <w:lang w:val="en-IE"/>
              </w:rPr>
            </w:pPr>
            <w:r w:rsidRPr="00542EB9">
              <w:rPr>
                <w:rFonts w:eastAsia="MyriadPro-Light"/>
                <w:noProof/>
                <w:sz w:val="22"/>
                <w:szCs w:val="22"/>
                <w:lang w:val="en-IE"/>
              </w:rPr>
              <w:t xml:space="preserve">The report should describe the objectives in S.M.A.R.T. terms to define the success and to facilitate monitoring and evaluation. The report should describe what the success is expected to be in relation to different objectives and how this IA report is linked to the IA report on the Performance and Monitoring Framework. </w:t>
            </w:r>
          </w:p>
          <w:p w14:paraId="75F71127" w14:textId="4C55E99B" w:rsidR="00E95ADA" w:rsidRPr="00542EB9" w:rsidRDefault="00E95ADA" w:rsidP="00306B02">
            <w:pPr>
              <w:tabs>
                <w:tab w:val="left" w:pos="965"/>
              </w:tabs>
              <w:rPr>
                <w:rFonts w:eastAsia="MyriadPro-Light"/>
                <w:noProof/>
                <w:sz w:val="22"/>
                <w:szCs w:val="22"/>
                <w:lang w:val="en-IE"/>
              </w:rPr>
            </w:pPr>
          </w:p>
        </w:tc>
        <w:tc>
          <w:tcPr>
            <w:tcW w:w="4455" w:type="dxa"/>
          </w:tcPr>
          <w:p w14:paraId="108C3D87" w14:textId="77777777" w:rsidR="00B34ABA" w:rsidRPr="00542EB9" w:rsidRDefault="00B34ABA" w:rsidP="5DD21FD3">
            <w:pPr>
              <w:rPr>
                <w:rFonts w:eastAsia="MyriadPro-Light"/>
                <w:noProof/>
                <w:sz w:val="22"/>
                <w:szCs w:val="22"/>
              </w:rPr>
            </w:pPr>
          </w:p>
          <w:p w14:paraId="48D08ED6" w14:textId="328CA28A" w:rsidR="001912A9" w:rsidRDefault="001912A9" w:rsidP="5DD21FD3">
            <w:pPr>
              <w:rPr>
                <w:rFonts w:eastAsia="MyriadPro-Light"/>
                <w:noProof/>
                <w:sz w:val="22"/>
                <w:szCs w:val="22"/>
              </w:rPr>
            </w:pPr>
            <w:r w:rsidRPr="00542EB9">
              <w:rPr>
                <w:rFonts w:eastAsia="MyriadPro-Light"/>
                <w:noProof/>
                <w:sz w:val="22"/>
                <w:szCs w:val="22"/>
              </w:rPr>
              <w:t xml:space="preserve">The problem tree in </w:t>
            </w:r>
            <w:r w:rsidRPr="00542EB9">
              <w:rPr>
                <w:rFonts w:eastAsia="MyriadPro-Light"/>
                <w:b/>
                <w:bCs/>
                <w:noProof/>
                <w:sz w:val="22"/>
                <w:szCs w:val="22"/>
              </w:rPr>
              <w:t>section 4.3</w:t>
            </w:r>
            <w:r w:rsidRPr="00542EB9">
              <w:rPr>
                <w:rFonts w:eastAsia="MyriadPro-Light"/>
                <w:noProof/>
                <w:sz w:val="22"/>
                <w:szCs w:val="22"/>
              </w:rPr>
              <w:t xml:space="preserve"> is part of the intervention logic and displays the </w:t>
            </w:r>
            <w:r w:rsidR="003C0E1E" w:rsidRPr="00542EB9">
              <w:rPr>
                <w:rFonts w:eastAsia="MyriadPro-Light"/>
                <w:noProof/>
                <w:sz w:val="22"/>
                <w:szCs w:val="22"/>
              </w:rPr>
              <w:t xml:space="preserve">problems, the problem drivers in terms of content, </w:t>
            </w:r>
            <w:r w:rsidRPr="00542EB9">
              <w:rPr>
                <w:rFonts w:eastAsia="MyriadPro-Light"/>
                <w:noProof/>
                <w:sz w:val="22"/>
                <w:szCs w:val="22"/>
              </w:rPr>
              <w:t>the causal links between the intervention, its objectives, and the policy options considered.</w:t>
            </w:r>
          </w:p>
          <w:p w14:paraId="225A0AFE" w14:textId="5D8EBDD0" w:rsidR="00321FF3" w:rsidRPr="00542EB9" w:rsidRDefault="00005B7E" w:rsidP="00005B7E">
            <w:pPr>
              <w:rPr>
                <w:rFonts w:eastAsia="MyriadPro-Light"/>
                <w:noProof/>
                <w:sz w:val="22"/>
                <w:szCs w:val="22"/>
              </w:rPr>
            </w:pPr>
            <w:r w:rsidRPr="00005B7E">
              <w:rPr>
                <w:rFonts w:eastAsia="MyriadPro-Light"/>
                <w:noProof/>
                <w:sz w:val="22"/>
                <w:szCs w:val="22"/>
              </w:rPr>
              <w:t>For further development for this IA cannot be made at this stage as this depends on the upcoming Performance and Monitoring Framework, including the definition of indicators, and its provisions with impact on all impact assessments for the MFF and funding programmes</w:t>
            </w:r>
            <w:r>
              <w:rPr>
                <w:rFonts w:eastAsia="MyriadPro-Light"/>
                <w:noProof/>
                <w:sz w:val="22"/>
                <w:szCs w:val="22"/>
              </w:rPr>
              <w:t>.</w:t>
            </w:r>
          </w:p>
        </w:tc>
      </w:tr>
      <w:tr w:rsidR="00726A63" w:rsidRPr="00542EB9" w14:paraId="1F196328" w14:textId="77777777" w:rsidTr="00306B02">
        <w:trPr>
          <w:trHeight w:val="9269"/>
        </w:trPr>
        <w:tc>
          <w:tcPr>
            <w:tcW w:w="4446" w:type="dxa"/>
          </w:tcPr>
          <w:p w14:paraId="16C0B9F3" w14:textId="7379A204" w:rsidR="00726A63" w:rsidRPr="00542EB9" w:rsidRDefault="0074303A" w:rsidP="00306B02">
            <w:pPr>
              <w:pStyle w:val="Default"/>
              <w:jc w:val="both"/>
              <w:rPr>
                <w:b/>
                <w:bCs/>
                <w:noProof/>
                <w:sz w:val="22"/>
                <w:szCs w:val="22"/>
              </w:rPr>
            </w:pPr>
            <w:r w:rsidRPr="00542EB9">
              <w:rPr>
                <w:b/>
                <w:bCs/>
                <w:noProof/>
                <w:sz w:val="22"/>
                <w:szCs w:val="22"/>
              </w:rPr>
              <w:t xml:space="preserve">4. </w:t>
            </w:r>
            <w:r w:rsidR="00726A63" w:rsidRPr="00542EB9">
              <w:rPr>
                <w:b/>
                <w:bCs/>
                <w:noProof/>
                <w:sz w:val="22"/>
                <w:szCs w:val="22"/>
              </w:rPr>
              <w:t xml:space="preserve">On options: </w:t>
            </w:r>
          </w:p>
          <w:p w14:paraId="31E332E6" w14:textId="77777777" w:rsidR="00726A63" w:rsidRPr="00542EB9" w:rsidRDefault="00726A63" w:rsidP="5DD21FD3">
            <w:pPr>
              <w:rPr>
                <w:rFonts w:eastAsia="MyriadPro-Light"/>
                <w:noProof/>
                <w:sz w:val="22"/>
                <w:szCs w:val="22"/>
                <w:lang w:val="en-IE"/>
              </w:rPr>
            </w:pPr>
            <w:r w:rsidRPr="00542EB9">
              <w:rPr>
                <w:rFonts w:eastAsia="MyriadPro-Light"/>
                <w:noProof/>
                <w:sz w:val="22"/>
                <w:szCs w:val="22"/>
                <w:lang w:val="en-IE"/>
              </w:rPr>
              <w:t>The report should assess the aspects which are central for reaching the general and specific objectives of the instrument and put forward a corresponding range of options.</w:t>
            </w:r>
          </w:p>
          <w:p w14:paraId="742465F6" w14:textId="77777777" w:rsidR="00726A63" w:rsidRPr="00542EB9" w:rsidRDefault="00726A63" w:rsidP="005F38EB">
            <w:pPr>
              <w:rPr>
                <w:rFonts w:eastAsia="MyriadPro-Light"/>
                <w:noProof/>
                <w:sz w:val="22"/>
                <w:szCs w:val="22"/>
              </w:rPr>
            </w:pPr>
            <w:r w:rsidRPr="00542EB9">
              <w:rPr>
                <w:rFonts w:eastAsia="MyriadPro-Light"/>
                <w:noProof/>
                <w:sz w:val="22"/>
                <w:szCs w:val="22"/>
              </w:rPr>
              <w:t xml:space="preserve">The options, particularly the unified scenario, should be backed up by a clear explanation of their practicality and by enough details to distinguish it from the alternative. </w:t>
            </w:r>
          </w:p>
          <w:p w14:paraId="3368885A" w14:textId="77777777" w:rsidR="00726A63" w:rsidRPr="00542EB9" w:rsidRDefault="00726A63" w:rsidP="005F38EB">
            <w:pPr>
              <w:rPr>
                <w:rFonts w:eastAsia="MyriadPro-Light"/>
                <w:noProof/>
                <w:sz w:val="22"/>
                <w:szCs w:val="22"/>
              </w:rPr>
            </w:pPr>
            <w:r w:rsidRPr="00542EB9">
              <w:rPr>
                <w:rFonts w:eastAsia="MyriadPro-Light"/>
                <w:noProof/>
                <w:sz w:val="22"/>
                <w:szCs w:val="22"/>
              </w:rPr>
              <w:t xml:space="preserve">The report should clarify more to what extent the objectives are achievable within the options' framework. </w:t>
            </w:r>
          </w:p>
          <w:p w14:paraId="4C43B372" w14:textId="77777777" w:rsidR="00726A63" w:rsidRPr="00542EB9" w:rsidRDefault="00726A63" w:rsidP="005F38EB">
            <w:pPr>
              <w:rPr>
                <w:rFonts w:eastAsia="MyriadPro-Light"/>
                <w:noProof/>
                <w:sz w:val="22"/>
                <w:szCs w:val="22"/>
              </w:rPr>
            </w:pPr>
            <w:r w:rsidRPr="00542EB9">
              <w:rPr>
                <w:rFonts w:eastAsia="MyriadPro-Light"/>
                <w:noProof/>
                <w:sz w:val="22"/>
                <w:szCs w:val="22"/>
              </w:rPr>
              <w:t xml:space="preserve">The report should also clearly explain why only options regarding the overall funding architecture are exploited. </w:t>
            </w:r>
          </w:p>
          <w:p w14:paraId="5C47F295" w14:textId="77777777" w:rsidR="00726A63" w:rsidRPr="00542EB9" w:rsidRDefault="00726A63" w:rsidP="005F38EB">
            <w:pPr>
              <w:rPr>
                <w:rFonts w:eastAsia="MyriadPro-Light"/>
                <w:noProof/>
                <w:sz w:val="22"/>
                <w:szCs w:val="22"/>
              </w:rPr>
            </w:pPr>
            <w:r w:rsidRPr="00542EB9">
              <w:rPr>
                <w:rFonts w:eastAsia="MyriadPro-Light"/>
                <w:noProof/>
                <w:sz w:val="22"/>
                <w:szCs w:val="22"/>
              </w:rPr>
              <w:t>Defining the options, the report should better clarify the governance part, in particular how funding decisions will be taken, by whom and, at what stage, in each of the two options and how the options differ in terms of governance arrangements and decision-making processes.</w:t>
            </w:r>
          </w:p>
          <w:p w14:paraId="4F32139F" w14:textId="77777777" w:rsidR="00726A63" w:rsidRPr="00542EB9" w:rsidRDefault="00726A63" w:rsidP="005F38EB">
            <w:pPr>
              <w:rPr>
                <w:rFonts w:eastAsia="MyriadPro-Light"/>
                <w:noProof/>
                <w:sz w:val="22"/>
                <w:szCs w:val="22"/>
              </w:rPr>
            </w:pPr>
            <w:r w:rsidRPr="00542EB9">
              <w:rPr>
                <w:rFonts w:eastAsia="MyriadPro-Light"/>
                <w:noProof/>
                <w:sz w:val="22"/>
                <w:szCs w:val="22"/>
              </w:rPr>
              <w:t xml:space="preserve">The report should also describe what kind of activities are to be funded and if different existing programmes are intended to be re-oriented or discontinued, while keeping the legal obligations. </w:t>
            </w:r>
          </w:p>
          <w:p w14:paraId="7001AD01" w14:textId="4F279E44" w:rsidR="00726A63" w:rsidRPr="00542EB9" w:rsidRDefault="00726A63" w:rsidP="005F38EB">
            <w:pPr>
              <w:rPr>
                <w:rFonts w:eastAsia="MyriadPro-Light"/>
                <w:noProof/>
                <w:sz w:val="22"/>
                <w:szCs w:val="22"/>
                <w:lang w:val="en-IE"/>
              </w:rPr>
            </w:pPr>
            <w:r w:rsidRPr="00542EB9">
              <w:rPr>
                <w:rFonts w:eastAsia="MyriadPro-Light"/>
                <w:noProof/>
                <w:sz w:val="22"/>
                <w:szCs w:val="22"/>
              </w:rPr>
              <w:t>It should describe in more details the overall potential for simplification and administrative costs reduction for different actors (applicants, beneficiaries, authorities).</w:t>
            </w:r>
          </w:p>
        </w:tc>
        <w:tc>
          <w:tcPr>
            <w:tcW w:w="4455" w:type="dxa"/>
          </w:tcPr>
          <w:p w14:paraId="7308E806" w14:textId="77777777" w:rsidR="004047C4" w:rsidRPr="00542EB9" w:rsidRDefault="004047C4" w:rsidP="5DD21FD3">
            <w:pPr>
              <w:rPr>
                <w:rFonts w:eastAsia="MyriadPro-Light"/>
                <w:noProof/>
                <w:sz w:val="22"/>
                <w:szCs w:val="22"/>
              </w:rPr>
            </w:pPr>
          </w:p>
          <w:p w14:paraId="1F2D9777" w14:textId="58D8AC30" w:rsidR="00726A63" w:rsidRPr="00542EB9" w:rsidRDefault="004649AC" w:rsidP="5DD21FD3">
            <w:pPr>
              <w:rPr>
                <w:rFonts w:eastAsia="MyriadPro-Light"/>
                <w:noProof/>
                <w:sz w:val="22"/>
                <w:szCs w:val="22"/>
              </w:rPr>
            </w:pPr>
            <w:r w:rsidRPr="00542EB9">
              <w:rPr>
                <w:rFonts w:eastAsia="MyriadPro-Light"/>
                <w:noProof/>
                <w:sz w:val="22"/>
                <w:szCs w:val="22"/>
              </w:rPr>
              <w:t xml:space="preserve">The options relate </w:t>
            </w:r>
            <w:r w:rsidR="009756FF" w:rsidRPr="00542EB9">
              <w:rPr>
                <w:rFonts w:eastAsia="MyriadPro-Light"/>
                <w:noProof/>
                <w:sz w:val="22"/>
                <w:szCs w:val="22"/>
              </w:rPr>
              <w:t xml:space="preserve">first </w:t>
            </w:r>
            <w:r w:rsidRPr="00542EB9">
              <w:rPr>
                <w:rFonts w:eastAsia="MyriadPro-Light"/>
                <w:noProof/>
                <w:sz w:val="22"/>
                <w:szCs w:val="22"/>
              </w:rPr>
              <w:t>to the design of the programme based on the problems identified</w:t>
            </w:r>
            <w:r w:rsidR="009756FF" w:rsidRPr="00542EB9">
              <w:rPr>
                <w:rFonts w:eastAsia="MyriadPro-Light"/>
                <w:noProof/>
                <w:sz w:val="22"/>
                <w:szCs w:val="22"/>
              </w:rPr>
              <w:t xml:space="preserve">. </w:t>
            </w:r>
            <w:r w:rsidR="008248B2" w:rsidRPr="00542EB9">
              <w:rPr>
                <w:rFonts w:eastAsia="MyriadPro-Light"/>
                <w:noProof/>
                <w:sz w:val="22"/>
                <w:szCs w:val="22"/>
              </w:rPr>
              <w:t>The policy areas supported by the programme would be identical under the baseline</w:t>
            </w:r>
            <w:r w:rsidR="00CE04BA" w:rsidRPr="00542EB9">
              <w:rPr>
                <w:rFonts w:eastAsia="MyriadPro-Light"/>
                <w:noProof/>
                <w:sz w:val="22"/>
                <w:szCs w:val="22"/>
              </w:rPr>
              <w:t xml:space="preserve"> and both options. However, this does not preclude the options from </w:t>
            </w:r>
            <w:r w:rsidR="00D3292A" w:rsidRPr="00542EB9">
              <w:rPr>
                <w:rFonts w:eastAsia="MyriadPro-Light"/>
                <w:noProof/>
                <w:sz w:val="22"/>
                <w:szCs w:val="22"/>
              </w:rPr>
              <w:t xml:space="preserve">leading to </w:t>
            </w:r>
            <w:r w:rsidR="001F7B73" w:rsidRPr="00542EB9">
              <w:rPr>
                <w:rFonts w:eastAsia="MyriadPro-Light"/>
                <w:noProof/>
                <w:sz w:val="22"/>
                <w:szCs w:val="22"/>
              </w:rPr>
              <w:t>distinct</w:t>
            </w:r>
            <w:r w:rsidR="00D3292A" w:rsidRPr="00542EB9">
              <w:rPr>
                <w:rFonts w:eastAsia="MyriadPro-Light"/>
                <w:noProof/>
                <w:sz w:val="22"/>
                <w:szCs w:val="22"/>
              </w:rPr>
              <w:t xml:space="preserve"> policy impacts.</w:t>
            </w:r>
            <w:r w:rsidR="009756FF" w:rsidRPr="00542EB9">
              <w:rPr>
                <w:rFonts w:eastAsia="MyriadPro-Light"/>
                <w:noProof/>
                <w:sz w:val="22"/>
                <w:szCs w:val="22"/>
              </w:rPr>
              <w:t xml:space="preserve"> </w:t>
            </w:r>
            <w:r w:rsidR="00D3292A" w:rsidRPr="00542EB9">
              <w:rPr>
                <w:rFonts w:eastAsia="MyriadPro-Light"/>
                <w:noProof/>
                <w:sz w:val="22"/>
                <w:szCs w:val="22"/>
              </w:rPr>
              <w:t xml:space="preserve">The latter are </w:t>
            </w:r>
            <w:r w:rsidR="001F7B73" w:rsidRPr="00542EB9">
              <w:rPr>
                <w:rFonts w:eastAsia="MyriadPro-Light"/>
                <w:noProof/>
                <w:sz w:val="22"/>
                <w:szCs w:val="22"/>
              </w:rPr>
              <w:t>presented in a table, thereby highlighting the differences</w:t>
            </w:r>
            <w:r w:rsidR="00B47DDD" w:rsidRPr="00542EB9">
              <w:rPr>
                <w:rFonts w:eastAsia="MyriadPro-Light"/>
                <w:noProof/>
                <w:sz w:val="22"/>
                <w:szCs w:val="22"/>
              </w:rPr>
              <w:t xml:space="preserve"> in costs and benefits</w:t>
            </w:r>
          </w:p>
          <w:p w14:paraId="6EFA8159" w14:textId="686C1CA1" w:rsidR="00A82EBF" w:rsidRPr="00542EB9" w:rsidRDefault="005D72B7" w:rsidP="5DD21FD3">
            <w:pPr>
              <w:rPr>
                <w:rFonts w:eastAsia="MyriadPro-Light"/>
                <w:noProof/>
                <w:sz w:val="22"/>
                <w:szCs w:val="22"/>
              </w:rPr>
            </w:pPr>
            <w:r w:rsidRPr="00542EB9">
              <w:rPr>
                <w:rFonts w:eastAsia="MyriadPro-Light"/>
                <w:noProof/>
                <w:sz w:val="22"/>
                <w:szCs w:val="22"/>
              </w:rPr>
              <w:t>Further details on the unified scenario ha</w:t>
            </w:r>
            <w:r w:rsidR="63D960CA" w:rsidRPr="00542EB9">
              <w:rPr>
                <w:rFonts w:eastAsia="MyriadPro-Light"/>
                <w:noProof/>
                <w:sz w:val="22"/>
                <w:szCs w:val="22"/>
              </w:rPr>
              <w:t>ve</w:t>
            </w:r>
            <w:r w:rsidRPr="00542EB9">
              <w:rPr>
                <w:rFonts w:eastAsia="MyriadPro-Light"/>
                <w:noProof/>
                <w:sz w:val="22"/>
                <w:szCs w:val="22"/>
              </w:rPr>
              <w:t xml:space="preserve"> been added</w:t>
            </w:r>
            <w:r w:rsidR="009C2411" w:rsidRPr="00542EB9">
              <w:rPr>
                <w:rFonts w:eastAsia="MyriadPro-Light"/>
                <w:noProof/>
                <w:sz w:val="22"/>
                <w:szCs w:val="22"/>
              </w:rPr>
              <w:t xml:space="preserve"> </w:t>
            </w:r>
            <w:r w:rsidRPr="00542EB9">
              <w:rPr>
                <w:rFonts w:eastAsia="MyriadPro-Light"/>
                <w:noProof/>
                <w:sz w:val="22"/>
                <w:szCs w:val="22"/>
              </w:rPr>
              <w:t xml:space="preserve">in </w:t>
            </w:r>
            <w:r w:rsidRPr="00542EB9">
              <w:rPr>
                <w:rFonts w:eastAsia="MyriadPro-Light"/>
                <w:b/>
                <w:bCs/>
                <w:noProof/>
                <w:sz w:val="22"/>
                <w:szCs w:val="22"/>
              </w:rPr>
              <w:t>section 6</w:t>
            </w:r>
            <w:r w:rsidR="00532D66" w:rsidRPr="00542EB9">
              <w:rPr>
                <w:rFonts w:eastAsia="MyriadPro-Light"/>
                <w:b/>
                <w:bCs/>
                <w:noProof/>
                <w:sz w:val="22"/>
                <w:szCs w:val="22"/>
              </w:rPr>
              <w:t>, 7 and 8</w:t>
            </w:r>
            <w:r w:rsidR="00376B19" w:rsidRPr="00542EB9">
              <w:rPr>
                <w:rFonts w:eastAsia="MyriadPro-Light"/>
                <w:b/>
                <w:bCs/>
                <w:noProof/>
                <w:sz w:val="22"/>
                <w:szCs w:val="22"/>
              </w:rPr>
              <w:t>.</w:t>
            </w:r>
          </w:p>
          <w:p w14:paraId="0C6BA970" w14:textId="6069F627" w:rsidR="00A82EBF" w:rsidRPr="00542EB9" w:rsidRDefault="00AA0681" w:rsidP="5DD21FD3">
            <w:pPr>
              <w:rPr>
                <w:rFonts w:eastAsia="MyriadPro-Light"/>
                <w:noProof/>
                <w:sz w:val="22"/>
                <w:szCs w:val="22"/>
              </w:rPr>
            </w:pPr>
            <w:r w:rsidRPr="00542EB9">
              <w:rPr>
                <w:rFonts w:eastAsia="MyriadPro-Light"/>
                <w:noProof/>
                <w:sz w:val="22"/>
                <w:szCs w:val="22"/>
              </w:rPr>
              <w:t>Only a qualitative assessement can be provided to clarify to what extent objectives are achievable.</w:t>
            </w:r>
          </w:p>
          <w:p w14:paraId="4393413E" w14:textId="0895C241" w:rsidR="00005B7E" w:rsidRPr="00005B7E" w:rsidRDefault="00005B7E" w:rsidP="00005B7E">
            <w:pPr>
              <w:rPr>
                <w:rFonts w:eastAsia="MyriadPro-Light"/>
                <w:noProof/>
                <w:sz w:val="22"/>
                <w:szCs w:val="22"/>
              </w:rPr>
            </w:pPr>
            <w:r w:rsidRPr="00005B7E">
              <w:rPr>
                <w:rFonts w:eastAsia="MyriadPro-Light"/>
                <w:noProof/>
                <w:sz w:val="22"/>
                <w:szCs w:val="22"/>
              </w:rPr>
              <w:t>The options exploited respond to the political guidance established for the future MFF calling for a streamlined flexible approach allowing for an agile EU budget SG for explanation on why options are only on design/architecture</w:t>
            </w:r>
            <w:r>
              <w:rPr>
                <w:rFonts w:eastAsia="MyriadPro-Light"/>
                <w:noProof/>
                <w:sz w:val="22"/>
                <w:szCs w:val="22"/>
              </w:rPr>
              <w:t>.</w:t>
            </w:r>
            <w:r w:rsidRPr="00005B7E">
              <w:rPr>
                <w:rFonts w:eastAsia="MyriadPro-Light"/>
                <w:noProof/>
                <w:sz w:val="22"/>
                <w:szCs w:val="22"/>
              </w:rPr>
              <w:t xml:space="preserve"> </w:t>
            </w:r>
          </w:p>
          <w:p w14:paraId="5B7CF49E" w14:textId="529EA519" w:rsidR="007C0464" w:rsidRPr="00542EB9" w:rsidRDefault="007B3C69" w:rsidP="5DD21FD3">
            <w:pPr>
              <w:rPr>
                <w:rFonts w:eastAsia="MyriadPro-Light"/>
                <w:noProof/>
                <w:sz w:val="22"/>
                <w:szCs w:val="22"/>
                <w:shd w:val="clear" w:color="auto" w:fill="FFFF00"/>
              </w:rPr>
            </w:pPr>
            <w:r w:rsidRPr="00005B7E">
              <w:rPr>
                <w:rFonts w:eastAsia="MyriadPro-Light"/>
                <w:noProof/>
                <w:sz w:val="22"/>
                <w:szCs w:val="22"/>
              </w:rPr>
              <w:t>T</w:t>
            </w:r>
            <w:r w:rsidR="007C0464" w:rsidRPr="00005B7E">
              <w:rPr>
                <w:rFonts w:eastAsia="MyriadPro-Light"/>
                <w:noProof/>
                <w:sz w:val="22"/>
                <w:szCs w:val="22"/>
              </w:rPr>
              <w:t>he report can</w:t>
            </w:r>
            <w:r w:rsidR="00E9135E" w:rsidRPr="00005B7E">
              <w:rPr>
                <w:rFonts w:eastAsia="MyriadPro-Light"/>
                <w:noProof/>
                <w:sz w:val="22"/>
                <w:szCs w:val="22"/>
              </w:rPr>
              <w:t>n</w:t>
            </w:r>
            <w:r w:rsidR="007C0464" w:rsidRPr="00005B7E">
              <w:rPr>
                <w:rFonts w:eastAsia="MyriadPro-Light"/>
                <w:noProof/>
                <w:sz w:val="22"/>
                <w:szCs w:val="22"/>
              </w:rPr>
              <w:t xml:space="preserve">not </w:t>
            </w:r>
            <w:r w:rsidR="006B3F7C" w:rsidRPr="00005B7E">
              <w:rPr>
                <w:rFonts w:eastAsia="MyriadPro-Light"/>
                <w:noProof/>
                <w:sz w:val="22"/>
                <w:szCs w:val="22"/>
              </w:rPr>
              <w:t xml:space="preserve">elaborate on </w:t>
            </w:r>
            <w:r w:rsidR="00683133" w:rsidRPr="00005B7E">
              <w:rPr>
                <w:rFonts w:eastAsia="MyriadPro-Light"/>
                <w:noProof/>
                <w:sz w:val="22"/>
                <w:szCs w:val="22"/>
              </w:rPr>
              <w:t>the future governance arrangements and decision making processess of the new unified scenario</w:t>
            </w:r>
            <w:r w:rsidR="00CB2E53" w:rsidRPr="00005B7E">
              <w:rPr>
                <w:rFonts w:eastAsia="MyriadPro-Light"/>
                <w:noProof/>
                <w:sz w:val="22"/>
                <w:szCs w:val="22"/>
              </w:rPr>
              <w:t xml:space="preserve"> as </w:t>
            </w:r>
            <w:r w:rsidRPr="00005B7E">
              <w:rPr>
                <w:rFonts w:eastAsia="MyriadPro-Light"/>
                <w:noProof/>
                <w:sz w:val="22"/>
                <w:szCs w:val="22"/>
              </w:rPr>
              <w:t>this will be decided at a political level at a later stage</w:t>
            </w:r>
            <w:r w:rsidR="00005B7E">
              <w:rPr>
                <w:rFonts w:eastAsia="MyriadPro-Light"/>
                <w:noProof/>
                <w:sz w:val="22"/>
                <w:szCs w:val="22"/>
              </w:rPr>
              <w:t>.</w:t>
            </w:r>
          </w:p>
          <w:p w14:paraId="7AA07D4F" w14:textId="430C3084" w:rsidR="00FE1CE5" w:rsidRPr="00542EB9" w:rsidRDefault="00FE1CE5" w:rsidP="00FE1CE5">
            <w:pPr>
              <w:rPr>
                <w:rFonts w:eastAsia="MyriadPro-Light"/>
                <w:noProof/>
                <w:sz w:val="22"/>
                <w:szCs w:val="22"/>
              </w:rPr>
            </w:pPr>
            <w:r w:rsidRPr="00542EB9">
              <w:rPr>
                <w:rFonts w:eastAsia="MyriadPro-Light"/>
                <w:noProof/>
                <w:sz w:val="22"/>
                <w:szCs w:val="22"/>
              </w:rPr>
              <w:t xml:space="preserve">As revised in </w:t>
            </w:r>
            <w:r w:rsidRPr="00005B7E">
              <w:rPr>
                <w:rFonts w:eastAsia="MyriadPro-Light"/>
                <w:b/>
                <w:bCs/>
                <w:noProof/>
                <w:sz w:val="22"/>
                <w:szCs w:val="22"/>
              </w:rPr>
              <w:t>section 1</w:t>
            </w:r>
            <w:r w:rsidRPr="00542EB9">
              <w:rPr>
                <w:rFonts w:eastAsia="MyriadPro-Light"/>
                <w:noProof/>
                <w:sz w:val="22"/>
                <w:szCs w:val="22"/>
              </w:rPr>
              <w:t xml:space="preserve">: </w:t>
            </w:r>
            <w:r w:rsidRPr="00542EB9">
              <w:rPr>
                <w:rFonts w:eastAsia="Aptos"/>
                <w:noProof/>
                <w:sz w:val="22"/>
                <w:szCs w:val="22"/>
                <w:lang w:val="en-US"/>
              </w:rPr>
              <w:t xml:space="preserve">The new initiative is not perceived as the discontinuation of the programmes, nor their reorientation. Policy needs addressed by the previous programmes remain relevant and can be better addressed by merging the four incumbent programmes under a unified scenario.  </w:t>
            </w:r>
            <w:r w:rsidR="00A27733" w:rsidRPr="00542EB9">
              <w:rPr>
                <w:rFonts w:eastAsia="Aptos"/>
                <w:noProof/>
                <w:sz w:val="22"/>
                <w:szCs w:val="22"/>
                <w:lang w:val="en-US"/>
              </w:rPr>
              <w:t xml:space="preserve"> </w:t>
            </w:r>
          </w:p>
          <w:p w14:paraId="0B56E199" w14:textId="265CE964" w:rsidR="00CC689C" w:rsidRPr="00542EB9" w:rsidRDefault="00FE1CE5" w:rsidP="5DD21FD3">
            <w:pPr>
              <w:rPr>
                <w:rFonts w:eastAsia="MyriadPro-Light"/>
                <w:noProof/>
                <w:sz w:val="22"/>
                <w:szCs w:val="22"/>
                <w:lang w:val="en-US"/>
              </w:rPr>
            </w:pPr>
            <w:r w:rsidRPr="00542EB9">
              <w:rPr>
                <w:rFonts w:eastAsia="MyriadPro-Light"/>
                <w:noProof/>
                <w:sz w:val="22"/>
                <w:szCs w:val="22"/>
              </w:rPr>
              <w:t>Ref</w:t>
            </w:r>
            <w:r w:rsidR="00DC7A9E" w:rsidRPr="00542EB9">
              <w:rPr>
                <w:rFonts w:eastAsia="MyriadPro-Light"/>
                <w:noProof/>
                <w:sz w:val="22"/>
                <w:szCs w:val="22"/>
              </w:rPr>
              <w:t>erence</w:t>
            </w:r>
            <w:r w:rsidRPr="00542EB9">
              <w:rPr>
                <w:rFonts w:eastAsia="MyriadPro-Light"/>
                <w:noProof/>
                <w:sz w:val="22"/>
                <w:szCs w:val="22"/>
              </w:rPr>
              <w:t xml:space="preserve"> to next point below on impact for stakeholders. </w:t>
            </w:r>
          </w:p>
        </w:tc>
      </w:tr>
      <w:tr w:rsidR="00055752" w:rsidRPr="00542EB9" w14:paraId="55077236" w14:textId="77777777" w:rsidTr="00306B02">
        <w:trPr>
          <w:trHeight w:val="300"/>
        </w:trPr>
        <w:tc>
          <w:tcPr>
            <w:tcW w:w="4446" w:type="dxa"/>
          </w:tcPr>
          <w:p w14:paraId="332077D1" w14:textId="31795B25" w:rsidR="00055752" w:rsidRPr="00542EB9" w:rsidRDefault="006906B5" w:rsidP="00306B02">
            <w:pPr>
              <w:pStyle w:val="Default"/>
              <w:jc w:val="both"/>
              <w:rPr>
                <w:b/>
                <w:bCs/>
                <w:noProof/>
                <w:sz w:val="22"/>
                <w:szCs w:val="22"/>
              </w:rPr>
            </w:pPr>
            <w:r w:rsidRPr="00542EB9">
              <w:rPr>
                <w:b/>
                <w:bCs/>
                <w:noProof/>
                <w:sz w:val="22"/>
                <w:szCs w:val="22"/>
              </w:rPr>
              <w:t xml:space="preserve">5. </w:t>
            </w:r>
            <w:r w:rsidR="000A370F" w:rsidRPr="00542EB9">
              <w:rPr>
                <w:b/>
                <w:bCs/>
                <w:noProof/>
                <w:sz w:val="22"/>
                <w:szCs w:val="22"/>
              </w:rPr>
              <w:t xml:space="preserve">On comparison of options and cost-benefit analysis: </w:t>
            </w:r>
          </w:p>
          <w:p w14:paraId="6C9BD497" w14:textId="77777777" w:rsidR="00F929BA" w:rsidRPr="00542EB9" w:rsidRDefault="00F929BA" w:rsidP="5DD21FD3">
            <w:pPr>
              <w:rPr>
                <w:rFonts w:eastAsia="MyriadPro-Light"/>
                <w:noProof/>
                <w:sz w:val="22"/>
                <w:szCs w:val="22"/>
                <w:lang w:val="en-IE"/>
              </w:rPr>
            </w:pPr>
            <w:r w:rsidRPr="00542EB9">
              <w:rPr>
                <w:rFonts w:eastAsia="MyriadPro-Light"/>
                <w:noProof/>
                <w:sz w:val="22"/>
                <w:szCs w:val="22"/>
                <w:lang w:val="en-IE"/>
              </w:rPr>
              <w:t xml:space="preserve">The report should provide further explanations of and evidence for the estimates and assumptions at the basis of the costs and benefits, and their potential evolution, including as regards Member States participation. </w:t>
            </w:r>
          </w:p>
          <w:p w14:paraId="2E61603D" w14:textId="77777777" w:rsidR="00173F69" w:rsidRPr="00542EB9" w:rsidRDefault="00F929BA" w:rsidP="5DD21FD3">
            <w:pPr>
              <w:rPr>
                <w:rFonts w:eastAsia="MyriadPro-Light"/>
                <w:noProof/>
                <w:sz w:val="22"/>
                <w:szCs w:val="22"/>
                <w:lang w:val="en-IE"/>
              </w:rPr>
            </w:pPr>
            <w:r w:rsidRPr="00542EB9">
              <w:rPr>
                <w:rFonts w:eastAsia="MyriadPro-Light"/>
                <w:noProof/>
                <w:sz w:val="22"/>
                <w:szCs w:val="22"/>
                <w:lang w:val="en-IE"/>
              </w:rPr>
              <w:t>In terms of costs and benefits, option 2 (unified scenario) is claimed to have ‘potential for increased flexibilities, synergies, simplification’ but the report does not provide sufficient analysis of administrative costs and the benefits to businesses and administrations respectively.</w:t>
            </w:r>
          </w:p>
          <w:p w14:paraId="5D926AE0" w14:textId="77777777" w:rsidR="00173F69" w:rsidRPr="00542EB9" w:rsidRDefault="00F929BA" w:rsidP="5DD21FD3">
            <w:pPr>
              <w:rPr>
                <w:rFonts w:eastAsia="MyriadPro-Light"/>
                <w:noProof/>
                <w:sz w:val="22"/>
                <w:szCs w:val="22"/>
                <w:lang w:val="en-IE"/>
              </w:rPr>
            </w:pPr>
            <w:r w:rsidRPr="00542EB9">
              <w:rPr>
                <w:rFonts w:eastAsia="MyriadPro-Light"/>
                <w:noProof/>
                <w:sz w:val="22"/>
                <w:szCs w:val="22"/>
                <w:lang w:val="en-IE"/>
              </w:rPr>
              <w:t xml:space="preserve">Where the public administrations are the direct recipients of intended funding specific effects on businesses and consumers should be assessed. </w:t>
            </w:r>
          </w:p>
          <w:p w14:paraId="6852A977" w14:textId="77777777" w:rsidR="00173F69" w:rsidRPr="00542EB9" w:rsidRDefault="00F929BA" w:rsidP="5DD21FD3">
            <w:pPr>
              <w:rPr>
                <w:rFonts w:eastAsia="MyriadPro-Light"/>
                <w:noProof/>
                <w:sz w:val="22"/>
                <w:szCs w:val="22"/>
                <w:lang w:val="en-IE"/>
              </w:rPr>
            </w:pPr>
            <w:r w:rsidRPr="00542EB9">
              <w:rPr>
                <w:rFonts w:eastAsia="MyriadPro-Light"/>
                <w:noProof/>
                <w:sz w:val="22"/>
                <w:szCs w:val="22"/>
                <w:lang w:val="en-IE"/>
              </w:rPr>
              <w:t xml:space="preserve">Beyond listing the challenges in implementing the unified scenario, the report should provide an analysis of the mitigation measures. </w:t>
            </w:r>
          </w:p>
          <w:p w14:paraId="2CFB5709" w14:textId="164B784C" w:rsidR="000E4D02" w:rsidRPr="00542EB9" w:rsidRDefault="00F929BA" w:rsidP="5DD21FD3">
            <w:pPr>
              <w:rPr>
                <w:rFonts w:eastAsia="MyriadPro-Light"/>
                <w:noProof/>
                <w:sz w:val="22"/>
                <w:szCs w:val="22"/>
                <w:lang w:val="en-IE"/>
              </w:rPr>
            </w:pPr>
            <w:r w:rsidRPr="00542EB9">
              <w:rPr>
                <w:rFonts w:eastAsia="MyriadPro-Light"/>
                <w:noProof/>
                <w:sz w:val="22"/>
                <w:szCs w:val="22"/>
                <w:lang w:val="en-IE"/>
              </w:rPr>
              <w:t>The comparison of options should present a table of impacts on main categories of stakeholders.</w:t>
            </w:r>
          </w:p>
        </w:tc>
        <w:tc>
          <w:tcPr>
            <w:tcW w:w="4455" w:type="dxa"/>
          </w:tcPr>
          <w:p w14:paraId="032ACDA8" w14:textId="76051532" w:rsidR="00E13A92" w:rsidRPr="00542EB9" w:rsidRDefault="7221FEE8" w:rsidP="5DD21FD3">
            <w:pPr>
              <w:rPr>
                <w:rFonts w:eastAsia="MyriadPro-Light"/>
                <w:noProof/>
                <w:sz w:val="22"/>
                <w:szCs w:val="22"/>
              </w:rPr>
            </w:pPr>
            <w:r w:rsidRPr="00542EB9">
              <w:rPr>
                <w:rFonts w:eastAsia="MyriadPro-Light"/>
                <w:noProof/>
                <w:sz w:val="22"/>
                <w:szCs w:val="22"/>
              </w:rPr>
              <w:t xml:space="preserve">Mitigating measures associated with the risks evoked in relation to option 1 and 2 have been introduced in </w:t>
            </w:r>
            <w:r w:rsidR="00717133" w:rsidRPr="00E2480E">
              <w:rPr>
                <w:rFonts w:eastAsia="MyriadPro-Light"/>
                <w:b/>
                <w:bCs/>
                <w:noProof/>
                <w:sz w:val="22"/>
                <w:szCs w:val="22"/>
              </w:rPr>
              <w:t>sec</w:t>
            </w:r>
            <w:r w:rsidR="3F4E966D" w:rsidRPr="00E2480E">
              <w:rPr>
                <w:rFonts w:eastAsia="MyriadPro-Light"/>
                <w:b/>
                <w:bCs/>
                <w:noProof/>
                <w:sz w:val="22"/>
                <w:szCs w:val="22"/>
              </w:rPr>
              <w:t xml:space="preserve">tion </w:t>
            </w:r>
            <w:r w:rsidR="11C3E752" w:rsidRPr="00E2480E">
              <w:rPr>
                <w:rFonts w:eastAsia="MyriadPro-Light"/>
                <w:b/>
                <w:bCs/>
                <w:noProof/>
                <w:sz w:val="22"/>
                <w:szCs w:val="22"/>
              </w:rPr>
              <w:t>6</w:t>
            </w:r>
            <w:r w:rsidR="621378F6" w:rsidRPr="00542EB9">
              <w:rPr>
                <w:rFonts w:eastAsia="MyriadPro-Light"/>
                <w:noProof/>
                <w:sz w:val="22"/>
                <w:szCs w:val="22"/>
              </w:rPr>
              <w:t xml:space="preserve"> (table</w:t>
            </w:r>
            <w:r w:rsidR="005F6694" w:rsidRPr="00542EB9">
              <w:rPr>
                <w:rFonts w:eastAsia="MyriadPro-Light"/>
                <w:noProof/>
                <w:sz w:val="22"/>
                <w:szCs w:val="22"/>
              </w:rPr>
              <w:t>s</w:t>
            </w:r>
            <w:r w:rsidR="621378F6" w:rsidRPr="00542EB9">
              <w:rPr>
                <w:rFonts w:eastAsia="MyriadPro-Light"/>
                <w:noProof/>
                <w:sz w:val="22"/>
                <w:szCs w:val="22"/>
              </w:rPr>
              <w:t xml:space="preserve"> </w:t>
            </w:r>
            <w:r w:rsidR="43982357" w:rsidRPr="00542EB9">
              <w:rPr>
                <w:rFonts w:eastAsia="MyriadPro-Light"/>
                <w:noProof/>
                <w:sz w:val="22"/>
                <w:szCs w:val="22"/>
              </w:rPr>
              <w:t>on mitigation measures</w:t>
            </w:r>
            <w:r w:rsidR="00717133" w:rsidRPr="00542EB9">
              <w:rPr>
                <w:rFonts w:eastAsia="MyriadPro-Light"/>
                <w:noProof/>
                <w:sz w:val="22"/>
                <w:szCs w:val="22"/>
              </w:rPr>
              <w:t>).</w:t>
            </w:r>
          </w:p>
          <w:p w14:paraId="0BA4E6C1" w14:textId="5FF718A5" w:rsidR="005D72B7" w:rsidRPr="00542EB9" w:rsidRDefault="1E87B938" w:rsidP="5DD21FD3">
            <w:pPr>
              <w:rPr>
                <w:rFonts w:eastAsia="MyriadPro-Light"/>
                <w:noProof/>
                <w:sz w:val="22"/>
                <w:szCs w:val="22"/>
              </w:rPr>
            </w:pPr>
            <w:r w:rsidRPr="00542EB9">
              <w:rPr>
                <w:rFonts w:eastAsia="MyriadPro-Light"/>
                <w:noProof/>
                <w:sz w:val="22"/>
                <w:szCs w:val="22"/>
              </w:rPr>
              <w:t>A</w:t>
            </w:r>
            <w:r w:rsidR="5F033458" w:rsidRPr="00542EB9">
              <w:rPr>
                <w:rFonts w:eastAsia="MyriadPro-Light"/>
                <w:noProof/>
                <w:sz w:val="22"/>
                <w:szCs w:val="22"/>
              </w:rPr>
              <w:t xml:space="preserve"> table of impacts </w:t>
            </w:r>
            <w:r w:rsidR="5A03DE4A" w:rsidRPr="00542EB9">
              <w:rPr>
                <w:rFonts w:eastAsia="MyriadPro-Light"/>
                <w:noProof/>
                <w:sz w:val="22"/>
                <w:szCs w:val="22"/>
              </w:rPr>
              <w:t>has been included</w:t>
            </w:r>
            <w:r w:rsidRPr="00542EB9">
              <w:rPr>
                <w:rFonts w:eastAsia="MyriadPro-Light"/>
                <w:noProof/>
                <w:sz w:val="22"/>
                <w:szCs w:val="22"/>
              </w:rPr>
              <w:t xml:space="preserve"> in Annex 3.1</w:t>
            </w:r>
            <w:r w:rsidR="5A03DE4A" w:rsidRPr="00542EB9">
              <w:rPr>
                <w:rFonts w:eastAsia="MyriadPro-Light"/>
                <w:noProof/>
                <w:sz w:val="22"/>
                <w:szCs w:val="22"/>
              </w:rPr>
              <w:t xml:space="preserve"> show</w:t>
            </w:r>
            <w:r w:rsidR="373E907F" w:rsidRPr="00542EB9">
              <w:rPr>
                <w:rFonts w:eastAsia="MyriadPro-Light"/>
                <w:noProof/>
                <w:sz w:val="22"/>
                <w:szCs w:val="22"/>
              </w:rPr>
              <w:t>ing</w:t>
            </w:r>
            <w:r w:rsidR="5A03DE4A" w:rsidRPr="00542EB9">
              <w:rPr>
                <w:rFonts w:eastAsia="MyriadPro-Light"/>
                <w:noProof/>
                <w:sz w:val="22"/>
                <w:szCs w:val="22"/>
              </w:rPr>
              <w:t xml:space="preserve"> the costs and benefits of options for</w:t>
            </w:r>
            <w:r w:rsidRPr="00542EB9">
              <w:rPr>
                <w:rFonts w:eastAsia="MyriadPro-Light"/>
                <w:noProof/>
                <w:sz w:val="22"/>
                <w:szCs w:val="22"/>
              </w:rPr>
              <w:t xml:space="preserve"> the three main groups of</w:t>
            </w:r>
            <w:r w:rsidR="5A03DE4A" w:rsidRPr="00542EB9">
              <w:rPr>
                <w:rFonts w:eastAsia="MyriadPro-Light"/>
                <w:noProof/>
                <w:sz w:val="22"/>
                <w:szCs w:val="22"/>
              </w:rPr>
              <w:t xml:space="preserve"> stakeholders</w:t>
            </w:r>
            <w:r w:rsidR="7965D5CB" w:rsidRPr="00542EB9">
              <w:rPr>
                <w:rFonts w:eastAsia="MyriadPro-Light"/>
                <w:noProof/>
                <w:sz w:val="22"/>
                <w:szCs w:val="22"/>
              </w:rPr>
              <w:t>.</w:t>
            </w:r>
          </w:p>
          <w:p w14:paraId="4146D288" w14:textId="3C0B0597" w:rsidR="00034775" w:rsidRPr="00542EB9" w:rsidRDefault="005D72B7" w:rsidP="5DD21FD3">
            <w:pPr>
              <w:rPr>
                <w:rFonts w:eastAsia="MyriadPro-Light"/>
                <w:noProof/>
                <w:sz w:val="22"/>
                <w:szCs w:val="22"/>
              </w:rPr>
            </w:pPr>
            <w:r w:rsidRPr="00542EB9">
              <w:rPr>
                <w:rFonts w:eastAsia="MyriadPro-Light"/>
                <w:noProof/>
                <w:sz w:val="22"/>
                <w:szCs w:val="22"/>
              </w:rPr>
              <w:t xml:space="preserve">We have </w:t>
            </w:r>
            <w:r w:rsidRPr="00542EB9">
              <w:rPr>
                <w:rFonts w:eastAsia="Aptos"/>
                <w:iCs/>
                <w:noProof/>
                <w:sz w:val="22"/>
                <w:szCs w:val="22"/>
              </w:rPr>
              <w:t xml:space="preserve">illustrated better the comparison of the two options by </w:t>
            </w:r>
            <w:r w:rsidRPr="00542EB9">
              <w:rPr>
                <w:iCs/>
                <w:noProof/>
                <w:sz w:val="22"/>
                <w:szCs w:val="22"/>
              </w:rPr>
              <w:t xml:space="preserve">establishing a ranking of the options in a scoring table in </w:t>
            </w:r>
            <w:r w:rsidRPr="00E2480E">
              <w:rPr>
                <w:b/>
                <w:bCs/>
                <w:iCs/>
                <w:noProof/>
                <w:sz w:val="22"/>
                <w:szCs w:val="22"/>
              </w:rPr>
              <w:t xml:space="preserve">section </w:t>
            </w:r>
            <w:r w:rsidR="001D2DCF" w:rsidRPr="00E2480E">
              <w:rPr>
                <w:b/>
                <w:bCs/>
                <w:iCs/>
                <w:noProof/>
                <w:sz w:val="22"/>
                <w:szCs w:val="22"/>
              </w:rPr>
              <w:t>8</w:t>
            </w:r>
            <w:r w:rsidR="007C642C" w:rsidRPr="00542EB9">
              <w:rPr>
                <w:iCs/>
                <w:noProof/>
                <w:sz w:val="22"/>
                <w:szCs w:val="22"/>
              </w:rPr>
              <w:t>.</w:t>
            </w:r>
          </w:p>
        </w:tc>
      </w:tr>
      <w:tr w:rsidR="00055752" w:rsidRPr="00542EB9" w14:paraId="60A17A54" w14:textId="77777777" w:rsidTr="00005B7E">
        <w:tc>
          <w:tcPr>
            <w:tcW w:w="4446" w:type="dxa"/>
          </w:tcPr>
          <w:p w14:paraId="7FAC1545" w14:textId="22054B42" w:rsidR="00055752" w:rsidRPr="00542EB9" w:rsidRDefault="006906B5" w:rsidP="005560EB">
            <w:pPr>
              <w:pStyle w:val="Default"/>
              <w:jc w:val="both"/>
              <w:rPr>
                <w:b/>
                <w:bCs/>
                <w:noProof/>
                <w:sz w:val="22"/>
                <w:szCs w:val="22"/>
              </w:rPr>
            </w:pPr>
            <w:r w:rsidRPr="00542EB9">
              <w:rPr>
                <w:b/>
                <w:bCs/>
                <w:noProof/>
                <w:sz w:val="22"/>
                <w:szCs w:val="22"/>
              </w:rPr>
              <w:t xml:space="preserve">6. </w:t>
            </w:r>
            <w:r w:rsidR="000A370F" w:rsidRPr="00542EB9">
              <w:rPr>
                <w:b/>
                <w:bCs/>
                <w:noProof/>
                <w:sz w:val="22"/>
                <w:szCs w:val="22"/>
              </w:rPr>
              <w:t xml:space="preserve">On governance and on coherence: </w:t>
            </w:r>
          </w:p>
          <w:p w14:paraId="0354F826" w14:textId="77777777" w:rsidR="005560EB" w:rsidRPr="00542EB9" w:rsidRDefault="005560EB" w:rsidP="00306B02">
            <w:pPr>
              <w:pStyle w:val="Default"/>
              <w:jc w:val="both"/>
              <w:rPr>
                <w:b/>
                <w:bCs/>
                <w:noProof/>
                <w:sz w:val="22"/>
                <w:szCs w:val="22"/>
              </w:rPr>
            </w:pPr>
          </w:p>
          <w:p w14:paraId="19B57469" w14:textId="2E5E5605" w:rsidR="000E4D02" w:rsidRPr="00542EB9" w:rsidRDefault="000E4D02" w:rsidP="5DD21FD3">
            <w:pPr>
              <w:rPr>
                <w:rFonts w:eastAsia="MyriadPro-Light"/>
                <w:noProof/>
                <w:sz w:val="22"/>
                <w:szCs w:val="22"/>
                <w:lang w:val="en-IE"/>
              </w:rPr>
            </w:pPr>
            <w:r w:rsidRPr="00542EB9">
              <w:rPr>
                <w:rFonts w:eastAsia="MyriadPro-Light"/>
                <w:noProof/>
                <w:sz w:val="22"/>
                <w:szCs w:val="22"/>
                <w:lang w:val="en-IE"/>
              </w:rPr>
              <w:t>The report should clarify the principles of governance of the programme.</w:t>
            </w:r>
          </w:p>
        </w:tc>
        <w:tc>
          <w:tcPr>
            <w:tcW w:w="4455" w:type="dxa"/>
            <w:shd w:val="clear" w:color="auto" w:fill="auto"/>
          </w:tcPr>
          <w:p w14:paraId="6936EA07" w14:textId="77777777" w:rsidR="0073490B" w:rsidRPr="00005B7E" w:rsidRDefault="0073490B" w:rsidP="5DD21FD3">
            <w:pPr>
              <w:rPr>
                <w:rFonts w:eastAsia="MyriadPro-Light"/>
                <w:noProof/>
                <w:sz w:val="22"/>
                <w:szCs w:val="22"/>
                <w:shd w:val="clear" w:color="auto" w:fill="FFFF00"/>
              </w:rPr>
            </w:pPr>
          </w:p>
          <w:p w14:paraId="613F9E1C" w14:textId="53FEE0EB" w:rsidR="00055752" w:rsidRPr="00005B7E" w:rsidRDefault="00005B7E" w:rsidP="4401EFCD">
            <w:pPr>
              <w:rPr>
                <w:rFonts w:eastAsia="MyriadPro-Light"/>
                <w:noProof/>
                <w:sz w:val="22"/>
                <w:szCs w:val="22"/>
              </w:rPr>
            </w:pPr>
            <w:r w:rsidRPr="00005B7E">
              <w:rPr>
                <w:rFonts w:eastAsia="MyriadPro-Light"/>
                <w:noProof/>
                <w:sz w:val="22"/>
                <w:szCs w:val="22"/>
              </w:rPr>
              <w:t>Governance principles guiding the Programme implementation will be decided upon at a later stage.</w:t>
            </w:r>
          </w:p>
        </w:tc>
      </w:tr>
      <w:tr w:rsidR="000A370F" w:rsidRPr="00542EB9" w14:paraId="2A5275EE" w14:textId="77777777" w:rsidTr="00306B02">
        <w:trPr>
          <w:trHeight w:val="300"/>
        </w:trPr>
        <w:tc>
          <w:tcPr>
            <w:tcW w:w="4446" w:type="dxa"/>
          </w:tcPr>
          <w:p w14:paraId="1D6502AD" w14:textId="00A34C33" w:rsidR="000A370F" w:rsidRPr="00542EB9" w:rsidRDefault="006906B5" w:rsidP="005560EB">
            <w:pPr>
              <w:pStyle w:val="Default"/>
              <w:jc w:val="both"/>
              <w:rPr>
                <w:b/>
                <w:bCs/>
                <w:noProof/>
                <w:sz w:val="22"/>
                <w:szCs w:val="22"/>
              </w:rPr>
            </w:pPr>
            <w:r w:rsidRPr="00542EB9">
              <w:rPr>
                <w:b/>
                <w:bCs/>
                <w:noProof/>
                <w:sz w:val="22"/>
                <w:szCs w:val="22"/>
              </w:rPr>
              <w:t xml:space="preserve">7. </w:t>
            </w:r>
            <w:r w:rsidR="000A370F" w:rsidRPr="00542EB9">
              <w:rPr>
                <w:b/>
                <w:bCs/>
                <w:noProof/>
                <w:sz w:val="22"/>
                <w:szCs w:val="22"/>
              </w:rPr>
              <w:t xml:space="preserve">On future monitoring and evaluation: </w:t>
            </w:r>
          </w:p>
          <w:p w14:paraId="2D85C2F6" w14:textId="77777777" w:rsidR="000A370F" w:rsidRPr="00542EB9" w:rsidRDefault="000A370F" w:rsidP="000A370F">
            <w:pPr>
              <w:pStyle w:val="Default"/>
              <w:jc w:val="both"/>
              <w:rPr>
                <w:b/>
                <w:bCs/>
                <w:noProof/>
                <w:sz w:val="22"/>
                <w:szCs w:val="22"/>
              </w:rPr>
            </w:pPr>
          </w:p>
          <w:p w14:paraId="4E4DD378" w14:textId="66E6CDCC" w:rsidR="001439CB" w:rsidRPr="00542EB9" w:rsidRDefault="001439CB" w:rsidP="000A370F">
            <w:pPr>
              <w:pStyle w:val="Default"/>
              <w:jc w:val="both"/>
              <w:rPr>
                <w:noProof/>
                <w:sz w:val="22"/>
                <w:szCs w:val="22"/>
              </w:rPr>
            </w:pPr>
            <w:r w:rsidRPr="00542EB9">
              <w:rPr>
                <w:noProof/>
                <w:sz w:val="22"/>
                <w:szCs w:val="22"/>
              </w:rPr>
              <w:t>The report should outline appropriate monitoring and evaluation arrangements which would allow to monitor the progress on achieving the objectives. The report should include a requirement for the data plan which would ensure that different types of data</w:t>
            </w:r>
            <w:r w:rsidR="0039161B" w:rsidRPr="00542EB9">
              <w:rPr>
                <w:noProof/>
                <w:sz w:val="22"/>
                <w:szCs w:val="22"/>
              </w:rPr>
              <w:t xml:space="preserve"> are available for the evaluation.</w:t>
            </w:r>
          </w:p>
          <w:p w14:paraId="208CCDBE" w14:textId="77777777" w:rsidR="0039161B" w:rsidRPr="00542EB9" w:rsidRDefault="0039161B" w:rsidP="000A370F">
            <w:pPr>
              <w:pStyle w:val="Default"/>
              <w:jc w:val="both"/>
              <w:rPr>
                <w:noProof/>
                <w:sz w:val="22"/>
                <w:szCs w:val="22"/>
              </w:rPr>
            </w:pPr>
          </w:p>
          <w:p w14:paraId="5A34C834" w14:textId="77777777" w:rsidR="001439CB" w:rsidRPr="00542EB9" w:rsidRDefault="0039161B" w:rsidP="000A370F">
            <w:pPr>
              <w:pStyle w:val="Default"/>
              <w:jc w:val="both"/>
              <w:rPr>
                <w:noProof/>
                <w:sz w:val="22"/>
                <w:szCs w:val="22"/>
              </w:rPr>
            </w:pPr>
            <w:r w:rsidRPr="00542EB9">
              <w:rPr>
                <w:noProof/>
                <w:sz w:val="22"/>
                <w:szCs w:val="22"/>
              </w:rPr>
              <w:t>The report should be clear how specific indicators relevant to the objectives of the instrument will be identified and used in the performance monitoring.</w:t>
            </w:r>
          </w:p>
          <w:p w14:paraId="57C87D1B" w14:textId="4E738C5C" w:rsidR="0039161B" w:rsidRPr="00542EB9" w:rsidRDefault="0039161B" w:rsidP="000A370F">
            <w:pPr>
              <w:pStyle w:val="Default"/>
              <w:jc w:val="both"/>
              <w:rPr>
                <w:noProof/>
                <w:sz w:val="22"/>
                <w:szCs w:val="22"/>
              </w:rPr>
            </w:pPr>
          </w:p>
        </w:tc>
        <w:tc>
          <w:tcPr>
            <w:tcW w:w="4455" w:type="dxa"/>
          </w:tcPr>
          <w:p w14:paraId="1AB73494" w14:textId="77777777" w:rsidR="00B34FC3" w:rsidRPr="00542EB9" w:rsidRDefault="00B34FC3" w:rsidP="5DD21FD3">
            <w:pPr>
              <w:rPr>
                <w:rFonts w:eastAsia="MyriadPro-Light"/>
                <w:noProof/>
                <w:sz w:val="22"/>
                <w:szCs w:val="22"/>
              </w:rPr>
            </w:pPr>
          </w:p>
          <w:p w14:paraId="41746BA5" w14:textId="2ABF8633" w:rsidR="00253FDD" w:rsidRPr="00542EB9" w:rsidRDefault="00C1388B" w:rsidP="5DD21FD3">
            <w:pPr>
              <w:rPr>
                <w:rFonts w:eastAsia="MyriadPro-Light"/>
                <w:noProof/>
                <w:sz w:val="22"/>
                <w:szCs w:val="22"/>
              </w:rPr>
            </w:pPr>
            <w:r w:rsidRPr="00542EB9">
              <w:rPr>
                <w:rFonts w:eastAsia="MyriadPro-Light"/>
                <w:noProof/>
                <w:sz w:val="22"/>
                <w:szCs w:val="22"/>
              </w:rPr>
              <w:t>The monitoring and evaluation arrangements</w:t>
            </w:r>
            <w:r w:rsidR="00B3119D" w:rsidRPr="00542EB9">
              <w:rPr>
                <w:rFonts w:eastAsia="MyriadPro-Light"/>
                <w:noProof/>
                <w:sz w:val="22"/>
                <w:szCs w:val="22"/>
              </w:rPr>
              <w:t>, including indicators,</w:t>
            </w:r>
            <w:r w:rsidRPr="00542EB9">
              <w:rPr>
                <w:rFonts w:eastAsia="MyriadPro-Light"/>
                <w:noProof/>
                <w:sz w:val="22"/>
                <w:szCs w:val="22"/>
              </w:rPr>
              <w:t xml:space="preserve"> have been described in </w:t>
            </w:r>
            <w:r w:rsidR="00322CE5" w:rsidRPr="00542EB9">
              <w:rPr>
                <w:rFonts w:eastAsia="MyriadPro-Light"/>
                <w:b/>
                <w:bCs/>
                <w:noProof/>
                <w:sz w:val="22"/>
                <w:szCs w:val="22"/>
              </w:rPr>
              <w:t>section 9</w:t>
            </w:r>
            <w:r w:rsidR="00B3119D" w:rsidRPr="00542EB9">
              <w:rPr>
                <w:rFonts w:eastAsia="MyriadPro-Light"/>
                <w:noProof/>
                <w:sz w:val="22"/>
                <w:szCs w:val="22"/>
              </w:rPr>
              <w:t>, referring to the</w:t>
            </w:r>
            <w:r w:rsidR="005574EA" w:rsidRPr="00542EB9">
              <w:rPr>
                <w:rFonts w:eastAsia="MyriadPro-Light"/>
                <w:noProof/>
                <w:sz w:val="22"/>
                <w:szCs w:val="22"/>
              </w:rPr>
              <w:t xml:space="preserve"> performance </w:t>
            </w:r>
            <w:r w:rsidR="00876F76" w:rsidRPr="00542EB9">
              <w:rPr>
                <w:rFonts w:eastAsia="MyriadPro-Light"/>
                <w:noProof/>
                <w:sz w:val="22"/>
                <w:szCs w:val="22"/>
              </w:rPr>
              <w:t>framework</w:t>
            </w:r>
            <w:r w:rsidR="005574EA" w:rsidRPr="00542EB9">
              <w:rPr>
                <w:rFonts w:eastAsia="MyriadPro-Light"/>
                <w:noProof/>
                <w:sz w:val="22"/>
                <w:szCs w:val="22"/>
              </w:rPr>
              <w:t xml:space="preserve"> for the </w:t>
            </w:r>
            <w:r w:rsidR="00876F76" w:rsidRPr="00542EB9">
              <w:rPr>
                <w:rFonts w:eastAsia="MyriadPro-Light"/>
                <w:noProof/>
                <w:sz w:val="22"/>
                <w:szCs w:val="22"/>
              </w:rPr>
              <w:t>post-2027 budget,</w:t>
            </w:r>
            <w:r w:rsidR="004C0DA1" w:rsidRPr="00542EB9">
              <w:rPr>
                <w:rFonts w:eastAsia="MyriadPro-Light"/>
                <w:noProof/>
                <w:sz w:val="22"/>
                <w:szCs w:val="22"/>
              </w:rPr>
              <w:t xml:space="preserve"> </w:t>
            </w:r>
            <w:r w:rsidR="005574EA" w:rsidRPr="00542EB9">
              <w:rPr>
                <w:rFonts w:eastAsia="MyriadPro-Light"/>
                <w:noProof/>
                <w:sz w:val="22"/>
                <w:szCs w:val="22"/>
              </w:rPr>
              <w:t xml:space="preserve">discussed in parallel </w:t>
            </w:r>
            <w:r w:rsidR="00876F76" w:rsidRPr="00542EB9">
              <w:rPr>
                <w:rFonts w:eastAsia="MyriadPro-Light"/>
                <w:noProof/>
                <w:sz w:val="22"/>
                <w:szCs w:val="22"/>
              </w:rPr>
              <w:t>with</w:t>
            </w:r>
            <w:r w:rsidR="005574EA" w:rsidRPr="00542EB9">
              <w:rPr>
                <w:rFonts w:eastAsia="MyriadPro-Light"/>
                <w:noProof/>
                <w:sz w:val="22"/>
                <w:szCs w:val="22"/>
              </w:rPr>
              <w:t xml:space="preserve"> this programme.</w:t>
            </w:r>
          </w:p>
        </w:tc>
      </w:tr>
    </w:tbl>
    <w:p w14:paraId="43E0C47D" w14:textId="77777777" w:rsidR="00055752" w:rsidRPr="00542EB9" w:rsidRDefault="00055752" w:rsidP="5DD21FD3">
      <w:pPr>
        <w:rPr>
          <w:rFonts w:eastAsia="MyriadPro-Light"/>
          <w:noProof/>
          <w:szCs w:val="19"/>
        </w:rPr>
      </w:pPr>
    </w:p>
    <w:p w14:paraId="344F44A8" w14:textId="77777777" w:rsidR="00767938" w:rsidRPr="00542EB9" w:rsidRDefault="00767938" w:rsidP="5DD21FD3">
      <w:pPr>
        <w:rPr>
          <w:rFonts w:eastAsia="MyriadPro-Light"/>
          <w:noProof/>
          <w:szCs w:val="19"/>
        </w:rPr>
      </w:pPr>
    </w:p>
    <w:p w14:paraId="0FADD661" w14:textId="77777777" w:rsidR="006B087E" w:rsidRPr="00542EB9" w:rsidRDefault="006B087E" w:rsidP="5DD21FD3">
      <w:pPr>
        <w:pStyle w:val="Heading1"/>
        <w:rPr>
          <w:noProof/>
        </w:rPr>
      </w:pPr>
      <w:bookmarkStart w:id="74" w:name="_Toc471997758"/>
      <w:bookmarkStart w:id="75" w:name="_Toc191909159"/>
      <w:bookmarkStart w:id="76" w:name="_Toc198549064"/>
      <w:r w:rsidRPr="00542EB9">
        <w:rPr>
          <w:noProof/>
        </w:rPr>
        <w:t>Evidence, sources and quality</w:t>
      </w:r>
      <w:bookmarkEnd w:id="74"/>
      <w:bookmarkEnd w:id="75"/>
      <w:bookmarkEnd w:id="76"/>
    </w:p>
    <w:p w14:paraId="4DA23FC7" w14:textId="125459DA" w:rsidR="00556CBE" w:rsidRPr="00542EB9" w:rsidRDefault="009B50EA" w:rsidP="00556CBE">
      <w:pPr>
        <w:rPr>
          <w:noProof/>
        </w:rPr>
      </w:pPr>
      <w:r w:rsidRPr="00542EB9">
        <w:rPr>
          <w:noProof/>
        </w:rPr>
        <w:t>This impact assessment is based on the</w:t>
      </w:r>
      <w:r w:rsidR="00EC1E1E">
        <w:rPr>
          <w:noProof/>
        </w:rPr>
        <w:t>interi</w:t>
      </w:r>
      <w:r w:rsidRPr="00542EB9">
        <w:rPr>
          <w:noProof/>
        </w:rPr>
        <w:t>m evaluation of the Single Market Programme</w:t>
      </w:r>
      <w:r w:rsidR="00102980" w:rsidRPr="00542EB9">
        <w:rPr>
          <w:noProof/>
        </w:rPr>
        <w:t xml:space="preserve"> and experiences of the individual programmes of the MFF 2021</w:t>
      </w:r>
      <w:r w:rsidR="008353BE" w:rsidRPr="00542EB9">
        <w:rPr>
          <w:noProof/>
        </w:rPr>
        <w:t>-2027</w:t>
      </w:r>
      <w:r w:rsidR="00A355C6" w:rsidRPr="00542EB9">
        <w:rPr>
          <w:noProof/>
        </w:rPr>
        <w:t xml:space="preserve"> budget period. This list of programmes is presented in section 1.</w:t>
      </w:r>
      <w:r w:rsidR="00610E6E" w:rsidRPr="00542EB9">
        <w:rPr>
          <w:noProof/>
        </w:rPr>
        <w:t>2.</w:t>
      </w:r>
      <w:r w:rsidR="00A355C6" w:rsidRPr="00542EB9">
        <w:rPr>
          <w:noProof/>
        </w:rPr>
        <w:t xml:space="preserve"> Scope </w:t>
      </w:r>
      <w:r w:rsidR="00610E6E" w:rsidRPr="00542EB9">
        <w:rPr>
          <w:noProof/>
        </w:rPr>
        <w:t>of this impact assessment</w:t>
      </w:r>
      <w:r w:rsidR="00A355C6" w:rsidRPr="00542EB9">
        <w:rPr>
          <w:noProof/>
        </w:rPr>
        <w:t xml:space="preserve">. </w:t>
      </w:r>
      <w:r w:rsidR="00B70A48" w:rsidRPr="00542EB9">
        <w:rPr>
          <w:noProof/>
        </w:rPr>
        <w:t>The lessons learnt from the experience with the programmes are summarised in</w:t>
      </w:r>
      <w:r w:rsidR="00B47645" w:rsidRPr="00542EB9">
        <w:rPr>
          <w:noProof/>
        </w:rPr>
        <w:t xml:space="preserve"> Annex 7 sections 1.</w:t>
      </w:r>
      <w:r w:rsidR="007C2DFA" w:rsidRPr="00542EB9">
        <w:rPr>
          <w:noProof/>
        </w:rPr>
        <w:t>4</w:t>
      </w:r>
      <w:r w:rsidR="00D41349" w:rsidRPr="00542EB9">
        <w:rPr>
          <w:noProof/>
        </w:rPr>
        <w:t>., 2.</w:t>
      </w:r>
      <w:r w:rsidR="007C2DFA" w:rsidRPr="00542EB9">
        <w:rPr>
          <w:noProof/>
        </w:rPr>
        <w:t>5</w:t>
      </w:r>
      <w:r w:rsidR="00D41349" w:rsidRPr="00542EB9">
        <w:rPr>
          <w:noProof/>
        </w:rPr>
        <w:t xml:space="preserve"> and 3.</w:t>
      </w:r>
      <w:r w:rsidR="007C2DFA" w:rsidRPr="00542EB9">
        <w:rPr>
          <w:noProof/>
        </w:rPr>
        <w:t>4</w:t>
      </w:r>
      <w:r w:rsidR="00D41349" w:rsidRPr="00542EB9">
        <w:rPr>
          <w:noProof/>
        </w:rPr>
        <w:t>.</w:t>
      </w:r>
      <w:r w:rsidR="00DD1A69" w:rsidRPr="00542EB9">
        <w:rPr>
          <w:noProof/>
        </w:rPr>
        <w:t xml:space="preserve"> </w:t>
      </w:r>
      <w:r w:rsidR="00DB3D1A" w:rsidRPr="00542EB9">
        <w:rPr>
          <w:noProof/>
        </w:rPr>
        <w:t>This impact assessment was also supported by publi</w:t>
      </w:r>
      <w:r w:rsidR="00FE5BB4" w:rsidRPr="00542EB9">
        <w:rPr>
          <w:noProof/>
        </w:rPr>
        <w:t>c</w:t>
      </w:r>
      <w:r w:rsidR="00DB3D1A" w:rsidRPr="00542EB9">
        <w:rPr>
          <w:noProof/>
        </w:rPr>
        <w:t xml:space="preserve"> consultations, which a</w:t>
      </w:r>
      <w:r w:rsidR="00E57749" w:rsidRPr="00542EB9">
        <w:rPr>
          <w:noProof/>
        </w:rPr>
        <w:t>r</w:t>
      </w:r>
      <w:r w:rsidR="00DB3D1A" w:rsidRPr="00542EB9">
        <w:rPr>
          <w:noProof/>
        </w:rPr>
        <w:t>e summarised in Annex 2.</w:t>
      </w:r>
      <w:r w:rsidR="00F91B28" w:rsidRPr="00542EB9">
        <w:rPr>
          <w:noProof/>
        </w:rPr>
        <w:t xml:space="preserve"> </w:t>
      </w:r>
      <w:r w:rsidR="00F91B28" w:rsidRPr="00542EB9">
        <w:rPr>
          <w:noProof/>
          <w:lang w:val="en-US"/>
        </w:rPr>
        <w:t>All available information and data has been used for this impact assessment</w:t>
      </w:r>
      <w:r w:rsidR="0064704B" w:rsidRPr="00542EB9">
        <w:rPr>
          <w:noProof/>
          <w:lang w:val="en-US"/>
        </w:rPr>
        <w:t xml:space="preserve">. </w:t>
      </w:r>
      <w:r w:rsidR="00406825" w:rsidRPr="00542EB9">
        <w:rPr>
          <w:noProof/>
          <w:lang w:val="en-US"/>
        </w:rPr>
        <w:t xml:space="preserve">The available data was limited due to </w:t>
      </w:r>
      <w:r w:rsidR="00DA786C" w:rsidRPr="00542EB9">
        <w:rPr>
          <w:noProof/>
          <w:lang w:val="en-US"/>
        </w:rPr>
        <w:t>certain evaluation</w:t>
      </w:r>
      <w:r w:rsidR="00DB51D5" w:rsidRPr="00542EB9">
        <w:rPr>
          <w:noProof/>
          <w:lang w:val="en-US"/>
        </w:rPr>
        <w:t>s</w:t>
      </w:r>
      <w:r w:rsidR="00DA786C" w:rsidRPr="00542EB9">
        <w:rPr>
          <w:noProof/>
          <w:lang w:val="en-US"/>
        </w:rPr>
        <w:t xml:space="preserve"> not being yet available, </w:t>
      </w:r>
      <w:r w:rsidR="000503CB" w:rsidRPr="00542EB9">
        <w:rPr>
          <w:noProof/>
          <w:lang w:val="en-US"/>
        </w:rPr>
        <w:t xml:space="preserve">and when available </w:t>
      </w:r>
      <w:r w:rsidR="00DB51D5" w:rsidRPr="00542EB9">
        <w:rPr>
          <w:noProof/>
          <w:lang w:val="en-US"/>
        </w:rPr>
        <w:t>the difficulty to attribute impacts to interventions</w:t>
      </w:r>
      <w:r w:rsidR="000503CB" w:rsidRPr="00542EB9">
        <w:rPr>
          <w:noProof/>
          <w:lang w:val="en-US"/>
        </w:rPr>
        <w:t>.</w:t>
      </w:r>
      <w:r w:rsidR="0064704B" w:rsidRPr="00542EB9">
        <w:rPr>
          <w:noProof/>
          <w:lang w:val="en-US"/>
        </w:rPr>
        <w:t xml:space="preserve"> The impact assessments </w:t>
      </w:r>
      <w:r w:rsidR="00AC5114" w:rsidRPr="00542EB9">
        <w:rPr>
          <w:noProof/>
          <w:lang w:val="en-US"/>
        </w:rPr>
        <w:t>draw</w:t>
      </w:r>
      <w:r w:rsidR="0064704B" w:rsidRPr="00542EB9">
        <w:rPr>
          <w:noProof/>
          <w:lang w:val="en-US"/>
        </w:rPr>
        <w:t>s</w:t>
      </w:r>
      <w:r w:rsidR="00AC5114" w:rsidRPr="00542EB9">
        <w:rPr>
          <w:noProof/>
          <w:lang w:val="en-US"/>
        </w:rPr>
        <w:t xml:space="preserve"> from the sources listed below.</w:t>
      </w:r>
    </w:p>
    <w:p w14:paraId="71671B4E" w14:textId="77777777" w:rsidR="000E558C" w:rsidRPr="00542EB9" w:rsidRDefault="000E558C" w:rsidP="005F23BF">
      <w:pPr>
        <w:pStyle w:val="ListParagraph"/>
        <w:widowControl w:val="0"/>
        <w:numPr>
          <w:ilvl w:val="0"/>
          <w:numId w:val="105"/>
        </w:numPr>
        <w:tabs>
          <w:tab w:val="left" w:pos="936"/>
        </w:tabs>
        <w:autoSpaceDE w:val="0"/>
        <w:autoSpaceDN w:val="0"/>
        <w:spacing w:after="0"/>
        <w:ind w:right="211"/>
        <w:contextualSpacing w:val="0"/>
        <w:jc w:val="left"/>
        <w:rPr>
          <w:noProof/>
        </w:rPr>
      </w:pPr>
      <w:r w:rsidRPr="00542EB9">
        <w:rPr>
          <w:noProof/>
        </w:rPr>
        <w:t>Draghi,</w:t>
      </w:r>
      <w:r w:rsidRPr="00542EB9">
        <w:rPr>
          <w:noProof/>
          <w:spacing w:val="80"/>
          <w:w w:val="150"/>
        </w:rPr>
        <w:t xml:space="preserve"> </w:t>
      </w:r>
      <w:r w:rsidRPr="00542EB9">
        <w:rPr>
          <w:noProof/>
        </w:rPr>
        <w:t>M.</w:t>
      </w:r>
      <w:r w:rsidRPr="00542EB9">
        <w:rPr>
          <w:noProof/>
          <w:spacing w:val="80"/>
          <w:w w:val="150"/>
        </w:rPr>
        <w:t xml:space="preserve"> </w:t>
      </w:r>
      <w:r w:rsidRPr="00542EB9">
        <w:rPr>
          <w:noProof/>
        </w:rPr>
        <w:t>(</w:t>
      </w:r>
      <w:hyperlink r:id="rId20">
        <w:r w:rsidRPr="00542EB9">
          <w:rPr>
            <w:noProof/>
            <w:u w:val="single"/>
          </w:rPr>
          <w:t>2024</w:t>
        </w:r>
      </w:hyperlink>
      <w:r w:rsidRPr="00542EB9">
        <w:rPr>
          <w:noProof/>
        </w:rPr>
        <w:t>).</w:t>
      </w:r>
      <w:r w:rsidRPr="00542EB9">
        <w:rPr>
          <w:noProof/>
          <w:spacing w:val="80"/>
          <w:w w:val="150"/>
        </w:rPr>
        <w:t xml:space="preserve"> </w:t>
      </w:r>
      <w:r w:rsidRPr="00542EB9">
        <w:rPr>
          <w:noProof/>
        </w:rPr>
        <w:t>The</w:t>
      </w:r>
      <w:r w:rsidRPr="00542EB9">
        <w:rPr>
          <w:noProof/>
          <w:spacing w:val="80"/>
          <w:w w:val="150"/>
        </w:rPr>
        <w:t xml:space="preserve"> </w:t>
      </w:r>
      <w:r w:rsidRPr="00542EB9">
        <w:rPr>
          <w:noProof/>
        </w:rPr>
        <w:t>future</w:t>
      </w:r>
      <w:r w:rsidRPr="00542EB9">
        <w:rPr>
          <w:noProof/>
          <w:spacing w:val="80"/>
          <w:w w:val="150"/>
        </w:rPr>
        <w:t xml:space="preserve"> </w:t>
      </w:r>
      <w:r w:rsidRPr="00542EB9">
        <w:rPr>
          <w:noProof/>
        </w:rPr>
        <w:t>of</w:t>
      </w:r>
      <w:r w:rsidRPr="00542EB9">
        <w:rPr>
          <w:noProof/>
          <w:spacing w:val="80"/>
          <w:w w:val="150"/>
        </w:rPr>
        <w:t xml:space="preserve"> </w:t>
      </w:r>
      <w:r w:rsidRPr="00542EB9">
        <w:rPr>
          <w:noProof/>
        </w:rPr>
        <w:t>European</w:t>
      </w:r>
      <w:r w:rsidRPr="00542EB9">
        <w:rPr>
          <w:noProof/>
          <w:spacing w:val="80"/>
          <w:w w:val="150"/>
        </w:rPr>
        <w:t xml:space="preserve"> </w:t>
      </w:r>
      <w:r w:rsidRPr="00542EB9">
        <w:rPr>
          <w:noProof/>
        </w:rPr>
        <w:t>competitiveness.</w:t>
      </w:r>
      <w:r w:rsidRPr="00542EB9">
        <w:rPr>
          <w:noProof/>
          <w:spacing w:val="80"/>
          <w:w w:val="150"/>
        </w:rPr>
        <w:t xml:space="preserve"> </w:t>
      </w:r>
      <w:r w:rsidRPr="00542EB9">
        <w:rPr>
          <w:noProof/>
        </w:rPr>
        <w:t>Part</w:t>
      </w:r>
      <w:r w:rsidRPr="00542EB9">
        <w:rPr>
          <w:noProof/>
          <w:spacing w:val="80"/>
          <w:w w:val="150"/>
        </w:rPr>
        <w:t xml:space="preserve"> </w:t>
      </w:r>
      <w:r w:rsidRPr="00542EB9">
        <w:rPr>
          <w:noProof/>
        </w:rPr>
        <w:t>A</w:t>
      </w:r>
      <w:r w:rsidRPr="00542EB9">
        <w:rPr>
          <w:noProof/>
          <w:spacing w:val="80"/>
          <w:w w:val="150"/>
        </w:rPr>
        <w:t xml:space="preserve"> </w:t>
      </w:r>
      <w:r w:rsidRPr="00542EB9">
        <w:rPr>
          <w:noProof/>
        </w:rPr>
        <w:t>–</w:t>
      </w:r>
      <w:r w:rsidRPr="00542EB9">
        <w:rPr>
          <w:noProof/>
          <w:spacing w:val="80"/>
          <w:w w:val="150"/>
        </w:rPr>
        <w:t xml:space="preserve"> </w:t>
      </w:r>
      <w:r w:rsidRPr="00542EB9">
        <w:rPr>
          <w:noProof/>
        </w:rPr>
        <w:t>A</w:t>
      </w:r>
      <w:r w:rsidRPr="00542EB9">
        <w:rPr>
          <w:noProof/>
          <w:spacing w:val="40"/>
        </w:rPr>
        <w:t xml:space="preserve"> </w:t>
      </w:r>
      <w:r w:rsidRPr="00542EB9">
        <w:rPr>
          <w:noProof/>
        </w:rPr>
        <w:t>competitiveness strategy for Europe.</w:t>
      </w:r>
    </w:p>
    <w:p w14:paraId="1B8F6EAF"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7"/>
        <w:contextualSpacing w:val="0"/>
        <w:jc w:val="left"/>
        <w:rPr>
          <w:noProof/>
        </w:rPr>
      </w:pPr>
      <w:r w:rsidRPr="00542EB9">
        <w:rPr>
          <w:noProof/>
        </w:rPr>
        <w:t>Letta,</w:t>
      </w:r>
      <w:r w:rsidRPr="00542EB9">
        <w:rPr>
          <w:noProof/>
          <w:spacing w:val="21"/>
        </w:rPr>
        <w:t xml:space="preserve"> </w:t>
      </w:r>
      <w:r w:rsidRPr="00542EB9">
        <w:rPr>
          <w:noProof/>
        </w:rPr>
        <w:t>E</w:t>
      </w:r>
      <w:r w:rsidRPr="00542EB9">
        <w:rPr>
          <w:noProof/>
          <w:spacing w:val="21"/>
        </w:rPr>
        <w:t xml:space="preserve"> </w:t>
      </w:r>
      <w:r w:rsidRPr="00542EB9">
        <w:rPr>
          <w:noProof/>
        </w:rPr>
        <w:t>(2024).</w:t>
      </w:r>
      <w:r w:rsidRPr="00542EB9">
        <w:rPr>
          <w:noProof/>
          <w:spacing w:val="21"/>
        </w:rPr>
        <w:t xml:space="preserve"> </w:t>
      </w:r>
      <w:r w:rsidRPr="00542EB9">
        <w:rPr>
          <w:noProof/>
        </w:rPr>
        <w:t>Much</w:t>
      </w:r>
      <w:r w:rsidRPr="00542EB9">
        <w:rPr>
          <w:noProof/>
          <w:spacing w:val="24"/>
        </w:rPr>
        <w:t xml:space="preserve"> </w:t>
      </w:r>
      <w:r w:rsidRPr="00542EB9">
        <w:rPr>
          <w:noProof/>
        </w:rPr>
        <w:t>more</w:t>
      </w:r>
      <w:r w:rsidRPr="00542EB9">
        <w:rPr>
          <w:noProof/>
          <w:spacing w:val="20"/>
        </w:rPr>
        <w:t xml:space="preserve"> </w:t>
      </w:r>
      <w:r w:rsidRPr="00542EB9">
        <w:rPr>
          <w:noProof/>
        </w:rPr>
        <w:t>than</w:t>
      </w:r>
      <w:r w:rsidRPr="00542EB9">
        <w:rPr>
          <w:noProof/>
          <w:spacing w:val="21"/>
        </w:rPr>
        <w:t xml:space="preserve"> </w:t>
      </w:r>
      <w:r w:rsidRPr="00542EB9">
        <w:rPr>
          <w:noProof/>
        </w:rPr>
        <w:t>a</w:t>
      </w:r>
      <w:r w:rsidRPr="00542EB9">
        <w:rPr>
          <w:noProof/>
          <w:spacing w:val="20"/>
        </w:rPr>
        <w:t xml:space="preserve"> </w:t>
      </w:r>
      <w:r w:rsidRPr="00542EB9">
        <w:rPr>
          <w:noProof/>
        </w:rPr>
        <w:t>market</w:t>
      </w:r>
      <w:r w:rsidRPr="00542EB9">
        <w:rPr>
          <w:noProof/>
          <w:spacing w:val="24"/>
        </w:rPr>
        <w:t xml:space="preserve"> </w:t>
      </w:r>
      <w:hyperlink r:id="rId21">
        <w:r w:rsidRPr="00542EB9">
          <w:rPr>
            <w:noProof/>
            <w:u w:val="single"/>
          </w:rPr>
          <w:t>Enrico</w:t>
        </w:r>
        <w:r w:rsidRPr="00542EB9">
          <w:rPr>
            <w:noProof/>
            <w:spacing w:val="21"/>
            <w:u w:val="single"/>
          </w:rPr>
          <w:t xml:space="preserve"> </w:t>
        </w:r>
        <w:r w:rsidRPr="00542EB9">
          <w:rPr>
            <w:noProof/>
            <w:u w:val="single"/>
          </w:rPr>
          <w:t>Letta</w:t>
        </w:r>
        <w:r w:rsidRPr="00542EB9">
          <w:rPr>
            <w:noProof/>
            <w:spacing w:val="22"/>
            <w:u w:val="single"/>
          </w:rPr>
          <w:t xml:space="preserve"> </w:t>
        </w:r>
        <w:r w:rsidRPr="00542EB9">
          <w:rPr>
            <w:noProof/>
            <w:u w:val="single"/>
          </w:rPr>
          <w:t>-</w:t>
        </w:r>
        <w:r w:rsidRPr="00542EB9">
          <w:rPr>
            <w:noProof/>
            <w:spacing w:val="21"/>
            <w:u w:val="single"/>
          </w:rPr>
          <w:t xml:space="preserve"> </w:t>
        </w:r>
        <w:r w:rsidRPr="00542EB9">
          <w:rPr>
            <w:noProof/>
            <w:u w:val="single"/>
          </w:rPr>
          <w:t>Much</w:t>
        </w:r>
        <w:r w:rsidRPr="00542EB9">
          <w:rPr>
            <w:noProof/>
            <w:spacing w:val="21"/>
            <w:u w:val="single"/>
          </w:rPr>
          <w:t xml:space="preserve"> </w:t>
        </w:r>
        <w:r w:rsidRPr="00542EB9">
          <w:rPr>
            <w:noProof/>
            <w:u w:val="single"/>
          </w:rPr>
          <w:t>more</w:t>
        </w:r>
        <w:r w:rsidRPr="00542EB9">
          <w:rPr>
            <w:noProof/>
            <w:spacing w:val="20"/>
            <w:u w:val="single"/>
          </w:rPr>
          <w:t xml:space="preserve"> </w:t>
        </w:r>
        <w:r w:rsidRPr="00542EB9">
          <w:rPr>
            <w:noProof/>
            <w:u w:val="single"/>
          </w:rPr>
          <w:t>than</w:t>
        </w:r>
        <w:r w:rsidRPr="00542EB9">
          <w:rPr>
            <w:noProof/>
            <w:spacing w:val="21"/>
            <w:u w:val="single"/>
          </w:rPr>
          <w:t xml:space="preserve"> </w:t>
        </w:r>
        <w:r w:rsidRPr="00542EB9">
          <w:rPr>
            <w:noProof/>
            <w:u w:val="single"/>
          </w:rPr>
          <w:t>a</w:t>
        </w:r>
        <w:r w:rsidRPr="00542EB9">
          <w:rPr>
            <w:noProof/>
            <w:spacing w:val="20"/>
            <w:u w:val="single"/>
          </w:rPr>
          <w:t xml:space="preserve"> </w:t>
        </w:r>
        <w:r w:rsidRPr="00542EB9">
          <w:rPr>
            <w:noProof/>
            <w:u w:val="single"/>
          </w:rPr>
          <w:t>market</w:t>
        </w:r>
      </w:hyperlink>
      <w:r w:rsidRPr="00542EB9">
        <w:rPr>
          <w:noProof/>
        </w:rPr>
        <w:t xml:space="preserve"> </w:t>
      </w:r>
      <w:hyperlink r:id="rId22">
        <w:r w:rsidRPr="00542EB9">
          <w:rPr>
            <w:noProof/>
            <w:u w:val="single"/>
          </w:rPr>
          <w:t>(April 2024)</w:t>
        </w:r>
      </w:hyperlink>
    </w:p>
    <w:p w14:paraId="6895E00D"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3"/>
        <w:contextualSpacing w:val="0"/>
        <w:jc w:val="left"/>
        <w:rPr>
          <w:noProof/>
        </w:rPr>
      </w:pPr>
      <w:r w:rsidRPr="00542EB9">
        <w:rPr>
          <w:noProof/>
        </w:rPr>
        <w:t>Heitor, M (2024) Align,</w:t>
      </w:r>
      <w:r w:rsidRPr="00542EB9">
        <w:rPr>
          <w:noProof/>
          <w:spacing w:val="-1"/>
        </w:rPr>
        <w:t xml:space="preserve"> </w:t>
      </w:r>
      <w:r w:rsidRPr="00542EB9">
        <w:rPr>
          <w:noProof/>
        </w:rPr>
        <w:t>Act, Accelerate Research, technology and innovation to boost European Competitiveness</w:t>
      </w:r>
    </w:p>
    <w:p w14:paraId="58C14091" w14:textId="47D51D47" w:rsidR="000E558C" w:rsidRPr="00542EB9" w:rsidRDefault="000E558C" w:rsidP="005F23BF">
      <w:pPr>
        <w:pStyle w:val="ListParagraph"/>
        <w:widowControl w:val="0"/>
        <w:numPr>
          <w:ilvl w:val="0"/>
          <w:numId w:val="105"/>
        </w:numPr>
        <w:tabs>
          <w:tab w:val="left" w:pos="936"/>
        </w:tabs>
        <w:autoSpaceDE w:val="0"/>
        <w:autoSpaceDN w:val="0"/>
        <w:spacing w:after="0"/>
        <w:jc w:val="left"/>
        <w:rPr>
          <w:noProof/>
        </w:rPr>
      </w:pPr>
      <w:r w:rsidRPr="00542EB9">
        <w:rPr>
          <w:noProof/>
        </w:rPr>
        <w:t>Europ</w:t>
      </w:r>
      <w:r w:rsidRPr="00542EB9">
        <w:rPr>
          <w:rFonts w:eastAsia="Times New Roman"/>
          <w:noProof/>
        </w:rPr>
        <w:t>ean</w:t>
      </w:r>
      <w:r w:rsidRPr="00542EB9">
        <w:rPr>
          <w:rFonts w:eastAsia="Times New Roman"/>
          <w:noProof/>
          <w:spacing w:val="-4"/>
        </w:rPr>
        <w:t xml:space="preserve"> </w:t>
      </w:r>
      <w:r w:rsidRPr="00542EB9">
        <w:rPr>
          <w:rFonts w:eastAsia="Times New Roman"/>
          <w:noProof/>
        </w:rPr>
        <w:t>Commission</w:t>
      </w:r>
      <w:r w:rsidRPr="00542EB9">
        <w:rPr>
          <w:rFonts w:eastAsia="Times New Roman"/>
          <w:noProof/>
          <w:spacing w:val="-3"/>
        </w:rPr>
        <w:t xml:space="preserve"> </w:t>
      </w:r>
      <w:r w:rsidRPr="00542EB9">
        <w:rPr>
          <w:rFonts w:eastAsia="Times New Roman"/>
          <w:noProof/>
        </w:rPr>
        <w:t>(2025)</w:t>
      </w:r>
      <w:r w:rsidRPr="00542EB9">
        <w:rPr>
          <w:rFonts w:eastAsia="Times New Roman"/>
          <w:noProof/>
          <w:spacing w:val="-3"/>
        </w:rPr>
        <w:t xml:space="preserve"> </w:t>
      </w:r>
      <w:r w:rsidRPr="00542EB9">
        <w:rPr>
          <w:rFonts w:eastAsia="Times New Roman"/>
          <w:noProof/>
        </w:rPr>
        <w:t>-</w:t>
      </w:r>
      <w:r w:rsidRPr="00542EB9">
        <w:rPr>
          <w:rFonts w:eastAsia="Times New Roman"/>
          <w:noProof/>
          <w:spacing w:val="-3"/>
        </w:rPr>
        <w:t xml:space="preserve"> </w:t>
      </w:r>
      <w:hyperlink r:id="rId23">
        <w:r w:rsidRPr="00542EB9">
          <w:rPr>
            <w:rFonts w:eastAsia="Times New Roman"/>
            <w:noProof/>
            <w:color w:val="0000FF"/>
            <w:u w:val="single" w:color="0000FF"/>
          </w:rPr>
          <w:t>EU</w:t>
        </w:r>
        <w:r w:rsidRPr="00542EB9">
          <w:rPr>
            <w:rFonts w:eastAsia="Times New Roman"/>
            <w:noProof/>
            <w:color w:val="0000FF"/>
            <w:spacing w:val="-3"/>
            <w:u w:val="single" w:color="0000FF"/>
          </w:rPr>
          <w:t xml:space="preserve"> </w:t>
        </w:r>
        <w:r w:rsidRPr="00542EB9">
          <w:rPr>
            <w:rFonts w:eastAsia="Times New Roman"/>
            <w:noProof/>
            <w:color w:val="0000FF"/>
            <w:u w:val="single" w:color="0000FF"/>
          </w:rPr>
          <w:t>Compass</w:t>
        </w:r>
        <w:r w:rsidRPr="00542EB9">
          <w:rPr>
            <w:rFonts w:eastAsia="Times New Roman"/>
            <w:noProof/>
            <w:color w:val="0000FF"/>
            <w:spacing w:val="-2"/>
            <w:u w:val="single" w:color="0000FF"/>
          </w:rPr>
          <w:t xml:space="preserve"> </w:t>
        </w:r>
        <w:r w:rsidRPr="00542EB9">
          <w:rPr>
            <w:rFonts w:eastAsia="Times New Roman"/>
            <w:noProof/>
            <w:color w:val="0000FF"/>
            <w:u w:val="single" w:color="0000FF"/>
          </w:rPr>
          <w:t>to</w:t>
        </w:r>
        <w:r w:rsidRPr="00542EB9">
          <w:rPr>
            <w:rFonts w:eastAsia="Times New Roman"/>
            <w:noProof/>
            <w:color w:val="0000FF"/>
            <w:spacing w:val="-2"/>
            <w:u w:val="single" w:color="0000FF"/>
          </w:rPr>
          <w:t xml:space="preserve"> </w:t>
        </w:r>
        <w:r w:rsidRPr="00542EB9">
          <w:rPr>
            <w:rFonts w:eastAsia="Times New Roman"/>
            <w:noProof/>
            <w:color w:val="0000FF"/>
            <w:u w:val="single" w:color="0000FF"/>
          </w:rPr>
          <w:t>regain</w:t>
        </w:r>
        <w:r w:rsidRPr="00542EB9">
          <w:rPr>
            <w:rFonts w:eastAsia="Times New Roman"/>
            <w:noProof/>
            <w:color w:val="0000FF"/>
            <w:spacing w:val="-4"/>
            <w:u w:val="single" w:color="0000FF"/>
          </w:rPr>
          <w:t xml:space="preserve"> </w:t>
        </w:r>
        <w:r w:rsidRPr="00542EB9">
          <w:rPr>
            <w:rFonts w:eastAsia="Times New Roman"/>
            <w:noProof/>
            <w:color w:val="0000FF"/>
            <w:u w:val="single" w:color="0000FF"/>
          </w:rPr>
          <w:t>competitiveness</w:t>
        </w:r>
      </w:hyperlink>
      <w:r w:rsidRPr="00542EB9">
        <w:rPr>
          <w:rFonts w:eastAsia="Times New Roman"/>
          <w:noProof/>
          <w:color w:val="0000FF"/>
          <w:spacing w:val="8"/>
          <w:u w:val="single" w:color="0000FF"/>
        </w:rPr>
        <w:t xml:space="preserve"> </w:t>
      </w:r>
      <w:r w:rsidRPr="00542EB9">
        <w:rPr>
          <w:rFonts w:eastAsia="Times New Roman"/>
          <w:noProof/>
        </w:rPr>
        <w:t>-</w:t>
      </w:r>
      <w:r w:rsidRPr="00542EB9">
        <w:rPr>
          <w:rFonts w:eastAsia="Times New Roman"/>
          <w:noProof/>
          <w:spacing w:val="-3"/>
        </w:rPr>
        <w:t xml:space="preserve"> </w:t>
      </w:r>
      <w:r w:rsidRPr="00542EB9">
        <w:rPr>
          <w:rFonts w:eastAsia="Times New Roman"/>
          <w:noProof/>
        </w:rPr>
        <w:t>January</w:t>
      </w:r>
      <w:r w:rsidRPr="00542EB9">
        <w:rPr>
          <w:rFonts w:eastAsia="Times New Roman"/>
          <w:noProof/>
          <w:spacing w:val="-3"/>
        </w:rPr>
        <w:t xml:space="preserve"> </w:t>
      </w:r>
      <w:r w:rsidRPr="00542EB9">
        <w:rPr>
          <w:rFonts w:eastAsia="Times New Roman"/>
          <w:noProof/>
          <w:spacing w:val="-4"/>
        </w:rPr>
        <w:t>2025</w:t>
      </w:r>
    </w:p>
    <w:p w14:paraId="08D6DF75" w14:textId="77777777" w:rsidR="000E558C" w:rsidRPr="00542EB9" w:rsidRDefault="000E558C" w:rsidP="005F23BF">
      <w:pPr>
        <w:pStyle w:val="ListParagraph"/>
        <w:widowControl w:val="0"/>
        <w:numPr>
          <w:ilvl w:val="0"/>
          <w:numId w:val="105"/>
        </w:numPr>
        <w:tabs>
          <w:tab w:val="left" w:pos="936"/>
        </w:tabs>
        <w:autoSpaceDE w:val="0"/>
        <w:autoSpaceDN w:val="0"/>
        <w:spacing w:after="0" w:line="254" w:lineRule="auto"/>
        <w:ind w:right="219"/>
        <w:contextualSpacing w:val="0"/>
        <w:rPr>
          <w:noProof/>
        </w:rPr>
      </w:pPr>
      <w:r w:rsidRPr="00542EB9">
        <w:rPr>
          <w:noProof/>
        </w:rPr>
        <w:t xml:space="preserve">European Commission (2025) - </w:t>
      </w:r>
      <w:hyperlink r:id="rId24">
        <w:r w:rsidRPr="00542EB9">
          <w:rPr>
            <w:noProof/>
            <w:color w:val="0000FF"/>
            <w:u w:val="single" w:color="0000FF"/>
          </w:rPr>
          <w:t>Communication on the road to the next multiannual</w:t>
        </w:r>
      </w:hyperlink>
      <w:r w:rsidRPr="00542EB9">
        <w:rPr>
          <w:noProof/>
          <w:color w:val="0000FF"/>
        </w:rPr>
        <w:t xml:space="preserve"> </w:t>
      </w:r>
      <w:hyperlink r:id="rId25">
        <w:r w:rsidRPr="00542EB9">
          <w:rPr>
            <w:noProof/>
            <w:color w:val="0000FF"/>
            <w:u w:val="single" w:color="0000FF"/>
          </w:rPr>
          <w:t>financial framework</w:t>
        </w:r>
      </w:hyperlink>
      <w:r w:rsidRPr="00542EB9">
        <w:rPr>
          <w:noProof/>
          <w:color w:val="0000FF"/>
        </w:rPr>
        <w:t xml:space="preserve"> </w:t>
      </w:r>
      <w:r w:rsidRPr="00542EB9">
        <w:rPr>
          <w:noProof/>
        </w:rPr>
        <w:t>- February 2025</w:t>
      </w:r>
    </w:p>
    <w:p w14:paraId="36474ABF" w14:textId="77777777" w:rsidR="000E558C" w:rsidRPr="00542EB9" w:rsidRDefault="000E558C" w:rsidP="005F23BF">
      <w:pPr>
        <w:pStyle w:val="ListParagraph"/>
        <w:widowControl w:val="0"/>
        <w:numPr>
          <w:ilvl w:val="0"/>
          <w:numId w:val="105"/>
        </w:numPr>
        <w:tabs>
          <w:tab w:val="left" w:pos="936"/>
        </w:tabs>
        <w:autoSpaceDE w:val="0"/>
        <w:autoSpaceDN w:val="0"/>
        <w:spacing w:after="0" w:line="259" w:lineRule="auto"/>
        <w:ind w:right="215"/>
        <w:contextualSpacing w:val="0"/>
        <w:rPr>
          <w:noProof/>
        </w:rPr>
      </w:pPr>
      <w:r w:rsidRPr="00542EB9">
        <w:rPr>
          <w:noProof/>
        </w:rPr>
        <w:t>European Commission (</w:t>
      </w:r>
      <w:hyperlink r:id="rId26">
        <w:r w:rsidRPr="00542EB9">
          <w:rPr>
            <w:noProof/>
            <w:u w:val="single"/>
          </w:rPr>
          <w:t>2024</w:t>
        </w:r>
      </w:hyperlink>
      <w:r w:rsidRPr="00542EB9">
        <w:rPr>
          <w:noProof/>
        </w:rPr>
        <w:t>). Europe´s Choice. Political guidelines for the next European Commission 2024-2029; EUCO Conclusions 12/24 18 April;</w:t>
      </w:r>
      <w:r w:rsidRPr="00542EB9">
        <w:rPr>
          <w:noProof/>
          <w:spacing w:val="40"/>
        </w:rPr>
        <w:t xml:space="preserve"> </w:t>
      </w:r>
      <w:r w:rsidRPr="00542EB9">
        <w:rPr>
          <w:noProof/>
        </w:rPr>
        <w:t>EUCO 15/24 June 2024.</w:t>
      </w:r>
    </w:p>
    <w:p w14:paraId="680B408D" w14:textId="77777777" w:rsidR="000E558C" w:rsidRPr="00542EB9" w:rsidRDefault="000E558C" w:rsidP="005F23BF">
      <w:pPr>
        <w:pStyle w:val="ListParagraph"/>
        <w:widowControl w:val="0"/>
        <w:numPr>
          <w:ilvl w:val="0"/>
          <w:numId w:val="105"/>
        </w:numPr>
        <w:tabs>
          <w:tab w:val="left" w:pos="936"/>
        </w:tabs>
        <w:autoSpaceDE w:val="0"/>
        <w:autoSpaceDN w:val="0"/>
        <w:spacing w:after="0" w:line="254" w:lineRule="auto"/>
        <w:ind w:right="219"/>
        <w:contextualSpacing w:val="0"/>
        <w:rPr>
          <w:noProof/>
        </w:rPr>
      </w:pPr>
      <w:r w:rsidRPr="00542EB9">
        <w:rPr>
          <w:noProof/>
        </w:rPr>
        <w:t>European Commission (</w:t>
      </w:r>
      <w:hyperlink r:id="rId27">
        <w:r w:rsidRPr="00542EB9">
          <w:rPr>
            <w:noProof/>
            <w:u w:val="single"/>
          </w:rPr>
          <w:t>2024</w:t>
        </w:r>
      </w:hyperlink>
      <w:r w:rsidRPr="00542EB9">
        <w:rPr>
          <w:noProof/>
        </w:rPr>
        <w:t>). Science, Research and Innovation Performance of the EU: A Competitive Europe for a Sustainable Future.</w:t>
      </w:r>
    </w:p>
    <w:p w14:paraId="12B83FC9" w14:textId="77777777" w:rsidR="000E558C" w:rsidRPr="00542EB9" w:rsidRDefault="000E558C" w:rsidP="005F23BF">
      <w:pPr>
        <w:pStyle w:val="ListParagraph"/>
        <w:widowControl w:val="0"/>
        <w:numPr>
          <w:ilvl w:val="0"/>
          <w:numId w:val="105"/>
        </w:numPr>
        <w:tabs>
          <w:tab w:val="left" w:pos="936"/>
        </w:tabs>
        <w:autoSpaceDE w:val="0"/>
        <w:autoSpaceDN w:val="0"/>
        <w:spacing w:after="0" w:line="254" w:lineRule="auto"/>
        <w:ind w:right="216"/>
        <w:contextualSpacing w:val="0"/>
        <w:rPr>
          <w:noProof/>
        </w:rPr>
      </w:pPr>
      <w:r w:rsidRPr="00542EB9">
        <w:rPr>
          <w:noProof/>
        </w:rPr>
        <w:t xml:space="preserve">European Commission (2024). - </w:t>
      </w:r>
      <w:hyperlink r:id="rId28">
        <w:r w:rsidRPr="00542EB9">
          <w:rPr>
            <w:noProof/>
            <w:color w:val="0000FF"/>
            <w:u w:val="single" w:color="0000FF"/>
          </w:rPr>
          <w:t>Ex-post evaluation of Horizon 2020, the EU</w:t>
        </w:r>
      </w:hyperlink>
      <w:r w:rsidRPr="00542EB9">
        <w:rPr>
          <w:noProof/>
          <w:color w:val="0000FF"/>
        </w:rPr>
        <w:t xml:space="preserve"> </w:t>
      </w:r>
      <w:hyperlink r:id="rId29">
        <w:r w:rsidRPr="00542EB9">
          <w:rPr>
            <w:noProof/>
            <w:color w:val="0000FF"/>
            <w:u w:val="single" w:color="0000FF"/>
          </w:rPr>
          <w:t>Framework Programme for Research and Innovation</w:t>
        </w:r>
      </w:hyperlink>
    </w:p>
    <w:p w14:paraId="48B9281D" w14:textId="3041269B" w:rsidR="613E0C88" w:rsidRPr="00542EB9" w:rsidRDefault="000E558C" w:rsidP="005B7EF0">
      <w:pPr>
        <w:pStyle w:val="ListParagraph"/>
        <w:widowControl w:val="0"/>
        <w:numPr>
          <w:ilvl w:val="0"/>
          <w:numId w:val="105"/>
        </w:numPr>
        <w:tabs>
          <w:tab w:val="left" w:pos="935"/>
        </w:tabs>
        <w:autoSpaceDE w:val="0"/>
        <w:autoSpaceDN w:val="0"/>
        <w:spacing w:after="0"/>
        <w:ind w:left="935" w:hanging="359"/>
        <w:rPr>
          <w:noProof/>
        </w:rPr>
      </w:pPr>
      <w:r w:rsidRPr="00542EB9">
        <w:rPr>
          <w:noProof/>
        </w:rPr>
        <w:t>European Commission (2025; forthcoming). – Interim evaluation of Horizon Europe</w:t>
      </w:r>
    </w:p>
    <w:p w14:paraId="7DCB0ED9" w14:textId="1CB222F2" w:rsidR="134B95D3" w:rsidRPr="00542EB9" w:rsidRDefault="134B95D3" w:rsidP="005F23BF">
      <w:pPr>
        <w:pStyle w:val="ListParagraph"/>
        <w:widowControl w:val="0"/>
        <w:numPr>
          <w:ilvl w:val="0"/>
          <w:numId w:val="105"/>
        </w:numPr>
        <w:tabs>
          <w:tab w:val="left" w:pos="935"/>
        </w:tabs>
        <w:spacing w:after="0"/>
        <w:rPr>
          <w:noProof/>
        </w:rPr>
      </w:pPr>
      <w:r w:rsidRPr="00542EB9">
        <w:rPr>
          <w:noProof/>
        </w:rPr>
        <w:t>European Commission (2025; forthcoming) – Interim evaluation of Customs programme (2021-2027)</w:t>
      </w:r>
    </w:p>
    <w:p w14:paraId="76D5AFA0" w14:textId="72683E33" w:rsidR="203EA6CF" w:rsidRPr="00542EB9" w:rsidRDefault="203EA6CF" w:rsidP="00532142">
      <w:pPr>
        <w:pStyle w:val="ListParagraph"/>
        <w:numPr>
          <w:ilvl w:val="0"/>
          <w:numId w:val="105"/>
        </w:numPr>
        <w:spacing w:after="0"/>
        <w:rPr>
          <w:rFonts w:eastAsia="Times New Roman"/>
          <w:noProof/>
          <w:u w:val="single"/>
        </w:rPr>
      </w:pPr>
      <w:r w:rsidRPr="00542EB9">
        <w:rPr>
          <w:noProof/>
        </w:rPr>
        <w:t>European Commission (2025; forthcoming) Interim evaluation of</w:t>
      </w:r>
      <w:r w:rsidRPr="00542EB9">
        <w:rPr>
          <w:rFonts w:eastAsia="Times New Roman"/>
          <w:noProof/>
        </w:rPr>
        <w:t xml:space="preserve"> </w:t>
      </w:r>
      <w:r w:rsidRPr="00542EB9">
        <w:rPr>
          <w:rFonts w:eastAsia="Times New Roman"/>
          <w:noProof/>
          <w:u w:val="single"/>
        </w:rPr>
        <w:t>Fiscalis (2021-2027)</w:t>
      </w:r>
    </w:p>
    <w:p w14:paraId="3EAC190C" w14:textId="7061D0A9" w:rsidR="203EA6CF" w:rsidRPr="00542EB9" w:rsidRDefault="203EA6CF" w:rsidP="005F23BF">
      <w:pPr>
        <w:pStyle w:val="ListParagraph"/>
        <w:widowControl w:val="0"/>
        <w:numPr>
          <w:ilvl w:val="0"/>
          <w:numId w:val="105"/>
        </w:numPr>
        <w:tabs>
          <w:tab w:val="left" w:pos="935"/>
        </w:tabs>
        <w:spacing w:after="0"/>
        <w:rPr>
          <w:rFonts w:eastAsia="Times New Roman"/>
          <w:noProof/>
        </w:rPr>
      </w:pPr>
      <w:r w:rsidRPr="00542EB9">
        <w:rPr>
          <w:rFonts w:eastAsia="Times New Roman"/>
          <w:noProof/>
        </w:rPr>
        <w:t xml:space="preserve">Customs Control Equipment Instrument Annual Progress Report 2022, SWD(2023) 251 final, </w:t>
      </w:r>
    </w:p>
    <w:p w14:paraId="1059CB8D" w14:textId="77777777" w:rsidR="000E558C" w:rsidRPr="00542EB9" w:rsidRDefault="000E558C" w:rsidP="005F23BF">
      <w:pPr>
        <w:pStyle w:val="ListParagraph"/>
        <w:widowControl w:val="0"/>
        <w:numPr>
          <w:ilvl w:val="0"/>
          <w:numId w:val="105"/>
        </w:numPr>
        <w:tabs>
          <w:tab w:val="left" w:pos="936"/>
        </w:tabs>
        <w:autoSpaceDE w:val="0"/>
        <w:autoSpaceDN w:val="0"/>
        <w:spacing w:after="0"/>
        <w:ind w:right="217"/>
        <w:rPr>
          <w:noProof/>
        </w:rPr>
      </w:pPr>
      <w:r w:rsidRPr="00542EB9">
        <w:rPr>
          <w:noProof/>
        </w:rPr>
        <w:t>Bergeaud, A. (</w:t>
      </w:r>
      <w:hyperlink r:id="rId30">
        <w:r w:rsidRPr="00542EB9">
          <w:rPr>
            <w:noProof/>
            <w:u w:val="single"/>
          </w:rPr>
          <w:t>2024</w:t>
        </w:r>
      </w:hyperlink>
      <w:r w:rsidRPr="00542EB9">
        <w:rPr>
          <w:noProof/>
        </w:rPr>
        <w:t>). Monetary policy in an era of transformation.</w:t>
      </w:r>
      <w:r w:rsidRPr="00542EB9">
        <w:rPr>
          <w:noProof/>
          <w:spacing w:val="-2"/>
        </w:rPr>
        <w:t xml:space="preserve"> </w:t>
      </w:r>
      <w:r w:rsidRPr="00542EB9">
        <w:rPr>
          <w:noProof/>
        </w:rPr>
        <w:t>The past, present and future of European productivity. European Central Bank.</w:t>
      </w:r>
    </w:p>
    <w:p w14:paraId="5FE29FAF" w14:textId="5C9D23B1" w:rsidR="000E558C" w:rsidRPr="00542EB9" w:rsidRDefault="000E558C" w:rsidP="005B7EF0">
      <w:pPr>
        <w:pStyle w:val="ListParagraph"/>
        <w:widowControl w:val="0"/>
        <w:numPr>
          <w:ilvl w:val="0"/>
          <w:numId w:val="105"/>
        </w:numPr>
        <w:tabs>
          <w:tab w:val="left" w:pos="936"/>
        </w:tabs>
        <w:autoSpaceDE w:val="0"/>
        <w:autoSpaceDN w:val="0"/>
        <w:spacing w:after="0"/>
        <w:ind w:right="217"/>
        <w:rPr>
          <w:noProof/>
        </w:rPr>
      </w:pPr>
      <w:r w:rsidRPr="00542EB9">
        <w:rPr>
          <w:noProof/>
        </w:rPr>
        <w:t>European</w:t>
      </w:r>
      <w:r w:rsidRPr="00542EB9">
        <w:rPr>
          <w:noProof/>
          <w:spacing w:val="80"/>
          <w:w w:val="150"/>
        </w:rPr>
        <w:t xml:space="preserve"> </w:t>
      </w:r>
      <w:r w:rsidRPr="00542EB9">
        <w:rPr>
          <w:noProof/>
        </w:rPr>
        <w:t>Commission:</w:t>
      </w:r>
      <w:r w:rsidRPr="00542EB9">
        <w:rPr>
          <w:noProof/>
          <w:spacing w:val="80"/>
          <w:w w:val="150"/>
        </w:rPr>
        <w:t xml:space="preserve">  </w:t>
      </w:r>
      <w:r w:rsidRPr="00542EB9">
        <w:rPr>
          <w:noProof/>
        </w:rPr>
        <w:t>Directorate-General</w:t>
      </w:r>
      <w:r w:rsidRPr="00542EB9">
        <w:rPr>
          <w:noProof/>
          <w:spacing w:val="80"/>
          <w:w w:val="150"/>
        </w:rPr>
        <w:t xml:space="preserve"> </w:t>
      </w:r>
      <w:r w:rsidRPr="00542EB9">
        <w:rPr>
          <w:noProof/>
        </w:rPr>
        <w:t>for</w:t>
      </w:r>
      <w:r w:rsidRPr="00542EB9">
        <w:rPr>
          <w:noProof/>
          <w:spacing w:val="80"/>
          <w:w w:val="150"/>
        </w:rPr>
        <w:t xml:space="preserve"> </w:t>
      </w:r>
      <w:r w:rsidRPr="00542EB9">
        <w:rPr>
          <w:noProof/>
        </w:rPr>
        <w:t>Research</w:t>
      </w:r>
      <w:r w:rsidRPr="00542EB9">
        <w:rPr>
          <w:noProof/>
          <w:spacing w:val="80"/>
          <w:w w:val="150"/>
        </w:rPr>
        <w:t xml:space="preserve"> </w:t>
      </w:r>
      <w:r w:rsidRPr="00542EB9">
        <w:rPr>
          <w:noProof/>
        </w:rPr>
        <w:t>and Innovation</w:t>
      </w:r>
      <w:r w:rsidRPr="00542EB9">
        <w:rPr>
          <w:noProof/>
          <w:spacing w:val="-3"/>
        </w:rPr>
        <w:t xml:space="preserve"> </w:t>
      </w:r>
      <w:r w:rsidRPr="00542EB9">
        <w:rPr>
          <w:noProof/>
        </w:rPr>
        <w:t>(</w:t>
      </w:r>
      <w:hyperlink r:id="rId31">
        <w:r w:rsidRPr="00542EB9">
          <w:rPr>
            <w:noProof/>
            <w:u w:val="single"/>
          </w:rPr>
          <w:t>2024</w:t>
        </w:r>
      </w:hyperlink>
      <w:r w:rsidRPr="00542EB9">
        <w:rPr>
          <w:noProof/>
        </w:rPr>
        <w:t>).</w:t>
      </w:r>
      <w:r w:rsidRPr="00542EB9">
        <w:rPr>
          <w:noProof/>
          <w:spacing w:val="-3"/>
        </w:rPr>
        <w:t xml:space="preserve"> </w:t>
      </w:r>
      <w:r w:rsidRPr="00542EB9">
        <w:rPr>
          <w:noProof/>
        </w:rPr>
        <w:t>Align, act, accelerate – Research, technology and innovation to boost European competitiveness, Publications Office of the European Union.</w:t>
      </w:r>
    </w:p>
    <w:p w14:paraId="1414F703"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8"/>
        <w:contextualSpacing w:val="0"/>
        <w:rPr>
          <w:noProof/>
        </w:rPr>
      </w:pPr>
      <w:r w:rsidRPr="00542EB9">
        <w:rPr>
          <w:noProof/>
        </w:rPr>
        <w:t>Szarowská, I. (2017). Does public R&amp;I expenditure matter for economic growth? GMM approach. Journal of International Studies (2071-8330), 10(2).</w:t>
      </w:r>
    </w:p>
    <w:p w14:paraId="0354D9ED"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6"/>
        <w:contextualSpacing w:val="0"/>
        <w:rPr>
          <w:noProof/>
        </w:rPr>
      </w:pPr>
      <w:r w:rsidRPr="00542EB9">
        <w:rPr>
          <w:noProof/>
          <w:lang w:val="it-IT"/>
        </w:rPr>
        <w:t xml:space="preserve">Ciriaci, D., Moncada-Paternò-Castello, P., &amp; Voigt, P. (2016). </w:t>
      </w:r>
      <w:r w:rsidRPr="00542EB9">
        <w:rPr>
          <w:noProof/>
        </w:rPr>
        <w:t>Innovation and job creation: a sustainable relation? Eurasian Business Review, 6, 189-213.</w:t>
      </w:r>
    </w:p>
    <w:p w14:paraId="69391689"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8"/>
        <w:contextualSpacing w:val="0"/>
        <w:rPr>
          <w:noProof/>
        </w:rPr>
      </w:pPr>
      <w:r w:rsidRPr="00542EB9">
        <w:rPr>
          <w:noProof/>
        </w:rPr>
        <w:t>Boeing, P., Eberle, J., &amp; Howell, A. (2022). The impact of China's R&amp;I subsidies on R&amp;I investment, technological upgrading and economic growth. Technological Forecasting and Social Change, 174, 121212.</w:t>
      </w:r>
    </w:p>
    <w:p w14:paraId="4E2283E0"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4"/>
        <w:contextualSpacing w:val="0"/>
        <w:rPr>
          <w:noProof/>
        </w:rPr>
      </w:pPr>
      <w:r w:rsidRPr="00542EB9">
        <w:rPr>
          <w:noProof/>
          <w:lang w:val="it-IT"/>
        </w:rPr>
        <w:t>Steeman,</w:t>
      </w:r>
      <w:r w:rsidRPr="00542EB9">
        <w:rPr>
          <w:noProof/>
          <w:spacing w:val="-3"/>
          <w:lang w:val="it-IT"/>
        </w:rPr>
        <w:t xml:space="preserve"> </w:t>
      </w:r>
      <w:r w:rsidRPr="00542EB9">
        <w:rPr>
          <w:noProof/>
          <w:lang w:val="it-IT"/>
        </w:rPr>
        <w:t>J.</w:t>
      </w:r>
      <w:r w:rsidRPr="00542EB9">
        <w:rPr>
          <w:noProof/>
          <w:spacing w:val="-3"/>
          <w:lang w:val="it-IT"/>
        </w:rPr>
        <w:t xml:space="preserve"> </w:t>
      </w:r>
      <w:r w:rsidRPr="00542EB9">
        <w:rPr>
          <w:noProof/>
          <w:lang w:val="it-IT"/>
        </w:rPr>
        <w:t>T.,</w:t>
      </w:r>
      <w:r w:rsidRPr="00542EB9">
        <w:rPr>
          <w:noProof/>
          <w:spacing w:val="-3"/>
          <w:lang w:val="it-IT"/>
        </w:rPr>
        <w:t xml:space="preserve"> </w:t>
      </w:r>
      <w:r w:rsidRPr="00542EB9">
        <w:rPr>
          <w:noProof/>
          <w:lang w:val="it-IT"/>
        </w:rPr>
        <w:t>Di</w:t>
      </w:r>
      <w:r w:rsidRPr="00542EB9">
        <w:rPr>
          <w:noProof/>
          <w:spacing w:val="-3"/>
          <w:lang w:val="it-IT"/>
        </w:rPr>
        <w:t xml:space="preserve"> </w:t>
      </w:r>
      <w:r w:rsidRPr="00542EB9">
        <w:rPr>
          <w:noProof/>
          <w:lang w:val="it-IT"/>
        </w:rPr>
        <w:t>Girolamo,</w:t>
      </w:r>
      <w:r w:rsidRPr="00542EB9">
        <w:rPr>
          <w:noProof/>
          <w:spacing w:val="-3"/>
          <w:lang w:val="it-IT"/>
        </w:rPr>
        <w:t xml:space="preserve"> </w:t>
      </w:r>
      <w:r w:rsidRPr="00542EB9">
        <w:rPr>
          <w:noProof/>
          <w:lang w:val="it-IT"/>
        </w:rPr>
        <w:t>V.,</w:t>
      </w:r>
      <w:r w:rsidRPr="00542EB9">
        <w:rPr>
          <w:noProof/>
          <w:spacing w:val="-3"/>
          <w:lang w:val="it-IT"/>
        </w:rPr>
        <w:t xml:space="preserve"> </w:t>
      </w:r>
      <w:r w:rsidRPr="00542EB9">
        <w:rPr>
          <w:noProof/>
          <w:lang w:val="it-IT"/>
        </w:rPr>
        <w:t>Mitra,</w:t>
      </w:r>
      <w:r w:rsidRPr="00542EB9">
        <w:rPr>
          <w:noProof/>
          <w:spacing w:val="-3"/>
          <w:lang w:val="it-IT"/>
        </w:rPr>
        <w:t xml:space="preserve"> </w:t>
      </w:r>
      <w:r w:rsidRPr="00542EB9">
        <w:rPr>
          <w:noProof/>
          <w:lang w:val="it-IT"/>
        </w:rPr>
        <w:t>A.,</w:t>
      </w:r>
      <w:r w:rsidRPr="00542EB9">
        <w:rPr>
          <w:noProof/>
          <w:spacing w:val="-3"/>
          <w:lang w:val="it-IT"/>
        </w:rPr>
        <w:t xml:space="preserve"> </w:t>
      </w:r>
      <w:r w:rsidRPr="00542EB9">
        <w:rPr>
          <w:noProof/>
          <w:lang w:val="it-IT"/>
        </w:rPr>
        <w:t>Peiffer-Smadja,</w:t>
      </w:r>
      <w:r w:rsidRPr="00542EB9">
        <w:rPr>
          <w:noProof/>
          <w:spacing w:val="-3"/>
          <w:lang w:val="it-IT"/>
        </w:rPr>
        <w:t xml:space="preserve"> </w:t>
      </w:r>
      <w:r w:rsidRPr="00542EB9">
        <w:rPr>
          <w:noProof/>
          <w:lang w:val="it-IT"/>
        </w:rPr>
        <w:t>O.,</w:t>
      </w:r>
      <w:r w:rsidRPr="00542EB9">
        <w:rPr>
          <w:noProof/>
          <w:spacing w:val="-3"/>
          <w:lang w:val="it-IT"/>
        </w:rPr>
        <w:t xml:space="preserve"> </w:t>
      </w:r>
      <w:r w:rsidRPr="00542EB9">
        <w:rPr>
          <w:noProof/>
          <w:lang w:val="it-IT"/>
        </w:rPr>
        <w:t>Ravet,</w:t>
      </w:r>
      <w:r w:rsidRPr="00542EB9">
        <w:rPr>
          <w:noProof/>
          <w:spacing w:val="-3"/>
          <w:lang w:val="it-IT"/>
        </w:rPr>
        <w:t xml:space="preserve"> </w:t>
      </w:r>
      <w:r w:rsidRPr="00542EB9">
        <w:rPr>
          <w:noProof/>
          <w:lang w:val="it-IT"/>
        </w:rPr>
        <w:t>J.,</w:t>
      </w:r>
      <w:r w:rsidRPr="00542EB9">
        <w:rPr>
          <w:noProof/>
          <w:spacing w:val="-3"/>
          <w:lang w:val="it-IT"/>
        </w:rPr>
        <w:t xml:space="preserve"> </w:t>
      </w:r>
      <w:r w:rsidRPr="00542EB9">
        <w:rPr>
          <w:noProof/>
          <w:lang w:val="it-IT"/>
        </w:rPr>
        <w:t>Hobza,</w:t>
      </w:r>
      <w:r w:rsidRPr="00542EB9">
        <w:rPr>
          <w:noProof/>
          <w:spacing w:val="-3"/>
          <w:lang w:val="it-IT"/>
        </w:rPr>
        <w:t xml:space="preserve"> </w:t>
      </w:r>
      <w:r w:rsidRPr="00542EB9">
        <w:rPr>
          <w:noProof/>
          <w:lang w:val="it-IT"/>
        </w:rPr>
        <w:t>A.,</w:t>
      </w:r>
      <w:r w:rsidRPr="00542EB9">
        <w:rPr>
          <w:noProof/>
          <w:spacing w:val="-3"/>
          <w:lang w:val="it-IT"/>
        </w:rPr>
        <w:t xml:space="preserve"> </w:t>
      </w:r>
      <w:r w:rsidRPr="00542EB9">
        <w:rPr>
          <w:noProof/>
          <w:lang w:val="it-IT"/>
        </w:rPr>
        <w:t xml:space="preserve">&amp; Canton, E. C. (2024). </w:t>
      </w:r>
      <w:r w:rsidRPr="00542EB9">
        <w:rPr>
          <w:noProof/>
        </w:rPr>
        <w:t>Why investing in research and innovation matters for a competitive, green, and fair Europe: A rationale for public and private action. R&amp;I Working Paper Series RTD</w:t>
      </w:r>
    </w:p>
    <w:p w14:paraId="1D2A0DC1"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22"/>
        <w:contextualSpacing w:val="0"/>
        <w:rPr>
          <w:noProof/>
        </w:rPr>
      </w:pPr>
      <w:r w:rsidRPr="00542EB9">
        <w:rPr>
          <w:noProof/>
        </w:rPr>
        <w:t>European Commission (2017), The economic rationale for public R&amp;I funding and its impact, Policy Brief Series, p. 23.</w:t>
      </w:r>
    </w:p>
    <w:p w14:paraId="1CF77DFA"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5"/>
        <w:contextualSpacing w:val="0"/>
        <w:rPr>
          <w:noProof/>
        </w:rPr>
      </w:pPr>
      <w:r w:rsidRPr="00542EB9">
        <w:rPr>
          <w:noProof/>
        </w:rPr>
        <w:t>European Commission, Directorate-General for Research and Innovation (</w:t>
      </w:r>
      <w:hyperlink r:id="rId32">
        <w:r w:rsidRPr="00542EB9">
          <w:rPr>
            <w:noProof/>
            <w:u w:val="single"/>
          </w:rPr>
          <w:t>2021</w:t>
        </w:r>
      </w:hyperlink>
      <w:r w:rsidRPr="00542EB9">
        <w:rPr>
          <w:noProof/>
        </w:rPr>
        <w:t xml:space="preserve">). EU research and innovation in action against the coronavirus – Funding, results and </w:t>
      </w:r>
      <w:r w:rsidRPr="00542EB9">
        <w:rPr>
          <w:noProof/>
          <w:spacing w:val="-2"/>
        </w:rPr>
        <w:t>impact.</w:t>
      </w:r>
    </w:p>
    <w:p w14:paraId="5DA8AD4B"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5"/>
        <w:contextualSpacing w:val="0"/>
        <w:rPr>
          <w:noProof/>
        </w:rPr>
      </w:pPr>
      <w:r w:rsidRPr="00542EB9">
        <w:rPr>
          <w:noProof/>
        </w:rPr>
        <w:t>European Commission, Mugabushaka, A., Rakonczay, Z. (</w:t>
      </w:r>
      <w:hyperlink r:id="rId33">
        <w:r w:rsidRPr="00542EB9">
          <w:rPr>
            <w:noProof/>
            <w:u w:val="single"/>
          </w:rPr>
          <w:t>2022</w:t>
        </w:r>
      </w:hyperlink>
      <w:r w:rsidRPr="00542EB9">
        <w:rPr>
          <w:noProof/>
        </w:rPr>
        <w:t>). Informing global climate action – Contribution of the Framework Programmes (FP7 and H2020) to the knowledge base of recent IPCC reports based on openly available data.</w:t>
      </w:r>
    </w:p>
    <w:p w14:paraId="2B0D0F68" w14:textId="77777777" w:rsidR="000E558C" w:rsidRPr="00542EB9" w:rsidRDefault="000E558C" w:rsidP="000E558C">
      <w:pPr>
        <w:pStyle w:val="ListParagraph"/>
        <w:widowControl w:val="0"/>
        <w:numPr>
          <w:ilvl w:val="0"/>
          <w:numId w:val="105"/>
        </w:numPr>
        <w:tabs>
          <w:tab w:val="left" w:pos="935"/>
        </w:tabs>
        <w:autoSpaceDE w:val="0"/>
        <w:autoSpaceDN w:val="0"/>
        <w:spacing w:after="0" w:line="293" w:lineRule="exact"/>
        <w:ind w:left="935" w:hanging="359"/>
        <w:contextualSpacing w:val="0"/>
        <w:rPr>
          <w:noProof/>
        </w:rPr>
      </w:pPr>
      <w:r w:rsidRPr="00542EB9">
        <w:rPr>
          <w:noProof/>
        </w:rPr>
        <w:t>European</w:t>
      </w:r>
      <w:r w:rsidRPr="00542EB9">
        <w:rPr>
          <w:noProof/>
          <w:spacing w:val="-4"/>
        </w:rPr>
        <w:t xml:space="preserve"> </w:t>
      </w:r>
      <w:r w:rsidRPr="00542EB9">
        <w:rPr>
          <w:noProof/>
        </w:rPr>
        <w:t>Commission</w:t>
      </w:r>
      <w:r w:rsidRPr="00542EB9">
        <w:rPr>
          <w:noProof/>
          <w:spacing w:val="-1"/>
        </w:rPr>
        <w:t xml:space="preserve"> </w:t>
      </w:r>
      <w:r w:rsidRPr="00542EB9">
        <w:rPr>
          <w:noProof/>
        </w:rPr>
        <w:t>(2023).</w:t>
      </w:r>
      <w:r w:rsidRPr="00542EB9">
        <w:rPr>
          <w:noProof/>
          <w:spacing w:val="-2"/>
        </w:rPr>
        <w:t xml:space="preserve"> </w:t>
      </w:r>
      <w:r w:rsidRPr="00542EB9">
        <w:rPr>
          <w:noProof/>
        </w:rPr>
        <w:t>Strategic</w:t>
      </w:r>
      <w:r w:rsidRPr="00542EB9">
        <w:rPr>
          <w:noProof/>
          <w:spacing w:val="-2"/>
        </w:rPr>
        <w:t xml:space="preserve"> </w:t>
      </w:r>
      <w:r w:rsidRPr="00542EB9">
        <w:rPr>
          <w:noProof/>
        </w:rPr>
        <w:t>Foresight</w:t>
      </w:r>
      <w:r w:rsidRPr="00542EB9">
        <w:rPr>
          <w:noProof/>
          <w:spacing w:val="1"/>
        </w:rPr>
        <w:t xml:space="preserve"> </w:t>
      </w:r>
      <w:r w:rsidRPr="00542EB9">
        <w:rPr>
          <w:noProof/>
        </w:rPr>
        <w:t>Report</w:t>
      </w:r>
      <w:r w:rsidRPr="00542EB9">
        <w:rPr>
          <w:noProof/>
          <w:spacing w:val="-1"/>
        </w:rPr>
        <w:t xml:space="preserve"> </w:t>
      </w:r>
      <w:r w:rsidRPr="00542EB9">
        <w:rPr>
          <w:noProof/>
          <w:spacing w:val="-2"/>
        </w:rPr>
        <w:t>2023.</w:t>
      </w:r>
    </w:p>
    <w:p w14:paraId="2F14D79B" w14:textId="77777777" w:rsidR="000E558C" w:rsidRPr="00542EB9" w:rsidRDefault="000E558C" w:rsidP="000E558C">
      <w:pPr>
        <w:pStyle w:val="ListParagraph"/>
        <w:widowControl w:val="0"/>
        <w:numPr>
          <w:ilvl w:val="0"/>
          <w:numId w:val="105"/>
        </w:numPr>
        <w:tabs>
          <w:tab w:val="left" w:pos="936"/>
          <w:tab w:val="left" w:pos="990"/>
        </w:tabs>
        <w:autoSpaceDE w:val="0"/>
        <w:autoSpaceDN w:val="0"/>
        <w:spacing w:after="0"/>
        <w:ind w:right="219"/>
        <w:contextualSpacing w:val="0"/>
        <w:rPr>
          <w:noProof/>
        </w:rPr>
      </w:pPr>
      <w:r w:rsidRPr="00542EB9">
        <w:rPr>
          <w:noProof/>
        </w:rPr>
        <w:t>Communication</w:t>
      </w:r>
      <w:r w:rsidRPr="00542EB9">
        <w:rPr>
          <w:noProof/>
          <w:spacing w:val="40"/>
        </w:rPr>
        <w:t xml:space="preserve"> </w:t>
      </w:r>
      <w:r w:rsidRPr="00542EB9">
        <w:rPr>
          <w:noProof/>
        </w:rPr>
        <w:t>from the Commission on Customs reform: Taking the Customs</w:t>
      </w:r>
      <w:r w:rsidRPr="00542EB9">
        <w:rPr>
          <w:noProof/>
          <w:spacing w:val="40"/>
        </w:rPr>
        <w:t xml:space="preserve"> </w:t>
      </w:r>
      <w:r w:rsidRPr="00542EB9">
        <w:rPr>
          <w:noProof/>
        </w:rPr>
        <w:t>Union to the next level, 17 May 2023, COM (2023) 257 final</w:t>
      </w:r>
    </w:p>
    <w:p w14:paraId="4DA03272"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7"/>
        <w:contextualSpacing w:val="0"/>
        <w:rPr>
          <w:noProof/>
        </w:rPr>
      </w:pPr>
      <w:r w:rsidRPr="00542EB9">
        <w:rPr>
          <w:noProof/>
        </w:rPr>
        <w:t>Communication from the Commission to the Council and the European Parliament, First Biennial Report on Progress in Developing the EU Customs Union and its Governance, 5 July 2018 COM/2018/524 final</w:t>
      </w:r>
    </w:p>
    <w:p w14:paraId="15BC10CA" w14:textId="77777777" w:rsidR="000E558C" w:rsidRPr="00542EB9" w:rsidRDefault="000E558C" w:rsidP="000E558C">
      <w:pPr>
        <w:pStyle w:val="ListParagraph"/>
        <w:widowControl w:val="0"/>
        <w:numPr>
          <w:ilvl w:val="0"/>
          <w:numId w:val="105"/>
        </w:numPr>
        <w:tabs>
          <w:tab w:val="left" w:pos="936"/>
        </w:tabs>
        <w:autoSpaceDE w:val="0"/>
        <w:autoSpaceDN w:val="0"/>
        <w:spacing w:after="0"/>
        <w:ind w:right="216"/>
        <w:contextualSpacing w:val="0"/>
        <w:rPr>
          <w:noProof/>
        </w:rPr>
      </w:pPr>
      <w:r w:rsidRPr="00542EB9">
        <w:rPr>
          <w:noProof/>
        </w:rPr>
        <w:t>Commission Staff</w:t>
      </w:r>
      <w:r w:rsidRPr="00542EB9">
        <w:rPr>
          <w:noProof/>
          <w:spacing w:val="-1"/>
        </w:rPr>
        <w:t xml:space="preserve"> </w:t>
      </w:r>
      <w:r w:rsidRPr="00542EB9">
        <w:rPr>
          <w:noProof/>
        </w:rPr>
        <w:t>Working Document - Impact Assessment Report accompanying the document Proposal for a Regulation of the European Parliament establishing the</w:t>
      </w:r>
      <w:r w:rsidRPr="00542EB9">
        <w:rPr>
          <w:noProof/>
          <w:spacing w:val="40"/>
        </w:rPr>
        <w:t xml:space="preserve"> </w:t>
      </w:r>
      <w:r w:rsidRPr="00542EB9">
        <w:rPr>
          <w:noProof/>
        </w:rPr>
        <w:t>Union Customs Code and the European Union Customs Authority, and repealing Regulation (EU) No 952/2013, 17 May 2023, SWD (2023) 140 Final</w:t>
      </w:r>
    </w:p>
    <w:p w14:paraId="6ADCD2E6" w14:textId="77777777" w:rsidR="000E558C" w:rsidRPr="00542EB9" w:rsidRDefault="000E558C" w:rsidP="000E558C">
      <w:pPr>
        <w:pStyle w:val="ListParagraph"/>
        <w:widowControl w:val="0"/>
        <w:numPr>
          <w:ilvl w:val="0"/>
          <w:numId w:val="105"/>
        </w:numPr>
        <w:tabs>
          <w:tab w:val="left" w:pos="936"/>
        </w:tabs>
        <w:autoSpaceDE w:val="0"/>
        <w:autoSpaceDN w:val="0"/>
        <w:spacing w:after="0" w:line="259" w:lineRule="auto"/>
        <w:ind w:right="216"/>
        <w:contextualSpacing w:val="0"/>
        <w:rPr>
          <w:noProof/>
        </w:rPr>
      </w:pPr>
      <w:r w:rsidRPr="00542EB9">
        <w:rPr>
          <w:noProof/>
        </w:rPr>
        <w:t>Commission Staff Working Document accompanying the Report from the</w:t>
      </w:r>
      <w:r w:rsidRPr="00542EB9">
        <w:rPr>
          <w:noProof/>
          <w:spacing w:val="40"/>
        </w:rPr>
        <w:t xml:space="preserve"> </w:t>
      </w:r>
      <w:r w:rsidRPr="00542EB9">
        <w:rPr>
          <w:noProof/>
        </w:rPr>
        <w:t>Commission to the European Parliament and the Council pursuant to Article 278(a) of the Union Customs Code, on progress in developing the electronic systems provided for under the Code, 10 February 2023, SWD(2023) 29 final</w:t>
      </w:r>
    </w:p>
    <w:p w14:paraId="3493A044" w14:textId="77777777" w:rsidR="000E558C" w:rsidRPr="00542EB9" w:rsidRDefault="00112D5D" w:rsidP="000E558C">
      <w:pPr>
        <w:pStyle w:val="ListParagraph"/>
        <w:widowControl w:val="0"/>
        <w:numPr>
          <w:ilvl w:val="0"/>
          <w:numId w:val="105"/>
        </w:numPr>
        <w:tabs>
          <w:tab w:val="left" w:pos="936"/>
        </w:tabs>
        <w:autoSpaceDE w:val="0"/>
        <w:autoSpaceDN w:val="0"/>
        <w:spacing w:after="0" w:line="292" w:lineRule="exact"/>
        <w:contextualSpacing w:val="0"/>
        <w:jc w:val="left"/>
        <w:rPr>
          <w:noProof/>
        </w:rPr>
      </w:pPr>
      <w:hyperlink r:id="rId34">
        <w:r w:rsidR="000E558C" w:rsidRPr="00542EB9">
          <w:rPr>
            <w:noProof/>
          </w:rPr>
          <w:t>VAT</w:t>
        </w:r>
        <w:r w:rsidR="000E558C" w:rsidRPr="00542EB9">
          <w:rPr>
            <w:noProof/>
            <w:spacing w:val="-1"/>
          </w:rPr>
          <w:t xml:space="preserve"> </w:t>
        </w:r>
        <w:r w:rsidR="000E558C" w:rsidRPr="00542EB9">
          <w:rPr>
            <w:noProof/>
          </w:rPr>
          <w:t>GAP in the</w:t>
        </w:r>
        <w:r w:rsidR="000E558C" w:rsidRPr="00542EB9">
          <w:rPr>
            <w:noProof/>
            <w:spacing w:val="-1"/>
          </w:rPr>
          <w:t xml:space="preserve"> </w:t>
        </w:r>
        <w:r w:rsidR="000E558C" w:rsidRPr="00542EB9">
          <w:rPr>
            <w:noProof/>
          </w:rPr>
          <w:t xml:space="preserve">EU 2024 </w:t>
        </w:r>
        <w:r w:rsidR="000E558C" w:rsidRPr="00542EB9">
          <w:rPr>
            <w:noProof/>
            <w:spacing w:val="-2"/>
          </w:rPr>
          <w:t>report</w:t>
        </w:r>
      </w:hyperlink>
    </w:p>
    <w:p w14:paraId="1E781AF6" w14:textId="77777777" w:rsidR="000E558C" w:rsidRPr="00542EB9" w:rsidRDefault="00112D5D" w:rsidP="005F23BF">
      <w:pPr>
        <w:pStyle w:val="ListParagraph"/>
        <w:widowControl w:val="0"/>
        <w:numPr>
          <w:ilvl w:val="0"/>
          <w:numId w:val="105"/>
        </w:numPr>
        <w:tabs>
          <w:tab w:val="left" w:pos="936"/>
        </w:tabs>
        <w:autoSpaceDE w:val="0"/>
        <w:autoSpaceDN w:val="0"/>
        <w:spacing w:after="0"/>
        <w:contextualSpacing w:val="0"/>
        <w:jc w:val="left"/>
        <w:rPr>
          <w:noProof/>
        </w:rPr>
      </w:pPr>
      <w:hyperlink r:id="rId35">
        <w:r w:rsidR="000E558C" w:rsidRPr="00542EB9">
          <w:rPr>
            <w:noProof/>
          </w:rPr>
          <w:t>Annual</w:t>
        </w:r>
        <w:r w:rsidR="000E558C" w:rsidRPr="00542EB9">
          <w:rPr>
            <w:noProof/>
            <w:spacing w:val="-3"/>
          </w:rPr>
          <w:t xml:space="preserve"> </w:t>
        </w:r>
        <w:r w:rsidR="000E558C" w:rsidRPr="00542EB9">
          <w:rPr>
            <w:noProof/>
          </w:rPr>
          <w:t>Report</w:t>
        </w:r>
        <w:r w:rsidR="000E558C" w:rsidRPr="00542EB9">
          <w:rPr>
            <w:noProof/>
            <w:spacing w:val="-1"/>
          </w:rPr>
          <w:t xml:space="preserve"> </w:t>
        </w:r>
        <w:r w:rsidR="000E558C" w:rsidRPr="00542EB9">
          <w:rPr>
            <w:noProof/>
          </w:rPr>
          <w:t>on</w:t>
        </w:r>
        <w:r w:rsidR="000E558C" w:rsidRPr="00542EB9">
          <w:rPr>
            <w:noProof/>
            <w:spacing w:val="-1"/>
          </w:rPr>
          <w:t xml:space="preserve"> </w:t>
        </w:r>
        <w:r w:rsidR="000E558C" w:rsidRPr="00542EB9">
          <w:rPr>
            <w:noProof/>
          </w:rPr>
          <w:t>Taxation -</w:t>
        </w:r>
        <w:r w:rsidR="000E558C" w:rsidRPr="00542EB9">
          <w:rPr>
            <w:noProof/>
            <w:spacing w:val="-2"/>
          </w:rPr>
          <w:t xml:space="preserve"> </w:t>
        </w:r>
        <w:r w:rsidR="000E558C" w:rsidRPr="00542EB9">
          <w:rPr>
            <w:noProof/>
          </w:rPr>
          <w:t>European</w:t>
        </w:r>
        <w:r w:rsidR="000E558C" w:rsidRPr="00542EB9">
          <w:rPr>
            <w:noProof/>
            <w:spacing w:val="1"/>
          </w:rPr>
          <w:t xml:space="preserve"> </w:t>
        </w:r>
        <w:r w:rsidR="000E558C" w:rsidRPr="00542EB9">
          <w:rPr>
            <w:noProof/>
          </w:rPr>
          <w:t>Commission</w:t>
        </w:r>
      </w:hyperlink>
      <w:r w:rsidR="000E558C" w:rsidRPr="00542EB9">
        <w:rPr>
          <w:noProof/>
        </w:rPr>
        <w:t>,</w:t>
      </w:r>
      <w:r w:rsidR="000E558C" w:rsidRPr="00542EB9">
        <w:rPr>
          <w:noProof/>
          <w:spacing w:val="-1"/>
        </w:rPr>
        <w:t xml:space="preserve"> </w:t>
      </w:r>
      <w:r w:rsidR="000E558C" w:rsidRPr="00542EB9">
        <w:rPr>
          <w:noProof/>
          <w:spacing w:val="-4"/>
        </w:rPr>
        <w:t>2024</w:t>
      </w:r>
    </w:p>
    <w:p w14:paraId="00AF0312" w14:textId="77777777" w:rsidR="000E558C" w:rsidRPr="00542EB9" w:rsidRDefault="00112D5D" w:rsidP="005F23BF">
      <w:pPr>
        <w:pStyle w:val="ListParagraph"/>
        <w:widowControl w:val="0"/>
        <w:numPr>
          <w:ilvl w:val="0"/>
          <w:numId w:val="105"/>
        </w:numPr>
        <w:tabs>
          <w:tab w:val="left" w:pos="936"/>
        </w:tabs>
        <w:autoSpaceDE w:val="0"/>
        <w:autoSpaceDN w:val="0"/>
        <w:spacing w:after="0"/>
        <w:contextualSpacing w:val="0"/>
        <w:jc w:val="left"/>
        <w:rPr>
          <w:noProof/>
        </w:rPr>
      </w:pPr>
      <w:hyperlink r:id="rId36">
        <w:r w:rsidR="000E558C" w:rsidRPr="00542EB9">
          <w:rPr>
            <w:noProof/>
          </w:rPr>
          <w:t>2023</w:t>
        </w:r>
        <w:r w:rsidR="000E558C" w:rsidRPr="00542EB9">
          <w:rPr>
            <w:noProof/>
            <w:spacing w:val="-1"/>
          </w:rPr>
          <w:t xml:space="preserve"> </w:t>
        </w:r>
        <w:r w:rsidR="000E558C" w:rsidRPr="00542EB9">
          <w:rPr>
            <w:noProof/>
          </w:rPr>
          <w:t>e</w:t>
        </w:r>
        <w:r w:rsidR="000E558C" w:rsidRPr="00542EB9">
          <w:rPr>
            <w:noProof/>
            <w:spacing w:val="-2"/>
          </w:rPr>
          <w:t xml:space="preserve"> </w:t>
        </w:r>
        <w:r w:rsidR="000E558C" w:rsidRPr="00542EB9">
          <w:rPr>
            <w:noProof/>
          </w:rPr>
          <w:t>Customs</w:t>
        </w:r>
        <w:r w:rsidR="000E558C" w:rsidRPr="00542EB9">
          <w:rPr>
            <w:noProof/>
            <w:spacing w:val="-1"/>
          </w:rPr>
          <w:t xml:space="preserve"> </w:t>
        </w:r>
        <w:r w:rsidR="000E558C" w:rsidRPr="00542EB9">
          <w:rPr>
            <w:noProof/>
          </w:rPr>
          <w:t>annual progress</w:t>
        </w:r>
        <w:r w:rsidR="000E558C" w:rsidRPr="00542EB9">
          <w:rPr>
            <w:noProof/>
            <w:spacing w:val="-1"/>
          </w:rPr>
          <w:t xml:space="preserve"> </w:t>
        </w:r>
        <w:r w:rsidR="000E558C" w:rsidRPr="00542EB9">
          <w:rPr>
            <w:noProof/>
            <w:spacing w:val="-2"/>
          </w:rPr>
          <w:t>report</w:t>
        </w:r>
      </w:hyperlink>
    </w:p>
    <w:p w14:paraId="551589C0" w14:textId="77777777" w:rsidR="000E558C" w:rsidRPr="00542EB9" w:rsidRDefault="000E558C" w:rsidP="005F23BF">
      <w:pPr>
        <w:pStyle w:val="ListParagraph"/>
        <w:widowControl w:val="0"/>
        <w:numPr>
          <w:ilvl w:val="0"/>
          <w:numId w:val="105"/>
        </w:numPr>
        <w:tabs>
          <w:tab w:val="left" w:pos="936"/>
        </w:tabs>
        <w:autoSpaceDE w:val="0"/>
        <w:autoSpaceDN w:val="0"/>
        <w:spacing w:after="0" w:line="254" w:lineRule="auto"/>
        <w:ind w:right="219"/>
        <w:contextualSpacing w:val="0"/>
        <w:jc w:val="left"/>
        <w:rPr>
          <w:noProof/>
        </w:rPr>
      </w:pPr>
      <w:r w:rsidRPr="00542EB9">
        <w:rPr>
          <w:noProof/>
        </w:rPr>
        <w:t>Proposal for a COUNCIL DIRECTIVE amending Directive 2006/112/EC as regards VAT rules for the digital age (COM/2022/701 final)</w:t>
      </w:r>
    </w:p>
    <w:p w14:paraId="36527E24" w14:textId="77777777" w:rsidR="000E558C" w:rsidRPr="00542EB9" w:rsidRDefault="00112D5D" w:rsidP="005F23BF">
      <w:pPr>
        <w:pStyle w:val="ListParagraph"/>
        <w:widowControl w:val="0"/>
        <w:numPr>
          <w:ilvl w:val="0"/>
          <w:numId w:val="105"/>
        </w:numPr>
        <w:tabs>
          <w:tab w:val="left" w:pos="936"/>
        </w:tabs>
        <w:autoSpaceDE w:val="0"/>
        <w:autoSpaceDN w:val="0"/>
        <w:spacing w:after="0"/>
        <w:contextualSpacing w:val="0"/>
        <w:jc w:val="left"/>
        <w:rPr>
          <w:noProof/>
        </w:rPr>
      </w:pPr>
      <w:hyperlink r:id="rId37">
        <w:r w:rsidR="000E558C" w:rsidRPr="00542EB9">
          <w:rPr>
            <w:noProof/>
          </w:rPr>
          <w:t>Impact</w:t>
        </w:r>
        <w:r w:rsidR="000E558C" w:rsidRPr="00542EB9">
          <w:rPr>
            <w:noProof/>
            <w:spacing w:val="-4"/>
          </w:rPr>
          <w:t xml:space="preserve"> </w:t>
        </w:r>
        <w:r w:rsidR="000E558C" w:rsidRPr="00542EB9">
          <w:rPr>
            <w:noProof/>
          </w:rPr>
          <w:t>Assessment</w:t>
        </w:r>
        <w:r w:rsidR="000E558C" w:rsidRPr="00542EB9">
          <w:rPr>
            <w:noProof/>
            <w:spacing w:val="-1"/>
          </w:rPr>
          <w:t xml:space="preserve"> </w:t>
        </w:r>
        <w:r w:rsidR="000E558C" w:rsidRPr="00542EB9">
          <w:rPr>
            <w:noProof/>
          </w:rPr>
          <w:t>VAT in</w:t>
        </w:r>
        <w:r w:rsidR="000E558C" w:rsidRPr="00542EB9">
          <w:rPr>
            <w:noProof/>
            <w:spacing w:val="-1"/>
          </w:rPr>
          <w:t xml:space="preserve"> </w:t>
        </w:r>
        <w:r w:rsidR="000E558C" w:rsidRPr="00542EB9">
          <w:rPr>
            <w:noProof/>
          </w:rPr>
          <w:t>the</w:t>
        </w:r>
        <w:r w:rsidR="000E558C" w:rsidRPr="00542EB9">
          <w:rPr>
            <w:noProof/>
            <w:spacing w:val="-2"/>
          </w:rPr>
          <w:t xml:space="preserve"> </w:t>
        </w:r>
        <w:r w:rsidR="000E558C" w:rsidRPr="00542EB9">
          <w:rPr>
            <w:noProof/>
          </w:rPr>
          <w:t>Digital</w:t>
        </w:r>
      </w:hyperlink>
      <w:r w:rsidR="000E558C" w:rsidRPr="00542EB9">
        <w:rPr>
          <w:noProof/>
        </w:rPr>
        <w:t xml:space="preserve"> (SWD/2022/393</w:t>
      </w:r>
      <w:r w:rsidR="000E558C" w:rsidRPr="00542EB9">
        <w:rPr>
          <w:noProof/>
          <w:spacing w:val="-1"/>
        </w:rPr>
        <w:t xml:space="preserve"> </w:t>
      </w:r>
      <w:r w:rsidR="000E558C" w:rsidRPr="00542EB9">
        <w:rPr>
          <w:noProof/>
          <w:spacing w:val="-2"/>
        </w:rPr>
        <w:t>final)</w:t>
      </w:r>
    </w:p>
    <w:p w14:paraId="2EAFDFCC" w14:textId="2309D32B" w:rsidR="006B087E" w:rsidRPr="00542EB9" w:rsidRDefault="00112D5D" w:rsidP="005F23BF">
      <w:pPr>
        <w:pStyle w:val="ListParagraph"/>
        <w:widowControl w:val="0"/>
        <w:numPr>
          <w:ilvl w:val="0"/>
          <w:numId w:val="105"/>
        </w:numPr>
        <w:tabs>
          <w:tab w:val="left" w:pos="936"/>
        </w:tabs>
        <w:autoSpaceDE w:val="0"/>
        <w:autoSpaceDN w:val="0"/>
        <w:spacing w:after="0"/>
        <w:contextualSpacing w:val="0"/>
        <w:jc w:val="left"/>
        <w:rPr>
          <w:rFonts w:eastAsia="Times New Roman"/>
          <w:noProof/>
        </w:rPr>
      </w:pPr>
      <w:hyperlink r:id="rId38">
        <w:r w:rsidR="000E558C" w:rsidRPr="00542EB9">
          <w:rPr>
            <w:noProof/>
          </w:rPr>
          <w:t>Directive on Administrative Cooperation (DAC) (DAC1-DAC8)</w:t>
        </w:r>
      </w:hyperlink>
      <w:r w:rsidR="003736D1" w:rsidRPr="00542EB9">
        <w:rPr>
          <w:rFonts w:eastAsia="Times New Roman"/>
          <w:noProof/>
        </w:rPr>
        <w:t>.</w:t>
      </w:r>
    </w:p>
    <w:p w14:paraId="2C295793" w14:textId="082F9D30" w:rsidR="006B087E" w:rsidRPr="00542EB9" w:rsidRDefault="2CEB5DE4" w:rsidP="00745816">
      <w:pPr>
        <w:pStyle w:val="AnnexTitle"/>
        <w:rPr>
          <w:noProof/>
        </w:rPr>
      </w:pPr>
      <w:bookmarkStart w:id="77" w:name="_Toc191909160"/>
      <w:bookmarkStart w:id="78" w:name="_Toc198549065"/>
      <w:r w:rsidRPr="00542EB9">
        <w:rPr>
          <w:noProof/>
        </w:rPr>
        <w:t xml:space="preserve">Annex 2: Stakeholder consultation </w:t>
      </w:r>
      <w:bookmarkEnd w:id="77"/>
      <w:bookmarkEnd w:id="78"/>
      <w:r w:rsidR="00745816" w:rsidRPr="00542EB9">
        <w:rPr>
          <w:noProof/>
        </w:rPr>
        <w:t>(Synopsis report)</w:t>
      </w:r>
    </w:p>
    <w:p w14:paraId="20591FAF" w14:textId="77777777" w:rsidR="00652C98" w:rsidRPr="00542EB9" w:rsidRDefault="00652C98" w:rsidP="00652C98">
      <w:pPr>
        <w:pStyle w:val="Title1"/>
        <w:outlineLvl w:val="0"/>
        <w:rPr>
          <w:rFonts w:ascii="Times New Roman" w:hAnsi="Times New Roman"/>
          <w:b/>
          <w:bCs/>
          <w:noProof/>
          <w:color w:val="auto"/>
          <w:sz w:val="24"/>
          <w:szCs w:val="24"/>
        </w:rPr>
      </w:pPr>
      <w:bookmarkStart w:id="79" w:name="_Toc196230615"/>
      <w:bookmarkStart w:id="80" w:name="_Toc198549066"/>
      <w:r w:rsidRPr="00542EB9">
        <w:rPr>
          <w:rFonts w:ascii="Times New Roman" w:hAnsi="Times New Roman"/>
          <w:b/>
          <w:bCs/>
          <w:noProof/>
          <w:color w:val="auto"/>
          <w:sz w:val="24"/>
          <w:szCs w:val="24"/>
        </w:rPr>
        <w:t>Introduction</w:t>
      </w:r>
      <w:bookmarkEnd w:id="79"/>
      <w:bookmarkEnd w:id="80"/>
    </w:p>
    <w:p w14:paraId="35A344AD" w14:textId="77777777" w:rsidR="001472D8" w:rsidRPr="00542EB9" w:rsidRDefault="001472D8" w:rsidP="001472D8">
      <w:pPr>
        <w:pStyle w:val="BodyText1"/>
        <w:rPr>
          <w:rFonts w:ascii="Times New Roman" w:hAnsi="Times New Roman"/>
          <w:noProof/>
          <w:sz w:val="24"/>
          <w:szCs w:val="24"/>
        </w:rPr>
      </w:pPr>
      <w:r w:rsidRPr="00542EB9">
        <w:rPr>
          <w:rFonts w:ascii="Times New Roman" w:hAnsi="Times New Roman"/>
          <w:noProof/>
          <w:sz w:val="24"/>
          <w:szCs w:val="24"/>
        </w:rPr>
        <w:t>In the framework of preparing for the next Multiannual Financial Framework (MFF) starting in 2028, the European Commission conducted a public consultation to gather views on EU funding for the single market, and cooperation between national authorities. The consultation targeted a wide range of stakeholders, including citizens, businesses, SMEs, public authorities, recipients of EU funding, civil society organisations, academia, and international stakeholders.</w:t>
      </w:r>
    </w:p>
    <w:p w14:paraId="538E6E66" w14:textId="77777777" w:rsidR="001472D8" w:rsidRPr="00542EB9" w:rsidRDefault="001472D8" w:rsidP="001472D8">
      <w:pPr>
        <w:pStyle w:val="BodyText1"/>
        <w:rPr>
          <w:rFonts w:ascii="Times New Roman" w:hAnsi="Times New Roman"/>
          <w:noProof/>
          <w:sz w:val="24"/>
          <w:szCs w:val="24"/>
        </w:rPr>
      </w:pPr>
      <w:r w:rsidRPr="00542EB9">
        <w:rPr>
          <w:rFonts w:ascii="Times New Roman" w:hAnsi="Times New Roman"/>
          <w:noProof/>
          <w:sz w:val="24"/>
          <w:szCs w:val="24"/>
        </w:rPr>
        <w:t>This synopsis report summarises the results of the consultation and informed the impact assessment process for the next MFF.</w:t>
      </w:r>
    </w:p>
    <w:p w14:paraId="1A2E18D2" w14:textId="3CA867C0" w:rsidR="001472D8" w:rsidRPr="00542EB9" w:rsidRDefault="001472D8" w:rsidP="001472D8">
      <w:pPr>
        <w:pStyle w:val="BodyText1"/>
        <w:rPr>
          <w:rFonts w:ascii="Times New Roman" w:hAnsi="Times New Roman"/>
          <w:noProof/>
          <w:sz w:val="24"/>
          <w:szCs w:val="24"/>
        </w:rPr>
      </w:pPr>
      <w:r w:rsidRPr="00542EB9">
        <w:rPr>
          <w:rFonts w:ascii="Times New Roman" w:hAnsi="Times New Roman"/>
          <w:noProof/>
          <w:sz w:val="24"/>
          <w:szCs w:val="24"/>
        </w:rPr>
        <w:t xml:space="preserve">The public consultation was conducted over a 12-week period, from 12 February 2025 to 7 May 2025. It included an online questionnaire and the option to submit position papers. The questionnaire covered both general aspects of the EU single market and more technical issues related to specific challenges and measures. It consisted mainly of closed-ended questions, with several open-ended questions allowing respondents to elaborate on their views. In total, </w:t>
      </w:r>
      <w:r w:rsidR="00AB3D1E" w:rsidRPr="00542EB9">
        <w:rPr>
          <w:rFonts w:ascii="Times New Roman" w:hAnsi="Times New Roman"/>
          <w:noProof/>
          <w:sz w:val="24"/>
          <w:szCs w:val="24"/>
        </w:rPr>
        <w:t xml:space="preserve">747 </w:t>
      </w:r>
      <w:r w:rsidRPr="00542EB9">
        <w:rPr>
          <w:rFonts w:ascii="Times New Roman" w:hAnsi="Times New Roman"/>
          <w:noProof/>
          <w:sz w:val="24"/>
          <w:szCs w:val="24"/>
        </w:rPr>
        <w:t xml:space="preserve">survey responses and </w:t>
      </w:r>
      <w:r w:rsidR="00AB3D1E" w:rsidRPr="00542EB9">
        <w:rPr>
          <w:rFonts w:ascii="Times New Roman" w:hAnsi="Times New Roman"/>
          <w:noProof/>
          <w:sz w:val="24"/>
          <w:szCs w:val="24"/>
        </w:rPr>
        <w:t xml:space="preserve">161 </w:t>
      </w:r>
      <w:r w:rsidRPr="00542EB9">
        <w:rPr>
          <w:rFonts w:ascii="Times New Roman" w:hAnsi="Times New Roman"/>
          <w:noProof/>
          <w:sz w:val="24"/>
          <w:szCs w:val="24"/>
        </w:rPr>
        <w:t xml:space="preserve">position papers were received. </w:t>
      </w:r>
    </w:p>
    <w:p w14:paraId="74766807" w14:textId="0286CB37" w:rsidR="00652C98" w:rsidRPr="00542EB9" w:rsidRDefault="001472D8" w:rsidP="001472D8">
      <w:pPr>
        <w:pStyle w:val="BodyText1"/>
        <w:rPr>
          <w:rFonts w:ascii="Times New Roman" w:hAnsi="Times New Roman"/>
          <w:noProof/>
          <w:sz w:val="24"/>
          <w:szCs w:val="24"/>
        </w:rPr>
      </w:pPr>
      <w:r w:rsidRPr="00542EB9">
        <w:rPr>
          <w:rFonts w:ascii="Times New Roman" w:hAnsi="Times New Roman"/>
          <w:noProof/>
          <w:sz w:val="24"/>
          <w:szCs w:val="24"/>
        </w:rPr>
        <w:t>Contributions received in the context of the public consultation published on the ‘Have Your Say’ portal do not represent the official position of the Commission or its services and thus do not bind the Commission, nor do they constitute a representative sample of the EU population.</w:t>
      </w:r>
    </w:p>
    <w:p w14:paraId="37FAABE2" w14:textId="619C6A83" w:rsidR="4980BDEF" w:rsidRPr="00542EB9" w:rsidRDefault="4980BDEF" w:rsidP="4980BDEF">
      <w:pPr>
        <w:pStyle w:val="BodyText1"/>
        <w:rPr>
          <w:rFonts w:ascii="Times New Roman" w:hAnsi="Times New Roman"/>
          <w:noProof/>
          <w:sz w:val="24"/>
          <w:szCs w:val="24"/>
        </w:rPr>
      </w:pPr>
    </w:p>
    <w:p w14:paraId="7D81D7BD" w14:textId="4E9F860F" w:rsidR="00652C98" w:rsidRPr="00542EB9" w:rsidRDefault="00B90FBD" w:rsidP="00652C98">
      <w:pPr>
        <w:pStyle w:val="Title1"/>
        <w:outlineLvl w:val="0"/>
        <w:rPr>
          <w:rFonts w:ascii="Times New Roman" w:hAnsi="Times New Roman"/>
          <w:b/>
          <w:bCs/>
          <w:noProof/>
          <w:color w:val="auto"/>
          <w:sz w:val="24"/>
          <w:szCs w:val="24"/>
        </w:rPr>
      </w:pPr>
      <w:bookmarkStart w:id="81" w:name="_Toc196230616"/>
      <w:bookmarkStart w:id="82" w:name="_Toc198549067"/>
      <w:r w:rsidRPr="00542EB9">
        <w:rPr>
          <w:rFonts w:ascii="Times New Roman" w:hAnsi="Times New Roman"/>
          <w:b/>
          <w:bCs/>
          <w:noProof/>
          <w:color w:val="auto"/>
          <w:sz w:val="24"/>
          <w:szCs w:val="24"/>
        </w:rPr>
        <w:t>M</w:t>
      </w:r>
      <w:r w:rsidR="00652C98" w:rsidRPr="00542EB9">
        <w:rPr>
          <w:rFonts w:ascii="Times New Roman" w:hAnsi="Times New Roman"/>
          <w:b/>
          <w:bCs/>
          <w:noProof/>
          <w:color w:val="auto"/>
          <w:sz w:val="24"/>
          <w:szCs w:val="24"/>
        </w:rPr>
        <w:t>ethodology</w:t>
      </w:r>
      <w:bookmarkEnd w:id="81"/>
      <w:bookmarkEnd w:id="82"/>
    </w:p>
    <w:p w14:paraId="63383CE3" w14:textId="2CD8969C"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This section outlines the approach used to analyse the public consultation responses and position papers received. It also provides an overview of identified campaign submissions.</w:t>
      </w:r>
    </w:p>
    <w:p w14:paraId="7F84BC22" w14:textId="77777777" w:rsidR="005A0888" w:rsidRPr="00542EB9" w:rsidRDefault="005A0888" w:rsidP="005A0888">
      <w:pPr>
        <w:pStyle w:val="BodyText1"/>
        <w:rPr>
          <w:rFonts w:ascii="Times New Roman" w:hAnsi="Times New Roman"/>
          <w:i/>
          <w:noProof/>
          <w:sz w:val="24"/>
          <w:szCs w:val="24"/>
        </w:rPr>
      </w:pPr>
      <w:r w:rsidRPr="00542EB9">
        <w:rPr>
          <w:rFonts w:ascii="Times New Roman" w:hAnsi="Times New Roman"/>
          <w:i/>
          <w:noProof/>
          <w:sz w:val="24"/>
          <w:szCs w:val="24"/>
        </w:rPr>
        <w:t>Quantitative analysis of closed questions</w:t>
      </w:r>
    </w:p>
    <w:p w14:paraId="2232653B" w14:textId="6999E724"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 xml:space="preserve">The statistical analysis of closed consultation questions combined </w:t>
      </w:r>
      <w:r w:rsidRPr="00542EB9">
        <w:rPr>
          <w:rFonts w:ascii="Times New Roman" w:hAnsi="Times New Roman"/>
          <w:b/>
          <w:noProof/>
          <w:sz w:val="24"/>
          <w:szCs w:val="24"/>
        </w:rPr>
        <w:t>high-level aggregation with disaggregated insights by stakeholder group</w:t>
      </w:r>
      <w:r w:rsidRPr="00542EB9">
        <w:rPr>
          <w:rFonts w:ascii="Times New Roman" w:hAnsi="Times New Roman"/>
          <w:noProof/>
          <w:sz w:val="24"/>
          <w:szCs w:val="24"/>
        </w:rPr>
        <w:t>. Cross-tabulations were used to explore variations in responses by stakeholder type. This enabled the identification of emerging trends within particular groups and helped contextualise broader patterns across the responses. While all stakeholder group breakdowns were systematically reviewed and collected, this report focuses on the most relevant divergences and trends for each question, in order to ensure a focused and concise presentation of findings.</w:t>
      </w:r>
    </w:p>
    <w:p w14:paraId="02624C19" w14:textId="77777777" w:rsidR="005A0888" w:rsidRPr="00542EB9" w:rsidRDefault="005A0888" w:rsidP="005A0888">
      <w:pPr>
        <w:pStyle w:val="BodyText1"/>
        <w:rPr>
          <w:rFonts w:ascii="Times New Roman" w:hAnsi="Times New Roman"/>
          <w:i/>
          <w:noProof/>
          <w:sz w:val="24"/>
          <w:szCs w:val="24"/>
        </w:rPr>
      </w:pPr>
      <w:r w:rsidRPr="00542EB9">
        <w:rPr>
          <w:rFonts w:ascii="Times New Roman" w:hAnsi="Times New Roman"/>
          <w:i/>
          <w:noProof/>
          <w:sz w:val="24"/>
          <w:szCs w:val="24"/>
        </w:rPr>
        <w:t>Qualitative analysis of open-ended responses and position papers</w:t>
      </w:r>
    </w:p>
    <w:p w14:paraId="100E0F63" w14:textId="77777777"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 xml:space="preserve">The analysis of open-ended responses and position papers followed </w:t>
      </w:r>
      <w:r w:rsidRPr="00542EB9">
        <w:rPr>
          <w:rFonts w:ascii="Times New Roman" w:hAnsi="Times New Roman"/>
          <w:b/>
          <w:bCs/>
          <w:noProof/>
          <w:sz w:val="24"/>
          <w:szCs w:val="24"/>
        </w:rPr>
        <w:t>a hybrid approach, combining Large Language Model (LLM)-driven topic modelling with expert human validation</w:t>
      </w:r>
      <w:r w:rsidRPr="00542EB9">
        <w:rPr>
          <w:rFonts w:ascii="Times New Roman" w:hAnsi="Times New Roman"/>
          <w:noProof/>
          <w:sz w:val="24"/>
          <w:szCs w:val="24"/>
        </w:rPr>
        <w:t>. This ensured a structured, consistent, and robust synthesis of stakeholder input. To support multilingual responses, the Commission’s eTranslation tool was used to process non-English contributions.</w:t>
      </w:r>
    </w:p>
    <w:p w14:paraId="0670F434" w14:textId="77777777"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 xml:space="preserve">Responses were mapped according to a set of </w:t>
      </w:r>
      <w:r w:rsidRPr="00542EB9">
        <w:rPr>
          <w:rFonts w:ascii="Times New Roman" w:hAnsi="Times New Roman"/>
          <w:b/>
          <w:bCs/>
          <w:noProof/>
          <w:sz w:val="24"/>
          <w:szCs w:val="24"/>
        </w:rPr>
        <w:t>key issue areas</w:t>
      </w:r>
      <w:r w:rsidRPr="00542EB9">
        <w:rPr>
          <w:rFonts w:ascii="Times New Roman" w:hAnsi="Times New Roman"/>
          <w:noProof/>
          <w:sz w:val="24"/>
          <w:szCs w:val="24"/>
        </w:rPr>
        <w:t xml:space="preserve"> defined in the analytical framework developed during the inception phase. These categories were initially based on inception phase discussions with the Commission and a review of relevant documentation. The framework was operationalised, tested on a sample of responses, and iteratively adjusted to ensure accuracy and consistency.</w:t>
      </w:r>
    </w:p>
    <w:p w14:paraId="365531F4" w14:textId="77777777"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 xml:space="preserve">To enhance the reliability and nuance of the analysis, the study applied a </w:t>
      </w:r>
      <w:r w:rsidRPr="00542EB9">
        <w:rPr>
          <w:rFonts w:ascii="Times New Roman" w:hAnsi="Times New Roman"/>
          <w:b/>
          <w:bCs/>
          <w:noProof/>
          <w:sz w:val="24"/>
          <w:szCs w:val="24"/>
        </w:rPr>
        <w:t>layered validation process</w:t>
      </w:r>
      <w:r w:rsidRPr="00542EB9">
        <w:rPr>
          <w:rFonts w:ascii="Times New Roman" w:hAnsi="Times New Roman"/>
          <w:noProof/>
          <w:sz w:val="24"/>
          <w:szCs w:val="24"/>
        </w:rPr>
        <w:t>. Contributions were first mapped to issue areas using LLM-driven topic modelling. The initial classifications were tested against a human-coded sample, which showed a high level of alignment. A second model was then used to cross-check the outputs, with any discrepancies manually reviewed. Following categorisation, the study analysed responses to identify stakeholder perspectives, particularly regarding the challenges to EU single market integration and cooperation, their underlying causes, and proposed measures. The choice of methodology and approach was discussed and validated with the European Commission’s Joint Research Centre, which supported the robustness and credibility of the analysis.</w:t>
      </w:r>
    </w:p>
    <w:p w14:paraId="7D6A26EB" w14:textId="77777777" w:rsidR="005A0888" w:rsidRPr="00542EB9" w:rsidRDefault="005A0888" w:rsidP="005A0888">
      <w:pPr>
        <w:pStyle w:val="BodyText1"/>
        <w:rPr>
          <w:rFonts w:ascii="Times New Roman" w:hAnsi="Times New Roman"/>
          <w:noProof/>
          <w:sz w:val="24"/>
          <w:szCs w:val="24"/>
        </w:rPr>
      </w:pPr>
      <w:r w:rsidRPr="00542EB9">
        <w:rPr>
          <w:rFonts w:ascii="Times New Roman" w:hAnsi="Times New Roman"/>
          <w:noProof/>
          <w:sz w:val="24"/>
          <w:szCs w:val="24"/>
        </w:rPr>
        <w:t>As the consultation relied on self-selected respondents who were not required to comment on every issue area, the qualitative analysis is not statistically representative. Instead, it complements the quantitative results by illustrating stakeholder perspectives through specific examples and identifying recurring themes across position papers and open-text responses.</w:t>
      </w:r>
    </w:p>
    <w:p w14:paraId="6C63F7EF" w14:textId="77777777" w:rsidR="005A0888" w:rsidRPr="00542EB9" w:rsidRDefault="005A0888" w:rsidP="005A0888">
      <w:pPr>
        <w:pStyle w:val="BodyText1"/>
        <w:rPr>
          <w:rFonts w:ascii="Times New Roman" w:hAnsi="Times New Roman"/>
          <w:i/>
          <w:noProof/>
          <w:sz w:val="24"/>
          <w:szCs w:val="24"/>
        </w:rPr>
      </w:pPr>
      <w:r w:rsidRPr="00542EB9">
        <w:rPr>
          <w:rFonts w:ascii="Times New Roman" w:hAnsi="Times New Roman"/>
          <w:i/>
          <w:noProof/>
          <w:sz w:val="24"/>
          <w:szCs w:val="24"/>
        </w:rPr>
        <w:t>Information on organised campaigns</w:t>
      </w:r>
    </w:p>
    <w:p w14:paraId="092BE862" w14:textId="17CCC0F9" w:rsidR="00652C98" w:rsidRPr="00542EB9" w:rsidRDefault="005A0888" w:rsidP="00652C98">
      <w:pPr>
        <w:pStyle w:val="BodyText1"/>
        <w:rPr>
          <w:rFonts w:ascii="Times New Roman" w:hAnsi="Times New Roman"/>
          <w:noProof/>
          <w:sz w:val="24"/>
          <w:szCs w:val="24"/>
        </w:rPr>
      </w:pPr>
      <w:r w:rsidRPr="00542EB9">
        <w:rPr>
          <w:rFonts w:ascii="Times New Roman" w:hAnsi="Times New Roman"/>
          <w:noProof/>
          <w:sz w:val="24"/>
          <w:szCs w:val="24"/>
        </w:rPr>
        <w:t xml:space="preserve">Submissions have been reviewed to identify organised campaigns among position papers and open-ended responses. In total, </w:t>
      </w:r>
      <w:r w:rsidR="00891C27" w:rsidRPr="00542EB9">
        <w:rPr>
          <w:rFonts w:ascii="Times New Roman" w:hAnsi="Times New Roman"/>
          <w:noProof/>
          <w:sz w:val="24"/>
          <w:szCs w:val="24"/>
        </w:rPr>
        <w:t xml:space="preserve">seven </w:t>
      </w:r>
      <w:r w:rsidRPr="00542EB9">
        <w:rPr>
          <w:rFonts w:ascii="Times New Roman" w:hAnsi="Times New Roman"/>
          <w:noProof/>
          <w:sz w:val="24"/>
          <w:szCs w:val="24"/>
        </w:rPr>
        <w:t xml:space="preserve">campaigns with at least five contributions were identified. These account for </w:t>
      </w:r>
      <w:r w:rsidR="00891C27" w:rsidRPr="00542EB9">
        <w:rPr>
          <w:rFonts w:ascii="Times New Roman" w:hAnsi="Times New Roman"/>
          <w:noProof/>
          <w:sz w:val="24"/>
          <w:szCs w:val="24"/>
        </w:rPr>
        <w:t xml:space="preserve">117 </w:t>
      </w:r>
      <w:r w:rsidRPr="00542EB9">
        <w:rPr>
          <w:rFonts w:ascii="Times New Roman" w:hAnsi="Times New Roman"/>
          <w:noProof/>
          <w:sz w:val="24"/>
          <w:szCs w:val="24"/>
        </w:rPr>
        <w:t>responses overall, representing approximately 1</w:t>
      </w:r>
      <w:r w:rsidR="00645896" w:rsidRPr="00542EB9">
        <w:rPr>
          <w:rFonts w:ascii="Times New Roman" w:hAnsi="Times New Roman"/>
          <w:noProof/>
          <w:sz w:val="24"/>
          <w:szCs w:val="24"/>
        </w:rPr>
        <w:t>6</w:t>
      </w:r>
      <w:r w:rsidRPr="00542EB9">
        <w:rPr>
          <w:rFonts w:ascii="Times New Roman" w:hAnsi="Times New Roman"/>
          <w:noProof/>
          <w:sz w:val="24"/>
          <w:szCs w:val="24"/>
        </w:rPr>
        <w:t>% of all submissions. The table below provides an overview of the number of responses per campaign, the stakeholder groups involved, their positions and their countries of origin.</w:t>
      </w:r>
    </w:p>
    <w:p w14:paraId="747EA2FB" w14:textId="445F2055" w:rsidR="00652C98" w:rsidRPr="00542EB9" w:rsidRDefault="00652C98" w:rsidP="00652C98">
      <w:pPr>
        <w:pStyle w:val="tabletitle"/>
        <w:keepNext/>
        <w:keepLines/>
        <w:rPr>
          <w:rFonts w:ascii="Times New Roman" w:hAnsi="Times New Roman"/>
          <w:sz w:val="24"/>
          <w:szCs w:val="24"/>
          <w:lang w:val="en-GB"/>
        </w:rPr>
      </w:pPr>
      <w:r w:rsidRPr="00542EB9">
        <w:rPr>
          <w:rFonts w:ascii="Times New Roman" w:hAnsi="Times New Roman"/>
          <w:sz w:val="24"/>
          <w:szCs w:val="24"/>
          <w:lang w:val="en-GB"/>
        </w:rPr>
        <w:t xml:space="preserve">Table </w:t>
      </w:r>
      <w:r w:rsidRPr="00542EB9">
        <w:rPr>
          <w:rFonts w:ascii="Times New Roman" w:hAnsi="Times New Roman"/>
          <w:sz w:val="24"/>
          <w:szCs w:val="24"/>
          <w:lang w:val="en-GB"/>
        </w:rPr>
        <w:fldChar w:fldCharType="begin"/>
      </w:r>
      <w:r w:rsidRPr="00542EB9">
        <w:rPr>
          <w:rFonts w:ascii="Times New Roman" w:hAnsi="Times New Roman"/>
          <w:sz w:val="24"/>
          <w:szCs w:val="24"/>
          <w:lang w:val="en-GB"/>
        </w:rPr>
        <w:instrText xml:space="preserve"> SEQ Table \* ARABIC </w:instrText>
      </w:r>
      <w:r w:rsidRPr="00542EB9">
        <w:rPr>
          <w:rFonts w:ascii="Times New Roman" w:hAnsi="Times New Roman"/>
          <w:sz w:val="24"/>
          <w:szCs w:val="24"/>
          <w:lang w:val="en-GB"/>
        </w:rPr>
        <w:fldChar w:fldCharType="separate"/>
      </w:r>
      <w:r w:rsidR="00594BB2">
        <w:rPr>
          <w:rFonts w:ascii="Times New Roman" w:hAnsi="Times New Roman"/>
          <w:sz w:val="24"/>
          <w:szCs w:val="24"/>
          <w:lang w:val="en-GB"/>
        </w:rPr>
        <w:t>1</w:t>
      </w:r>
      <w:r w:rsidRPr="00542EB9">
        <w:rPr>
          <w:rFonts w:ascii="Times New Roman" w:hAnsi="Times New Roman"/>
          <w:sz w:val="24"/>
          <w:szCs w:val="24"/>
          <w:lang w:val="en-GB"/>
        </w:rPr>
        <w:fldChar w:fldCharType="end"/>
      </w:r>
      <w:r w:rsidRPr="00542EB9">
        <w:rPr>
          <w:rFonts w:ascii="Times New Roman" w:hAnsi="Times New Roman"/>
          <w:sz w:val="24"/>
          <w:szCs w:val="24"/>
          <w:lang w:val="en-GB"/>
        </w:rPr>
        <w:t>. Preliminary overview of identified campaigns</w:t>
      </w:r>
    </w:p>
    <w:tbl>
      <w:tblPr>
        <w:tblStyle w:val="TableGrid"/>
        <w:tblW w:w="8784" w:type="dxa"/>
        <w:tblLayout w:type="fixed"/>
        <w:tblLook w:val="04A0" w:firstRow="1" w:lastRow="0" w:firstColumn="1" w:lastColumn="0" w:noHBand="0" w:noVBand="1"/>
      </w:tblPr>
      <w:tblGrid>
        <w:gridCol w:w="1129"/>
        <w:gridCol w:w="1134"/>
        <w:gridCol w:w="1701"/>
        <w:gridCol w:w="2268"/>
        <w:gridCol w:w="2552"/>
      </w:tblGrid>
      <w:tr w:rsidR="00085031" w:rsidRPr="00542EB9" w14:paraId="407E9200" w14:textId="77777777">
        <w:trPr>
          <w:tblHeader/>
        </w:trPr>
        <w:tc>
          <w:tcPr>
            <w:tcW w:w="1129" w:type="dxa"/>
            <w:shd w:val="clear" w:color="auto" w:fill="1F497D" w:themeFill="text2"/>
            <w:vAlign w:val="center"/>
          </w:tcPr>
          <w:p w14:paraId="3FB976F1" w14:textId="77777777" w:rsidR="00085031" w:rsidRPr="00542EB9" w:rsidRDefault="00085031" w:rsidP="00306B02">
            <w:pPr>
              <w:pStyle w:val="BodyText1"/>
              <w:spacing w:before="40" w:after="40"/>
              <w:jc w:val="center"/>
              <w:rPr>
                <w:rFonts w:ascii="Times New Roman" w:hAnsi="Times New Roman"/>
                <w:noProof/>
                <w:color w:val="FFFFFF"/>
                <w:sz w:val="24"/>
                <w:szCs w:val="24"/>
                <w:lang w:val="nl-BE" w:eastAsia="nl-BE"/>
              </w:rPr>
            </w:pPr>
            <w:r w:rsidRPr="00542EB9">
              <w:rPr>
                <w:rFonts w:ascii="Times New Roman" w:hAnsi="Times New Roman"/>
                <w:noProof/>
                <w:color w:val="FFFFFF"/>
                <w:sz w:val="24"/>
                <w:szCs w:val="24"/>
                <w:lang w:val="nl-BE" w:eastAsia="nl-BE"/>
              </w:rPr>
              <w:t>Campaign number</w:t>
            </w:r>
          </w:p>
        </w:tc>
        <w:tc>
          <w:tcPr>
            <w:tcW w:w="1134" w:type="dxa"/>
            <w:shd w:val="clear" w:color="auto" w:fill="1F497D" w:themeFill="text2"/>
            <w:vAlign w:val="center"/>
          </w:tcPr>
          <w:p w14:paraId="4914C6C7" w14:textId="77777777" w:rsidR="00085031" w:rsidRPr="00542EB9" w:rsidRDefault="00085031" w:rsidP="00306B02">
            <w:pPr>
              <w:pStyle w:val="BodyText1"/>
              <w:spacing w:before="40" w:after="40"/>
              <w:jc w:val="center"/>
              <w:rPr>
                <w:rFonts w:ascii="Times New Roman" w:hAnsi="Times New Roman"/>
                <w:noProof/>
                <w:color w:val="FFFFFF"/>
                <w:sz w:val="24"/>
                <w:szCs w:val="24"/>
                <w:lang w:val="nl-BE" w:eastAsia="nl-BE"/>
              </w:rPr>
            </w:pPr>
            <w:r w:rsidRPr="00542EB9">
              <w:rPr>
                <w:rFonts w:ascii="Times New Roman" w:hAnsi="Times New Roman"/>
                <w:noProof/>
                <w:color w:val="FFFFFF"/>
                <w:sz w:val="24"/>
                <w:szCs w:val="24"/>
                <w:lang w:val="nl-BE" w:eastAsia="nl-BE"/>
              </w:rPr>
              <w:t>Number of responses</w:t>
            </w:r>
          </w:p>
        </w:tc>
        <w:tc>
          <w:tcPr>
            <w:tcW w:w="1701" w:type="dxa"/>
            <w:shd w:val="clear" w:color="auto" w:fill="1F497D" w:themeFill="text2"/>
            <w:vAlign w:val="center"/>
          </w:tcPr>
          <w:p w14:paraId="3D1AA838" w14:textId="77777777" w:rsidR="00085031" w:rsidRPr="00542EB9" w:rsidRDefault="00085031" w:rsidP="00306B02">
            <w:pPr>
              <w:pStyle w:val="BodyText1"/>
              <w:spacing w:before="40" w:after="40"/>
              <w:jc w:val="center"/>
              <w:rPr>
                <w:rFonts w:ascii="Times New Roman" w:hAnsi="Times New Roman"/>
                <w:noProof/>
                <w:color w:val="FFFFFF"/>
                <w:sz w:val="24"/>
                <w:szCs w:val="24"/>
                <w:lang w:val="nl-BE" w:eastAsia="nl-BE"/>
              </w:rPr>
            </w:pPr>
            <w:r w:rsidRPr="00542EB9">
              <w:rPr>
                <w:rFonts w:ascii="Times New Roman" w:hAnsi="Times New Roman"/>
                <w:noProof/>
                <w:color w:val="FFFFFF"/>
                <w:sz w:val="24"/>
                <w:szCs w:val="24"/>
                <w:lang w:val="nl-BE" w:eastAsia="nl-BE"/>
              </w:rPr>
              <w:t>Stakeholder types</w:t>
            </w:r>
          </w:p>
        </w:tc>
        <w:tc>
          <w:tcPr>
            <w:tcW w:w="2268" w:type="dxa"/>
            <w:shd w:val="clear" w:color="auto" w:fill="1F497D" w:themeFill="text2"/>
            <w:vAlign w:val="center"/>
          </w:tcPr>
          <w:p w14:paraId="42B443B6" w14:textId="77777777" w:rsidR="00085031" w:rsidRPr="00542EB9" w:rsidRDefault="00085031" w:rsidP="00306B02">
            <w:pPr>
              <w:pStyle w:val="BodyText1"/>
              <w:spacing w:before="40" w:after="40"/>
              <w:jc w:val="center"/>
              <w:rPr>
                <w:rFonts w:ascii="Times New Roman" w:hAnsi="Times New Roman"/>
                <w:noProof/>
                <w:color w:val="FFFFFF"/>
                <w:sz w:val="24"/>
                <w:szCs w:val="24"/>
                <w:lang w:val="nl-BE" w:eastAsia="nl-BE"/>
              </w:rPr>
            </w:pPr>
            <w:r w:rsidRPr="00542EB9">
              <w:rPr>
                <w:rFonts w:ascii="Times New Roman" w:hAnsi="Times New Roman"/>
                <w:noProof/>
                <w:color w:val="FFFFFF"/>
                <w:sz w:val="24"/>
                <w:szCs w:val="24"/>
                <w:lang w:val="nl-BE" w:eastAsia="nl-BE"/>
              </w:rPr>
              <w:t>Countries of origin</w:t>
            </w:r>
          </w:p>
        </w:tc>
        <w:tc>
          <w:tcPr>
            <w:tcW w:w="2552" w:type="dxa"/>
            <w:shd w:val="clear" w:color="auto" w:fill="1F497D" w:themeFill="text2"/>
            <w:vAlign w:val="center"/>
          </w:tcPr>
          <w:p w14:paraId="18966F04" w14:textId="77777777" w:rsidR="00085031" w:rsidRPr="00542EB9" w:rsidRDefault="00085031" w:rsidP="00306B02">
            <w:pPr>
              <w:pStyle w:val="BodyText1"/>
              <w:spacing w:before="40" w:after="40"/>
              <w:jc w:val="center"/>
              <w:rPr>
                <w:rFonts w:ascii="Times New Roman" w:hAnsi="Times New Roman"/>
                <w:noProof/>
                <w:color w:val="FFFFFF"/>
                <w:sz w:val="24"/>
                <w:szCs w:val="24"/>
                <w:lang w:val="nl-BE" w:eastAsia="nl-BE"/>
              </w:rPr>
            </w:pPr>
            <w:r w:rsidRPr="00542EB9">
              <w:rPr>
                <w:rFonts w:ascii="Times New Roman" w:hAnsi="Times New Roman"/>
                <w:noProof/>
                <w:color w:val="FFFFFF"/>
                <w:sz w:val="24"/>
                <w:szCs w:val="24"/>
                <w:lang w:val="nl-BE" w:eastAsia="nl-BE"/>
              </w:rPr>
              <w:t>Positions</w:t>
            </w:r>
          </w:p>
        </w:tc>
      </w:tr>
      <w:tr w:rsidR="00085031" w:rsidRPr="00542EB9" w14:paraId="6FFFF0A7" w14:textId="77777777">
        <w:tc>
          <w:tcPr>
            <w:tcW w:w="1129" w:type="dxa"/>
            <w:vAlign w:val="center"/>
          </w:tcPr>
          <w:p w14:paraId="1A6DFBD4"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w:t>
            </w:r>
          </w:p>
        </w:tc>
        <w:tc>
          <w:tcPr>
            <w:tcW w:w="1134" w:type="dxa"/>
            <w:vAlign w:val="center"/>
          </w:tcPr>
          <w:p w14:paraId="0862C0E5"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45</w:t>
            </w:r>
          </w:p>
        </w:tc>
        <w:tc>
          <w:tcPr>
            <w:tcW w:w="1701" w:type="dxa"/>
            <w:vAlign w:val="center"/>
          </w:tcPr>
          <w:p w14:paraId="4F8ED29A"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Standards organisations, public authorities, corporations</w:t>
            </w:r>
          </w:p>
        </w:tc>
        <w:tc>
          <w:tcPr>
            <w:tcW w:w="2268" w:type="dxa"/>
            <w:vAlign w:val="center"/>
          </w:tcPr>
          <w:p w14:paraId="35324DBD"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Various EU member states</w:t>
            </w:r>
          </w:p>
        </w:tc>
        <w:tc>
          <w:tcPr>
            <w:tcW w:w="2552" w:type="dxa"/>
            <w:vAlign w:val="center"/>
          </w:tcPr>
          <w:p w14:paraId="65DD25CC"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Promote high-quality corporate reporting and strengthen Europe’s role in international standard-setting</w:t>
            </w:r>
          </w:p>
        </w:tc>
      </w:tr>
      <w:tr w:rsidR="00085031" w:rsidRPr="00542EB9" w14:paraId="66864BF7" w14:textId="77777777">
        <w:tc>
          <w:tcPr>
            <w:tcW w:w="1129" w:type="dxa"/>
            <w:vAlign w:val="center"/>
          </w:tcPr>
          <w:p w14:paraId="48C025F0"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#2</w:t>
            </w:r>
          </w:p>
        </w:tc>
        <w:tc>
          <w:tcPr>
            <w:tcW w:w="1134" w:type="dxa"/>
            <w:vAlign w:val="center"/>
          </w:tcPr>
          <w:p w14:paraId="0E7C37FD"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15</w:t>
            </w:r>
          </w:p>
        </w:tc>
        <w:tc>
          <w:tcPr>
            <w:tcW w:w="1701" w:type="dxa"/>
            <w:vAlign w:val="center"/>
          </w:tcPr>
          <w:p w14:paraId="4E7CA98B"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Civil society and development NGOs</w:t>
            </w:r>
          </w:p>
        </w:tc>
        <w:tc>
          <w:tcPr>
            <w:tcW w:w="2268" w:type="dxa"/>
            <w:vAlign w:val="center"/>
          </w:tcPr>
          <w:p w14:paraId="1F812206" w14:textId="77777777" w:rsidR="00085031" w:rsidRPr="00AB4AAF" w:rsidRDefault="00085031" w:rsidP="00085031">
            <w:pPr>
              <w:pStyle w:val="BodyText1"/>
              <w:rPr>
                <w:rFonts w:ascii="Times New Roman" w:hAnsi="Times New Roman"/>
                <w:noProof/>
                <w:sz w:val="24"/>
                <w:szCs w:val="24"/>
                <w:lang w:val="it-IT" w:eastAsia="nl-BE"/>
              </w:rPr>
            </w:pPr>
            <w:r w:rsidRPr="00AB4AAF">
              <w:rPr>
                <w:rFonts w:ascii="Times New Roman" w:hAnsi="Times New Roman"/>
                <w:noProof/>
                <w:sz w:val="24"/>
                <w:szCs w:val="24"/>
                <w:lang w:val="it-IT" w:eastAsia="nl-BE"/>
              </w:rPr>
              <w:t>Austria, Czechia, Netherlands, Hungary, Italy, Romania, Slovenia</w:t>
            </w:r>
          </w:p>
        </w:tc>
        <w:tc>
          <w:tcPr>
            <w:tcW w:w="2552" w:type="dxa"/>
          </w:tcPr>
          <w:p w14:paraId="38030291"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Strengthen EU DEAR programme and funding for global citizenship education</w:t>
            </w:r>
          </w:p>
        </w:tc>
      </w:tr>
      <w:tr w:rsidR="00085031" w:rsidRPr="00542EB9" w14:paraId="72B6550D" w14:textId="77777777">
        <w:tc>
          <w:tcPr>
            <w:tcW w:w="1129" w:type="dxa"/>
            <w:vAlign w:val="center"/>
          </w:tcPr>
          <w:p w14:paraId="491D3406"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#3</w:t>
            </w:r>
          </w:p>
        </w:tc>
        <w:tc>
          <w:tcPr>
            <w:tcW w:w="1134" w:type="dxa"/>
            <w:vAlign w:val="center"/>
          </w:tcPr>
          <w:p w14:paraId="0061963C"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15</w:t>
            </w:r>
          </w:p>
        </w:tc>
        <w:tc>
          <w:tcPr>
            <w:tcW w:w="1701" w:type="dxa"/>
            <w:vAlign w:val="center"/>
          </w:tcPr>
          <w:p w14:paraId="3ACD3D49"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Transport and infrastructure companies and authorities</w:t>
            </w:r>
          </w:p>
        </w:tc>
        <w:tc>
          <w:tcPr>
            <w:tcW w:w="2268" w:type="dxa"/>
            <w:vAlign w:val="center"/>
          </w:tcPr>
          <w:p w14:paraId="6EB4E9EB"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Austria, Belgium, France, Germany, Italy, Spain</w:t>
            </w:r>
          </w:p>
        </w:tc>
        <w:tc>
          <w:tcPr>
            <w:tcW w:w="2552" w:type="dxa"/>
          </w:tcPr>
          <w:p w14:paraId="2D7EC0C7"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Strengthen EU-level funding and cooperation for transport to support sustainable, resilient infrastructure</w:t>
            </w:r>
          </w:p>
        </w:tc>
      </w:tr>
      <w:tr w:rsidR="00085031" w:rsidRPr="00542EB9" w14:paraId="5573B6BB" w14:textId="77777777">
        <w:tc>
          <w:tcPr>
            <w:tcW w:w="1129" w:type="dxa"/>
            <w:vAlign w:val="center"/>
          </w:tcPr>
          <w:p w14:paraId="57E9CDDB"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#4</w:t>
            </w:r>
          </w:p>
        </w:tc>
        <w:tc>
          <w:tcPr>
            <w:tcW w:w="1134" w:type="dxa"/>
            <w:vAlign w:val="center"/>
          </w:tcPr>
          <w:p w14:paraId="3F8B2765"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12</w:t>
            </w:r>
          </w:p>
        </w:tc>
        <w:tc>
          <w:tcPr>
            <w:tcW w:w="1701" w:type="dxa"/>
            <w:vAlign w:val="center"/>
          </w:tcPr>
          <w:p w14:paraId="5873298D"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Non-profit welfare organisations</w:t>
            </w:r>
          </w:p>
        </w:tc>
        <w:tc>
          <w:tcPr>
            <w:tcW w:w="2268" w:type="dxa"/>
            <w:vAlign w:val="center"/>
          </w:tcPr>
          <w:p w14:paraId="550DFA96"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Germany</w:t>
            </w:r>
          </w:p>
        </w:tc>
        <w:tc>
          <w:tcPr>
            <w:tcW w:w="2552" w:type="dxa"/>
          </w:tcPr>
          <w:p w14:paraId="145329B5"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Strengthen cohesion policy and structural funds to ensure equal living conditions across the EU</w:t>
            </w:r>
          </w:p>
        </w:tc>
      </w:tr>
      <w:tr w:rsidR="00085031" w:rsidRPr="00542EB9" w14:paraId="26D7F2EC" w14:textId="77777777">
        <w:tc>
          <w:tcPr>
            <w:tcW w:w="1129" w:type="dxa"/>
            <w:vAlign w:val="center"/>
          </w:tcPr>
          <w:p w14:paraId="533603B1"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#5</w:t>
            </w:r>
          </w:p>
        </w:tc>
        <w:tc>
          <w:tcPr>
            <w:tcW w:w="1134" w:type="dxa"/>
            <w:vAlign w:val="center"/>
          </w:tcPr>
          <w:p w14:paraId="5A387C62"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11</w:t>
            </w:r>
          </w:p>
        </w:tc>
        <w:tc>
          <w:tcPr>
            <w:tcW w:w="1701" w:type="dxa"/>
            <w:vAlign w:val="center"/>
          </w:tcPr>
          <w:p w14:paraId="4408A8B2"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Cinema organisations</w:t>
            </w:r>
          </w:p>
        </w:tc>
        <w:tc>
          <w:tcPr>
            <w:tcW w:w="2268" w:type="dxa"/>
            <w:vAlign w:val="center"/>
          </w:tcPr>
          <w:p w14:paraId="1B3CA07D"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France, Germany, Netherlands, Slovenia</w:t>
            </w:r>
          </w:p>
        </w:tc>
        <w:tc>
          <w:tcPr>
            <w:tcW w:w="2552" w:type="dxa"/>
          </w:tcPr>
          <w:p w14:paraId="7FE59D7E"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Strengthen the Creative Europe MEDIA programme and arthouse cinema funding</w:t>
            </w:r>
          </w:p>
        </w:tc>
      </w:tr>
      <w:tr w:rsidR="00085031" w:rsidRPr="00542EB9" w14:paraId="70B9ADAD" w14:textId="77777777">
        <w:tc>
          <w:tcPr>
            <w:tcW w:w="1129" w:type="dxa"/>
            <w:vAlign w:val="center"/>
          </w:tcPr>
          <w:p w14:paraId="458EFCDC"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#6</w:t>
            </w:r>
          </w:p>
        </w:tc>
        <w:tc>
          <w:tcPr>
            <w:tcW w:w="1134" w:type="dxa"/>
            <w:vAlign w:val="center"/>
          </w:tcPr>
          <w:p w14:paraId="19875572"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10</w:t>
            </w:r>
          </w:p>
        </w:tc>
        <w:tc>
          <w:tcPr>
            <w:tcW w:w="1701" w:type="dxa"/>
            <w:vAlign w:val="center"/>
          </w:tcPr>
          <w:p w14:paraId="77E5C1DD"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Film industry</w:t>
            </w:r>
          </w:p>
        </w:tc>
        <w:tc>
          <w:tcPr>
            <w:tcW w:w="2268" w:type="dxa"/>
            <w:vAlign w:val="center"/>
          </w:tcPr>
          <w:p w14:paraId="444B381E"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Austria, Bulgaria, Germany</w:t>
            </w:r>
          </w:p>
        </w:tc>
        <w:tc>
          <w:tcPr>
            <w:tcW w:w="2552" w:type="dxa"/>
          </w:tcPr>
          <w:p w14:paraId="14B4A20E"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Strengthen the Creative Europe MEDIA programme and support the audiovisual sector</w:t>
            </w:r>
          </w:p>
        </w:tc>
      </w:tr>
      <w:tr w:rsidR="00085031" w:rsidRPr="00542EB9" w14:paraId="016D725B" w14:textId="77777777">
        <w:tc>
          <w:tcPr>
            <w:tcW w:w="1129" w:type="dxa"/>
            <w:vAlign w:val="center"/>
          </w:tcPr>
          <w:p w14:paraId="1E48C7B3"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#7</w:t>
            </w:r>
          </w:p>
        </w:tc>
        <w:tc>
          <w:tcPr>
            <w:tcW w:w="1134" w:type="dxa"/>
            <w:vAlign w:val="center"/>
          </w:tcPr>
          <w:p w14:paraId="6921EF9F"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9</w:t>
            </w:r>
          </w:p>
        </w:tc>
        <w:tc>
          <w:tcPr>
            <w:tcW w:w="1701" w:type="dxa"/>
            <w:vAlign w:val="center"/>
          </w:tcPr>
          <w:p w14:paraId="55F29F8C"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Local and regional public authorities</w:t>
            </w:r>
          </w:p>
        </w:tc>
        <w:tc>
          <w:tcPr>
            <w:tcW w:w="2268" w:type="dxa"/>
            <w:vAlign w:val="center"/>
          </w:tcPr>
          <w:p w14:paraId="57DF9034"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Netherlands</w:t>
            </w:r>
          </w:p>
        </w:tc>
        <w:tc>
          <w:tcPr>
            <w:tcW w:w="2552" w:type="dxa"/>
          </w:tcPr>
          <w:p w14:paraId="36AC0CA2" w14:textId="77777777" w:rsidR="00085031" w:rsidRPr="00AB4AAF" w:rsidRDefault="00085031" w:rsidP="00085031">
            <w:pPr>
              <w:pStyle w:val="BodyText1"/>
              <w:rPr>
                <w:rFonts w:ascii="Times New Roman" w:hAnsi="Times New Roman"/>
                <w:noProof/>
                <w:sz w:val="24"/>
                <w:szCs w:val="24"/>
                <w:lang w:eastAsia="nl-BE"/>
              </w:rPr>
            </w:pPr>
            <w:r w:rsidRPr="00AB4AAF">
              <w:rPr>
                <w:rFonts w:ascii="Times New Roman" w:hAnsi="Times New Roman"/>
                <w:noProof/>
                <w:sz w:val="24"/>
                <w:szCs w:val="24"/>
                <w:lang w:eastAsia="nl-BE"/>
              </w:rPr>
              <w:t>Flexible funding and balanced performance criteria for regional innovation</w:t>
            </w:r>
          </w:p>
        </w:tc>
      </w:tr>
    </w:tbl>
    <w:p w14:paraId="7894E650" w14:textId="77777777" w:rsidR="00652C98" w:rsidRPr="00542EB9" w:rsidRDefault="00652C98" w:rsidP="00652C98">
      <w:pPr>
        <w:pStyle w:val="Title1"/>
        <w:spacing w:before="360"/>
        <w:ind w:left="357" w:hanging="357"/>
        <w:outlineLvl w:val="0"/>
        <w:rPr>
          <w:rFonts w:ascii="Times New Roman" w:hAnsi="Times New Roman"/>
          <w:b/>
          <w:bCs/>
          <w:noProof/>
          <w:color w:val="auto"/>
          <w:sz w:val="24"/>
          <w:szCs w:val="24"/>
        </w:rPr>
      </w:pPr>
      <w:bookmarkStart w:id="83" w:name="_Toc196230617"/>
      <w:bookmarkStart w:id="84" w:name="_Toc198549068"/>
      <w:r w:rsidRPr="00542EB9">
        <w:rPr>
          <w:rFonts w:ascii="Times New Roman" w:hAnsi="Times New Roman"/>
          <w:b/>
          <w:bCs/>
          <w:noProof/>
          <w:color w:val="auto"/>
          <w:sz w:val="24"/>
          <w:szCs w:val="24"/>
        </w:rPr>
        <w:t>Analysis of public consultation results</w:t>
      </w:r>
      <w:bookmarkEnd w:id="83"/>
      <w:bookmarkEnd w:id="84"/>
    </w:p>
    <w:p w14:paraId="6A72C68A" w14:textId="157692DD"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The following sections present the analysis of key findings from the public consultation. The analysis combines both quantitative and qualitative findings, covering responses to closed and open-ended questions as well as submitted position papers. It highlights key trends, patterns, and divergences across stakeholder groups, providing an overview of stakeholder views most relevant to the impact assessment.</w:t>
      </w:r>
    </w:p>
    <w:p w14:paraId="50377D77" w14:textId="2628A714" w:rsidR="00C75A29" w:rsidRPr="00542EB9" w:rsidRDefault="000F23FA" w:rsidP="00C75A29">
      <w:pPr>
        <w:pStyle w:val="BodyText1"/>
        <w:rPr>
          <w:rFonts w:ascii="Times New Roman" w:hAnsi="Times New Roman"/>
          <w:b/>
          <w:bCs/>
          <w:noProof/>
          <w:sz w:val="24"/>
          <w:szCs w:val="24"/>
        </w:rPr>
      </w:pPr>
      <w:bookmarkStart w:id="85" w:name="_Toc198298223"/>
      <w:r w:rsidRPr="00542EB9">
        <w:rPr>
          <w:rFonts w:ascii="Times New Roman" w:hAnsi="Times New Roman"/>
          <w:b/>
          <w:bCs/>
          <w:noProof/>
          <w:sz w:val="24"/>
          <w:szCs w:val="24"/>
        </w:rPr>
        <w:t xml:space="preserve">3.1 </w:t>
      </w:r>
      <w:r w:rsidR="00C75A29" w:rsidRPr="00542EB9">
        <w:rPr>
          <w:rFonts w:ascii="Times New Roman" w:hAnsi="Times New Roman"/>
          <w:b/>
          <w:bCs/>
          <w:noProof/>
          <w:sz w:val="24"/>
          <w:szCs w:val="24"/>
        </w:rPr>
        <w:t>Background of respondents</w:t>
      </w:r>
      <w:bookmarkEnd w:id="85"/>
    </w:p>
    <w:p w14:paraId="7BD51631" w14:textId="56E4F497"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The public consultation was primarily answered by </w:t>
      </w:r>
      <w:r w:rsidRPr="00542EB9">
        <w:rPr>
          <w:rFonts w:ascii="Times New Roman" w:hAnsi="Times New Roman"/>
          <w:b/>
          <w:bCs/>
          <w:noProof/>
          <w:sz w:val="24"/>
          <w:szCs w:val="24"/>
        </w:rPr>
        <w:t>EU citizens</w:t>
      </w:r>
      <w:r w:rsidRPr="00542EB9">
        <w:rPr>
          <w:rFonts w:ascii="Times New Roman" w:hAnsi="Times New Roman"/>
          <w:noProof/>
          <w:sz w:val="24"/>
          <w:szCs w:val="24"/>
        </w:rPr>
        <w:t xml:space="preserve">, who accounted for </w:t>
      </w:r>
      <w:r w:rsidR="001673AA" w:rsidRPr="00542EB9">
        <w:rPr>
          <w:rFonts w:ascii="Times New Roman" w:hAnsi="Times New Roman"/>
          <w:noProof/>
          <w:sz w:val="24"/>
          <w:szCs w:val="24"/>
        </w:rPr>
        <w:t>26</w:t>
      </w:r>
      <w:r w:rsidRPr="00542EB9">
        <w:rPr>
          <w:rFonts w:ascii="Times New Roman" w:hAnsi="Times New Roman"/>
          <w:noProof/>
          <w:sz w:val="24"/>
          <w:szCs w:val="24"/>
        </w:rPr>
        <w:t>% (1</w:t>
      </w:r>
      <w:r w:rsidR="001673AA" w:rsidRPr="00542EB9">
        <w:rPr>
          <w:rFonts w:ascii="Times New Roman" w:hAnsi="Times New Roman"/>
          <w:noProof/>
          <w:sz w:val="24"/>
          <w:szCs w:val="24"/>
        </w:rPr>
        <w:t>9</w:t>
      </w:r>
      <w:r w:rsidRPr="00542EB9">
        <w:rPr>
          <w:rFonts w:ascii="Times New Roman" w:hAnsi="Times New Roman"/>
          <w:noProof/>
          <w:sz w:val="24"/>
          <w:szCs w:val="24"/>
        </w:rPr>
        <w:t>1) of respondents (N=</w:t>
      </w:r>
      <w:r w:rsidR="001673AA" w:rsidRPr="00542EB9">
        <w:rPr>
          <w:rFonts w:ascii="Times New Roman" w:hAnsi="Times New Roman"/>
          <w:noProof/>
          <w:sz w:val="24"/>
          <w:szCs w:val="24"/>
        </w:rPr>
        <w:t>747</w:t>
      </w:r>
      <w:r w:rsidRPr="00542EB9">
        <w:rPr>
          <w:rFonts w:ascii="Times New Roman" w:hAnsi="Times New Roman"/>
          <w:noProof/>
          <w:sz w:val="24"/>
          <w:szCs w:val="24"/>
        </w:rPr>
        <w:t xml:space="preserve">) (see figure below). </w:t>
      </w:r>
      <w:r w:rsidR="00640D9B" w:rsidRPr="00542EB9">
        <w:rPr>
          <w:rFonts w:ascii="Times New Roman" w:hAnsi="Times New Roman"/>
          <w:b/>
          <w:bCs/>
          <w:noProof/>
          <w:sz w:val="24"/>
          <w:szCs w:val="24"/>
        </w:rPr>
        <w:t>Non-governmental organisations</w:t>
      </w:r>
      <w:r w:rsidR="00640D9B" w:rsidRPr="00542EB9">
        <w:rPr>
          <w:rFonts w:ascii="Times New Roman" w:hAnsi="Times New Roman"/>
          <w:noProof/>
          <w:sz w:val="24"/>
          <w:szCs w:val="24"/>
        </w:rPr>
        <w:t xml:space="preserve"> represented 18% (131) of responses, followed by </w:t>
      </w:r>
      <w:r w:rsidR="00640D9B" w:rsidRPr="00542EB9">
        <w:rPr>
          <w:rFonts w:ascii="Times New Roman" w:hAnsi="Times New Roman"/>
          <w:b/>
          <w:bCs/>
          <w:noProof/>
          <w:sz w:val="24"/>
          <w:szCs w:val="24"/>
        </w:rPr>
        <w:t>public authorities</w:t>
      </w:r>
      <w:r w:rsidR="00640D9B" w:rsidRPr="00542EB9">
        <w:rPr>
          <w:rFonts w:ascii="Times New Roman" w:hAnsi="Times New Roman"/>
          <w:noProof/>
          <w:sz w:val="24"/>
          <w:szCs w:val="24"/>
        </w:rPr>
        <w:t xml:space="preserve"> at 15% (114), </w:t>
      </w:r>
      <w:r w:rsidR="00640D9B" w:rsidRPr="00542EB9">
        <w:rPr>
          <w:rFonts w:ascii="Times New Roman" w:hAnsi="Times New Roman"/>
          <w:b/>
          <w:bCs/>
          <w:noProof/>
          <w:sz w:val="24"/>
          <w:szCs w:val="24"/>
        </w:rPr>
        <w:t>companies/businesses</w:t>
      </w:r>
      <w:r w:rsidR="00640D9B" w:rsidRPr="00542EB9">
        <w:rPr>
          <w:rFonts w:ascii="Times New Roman" w:hAnsi="Times New Roman"/>
          <w:noProof/>
          <w:sz w:val="24"/>
          <w:szCs w:val="24"/>
        </w:rPr>
        <w:t xml:space="preserve"> at 11% (82) and </w:t>
      </w:r>
      <w:r w:rsidR="00640D9B" w:rsidRPr="00542EB9">
        <w:rPr>
          <w:rFonts w:ascii="Times New Roman" w:hAnsi="Times New Roman"/>
          <w:b/>
          <w:bCs/>
          <w:noProof/>
          <w:sz w:val="24"/>
          <w:szCs w:val="24"/>
        </w:rPr>
        <w:t>business associations</w:t>
      </w:r>
      <w:r w:rsidR="00640D9B" w:rsidRPr="00542EB9">
        <w:rPr>
          <w:rFonts w:ascii="Times New Roman" w:hAnsi="Times New Roman"/>
          <w:noProof/>
          <w:sz w:val="24"/>
          <w:szCs w:val="24"/>
        </w:rPr>
        <w:t xml:space="preserve"> at 10% (76).</w:t>
      </w:r>
      <w:r w:rsidR="00640D9B" w:rsidRPr="00542EB9">
        <w:rPr>
          <w:rFonts w:ascii="Times New Roman" w:hAnsi="Times New Roman"/>
          <w:b/>
          <w:bCs/>
          <w:noProof/>
          <w:sz w:val="24"/>
          <w:szCs w:val="24"/>
        </w:rPr>
        <w:t xml:space="preserve"> </w:t>
      </w:r>
      <w:r w:rsidRPr="00542EB9">
        <w:rPr>
          <w:rFonts w:ascii="Times New Roman" w:hAnsi="Times New Roman"/>
          <w:noProof/>
          <w:sz w:val="24"/>
          <w:szCs w:val="24"/>
        </w:rPr>
        <w:t xml:space="preserve">‘Other’ stakeholder types (9%, </w:t>
      </w:r>
      <w:r w:rsidR="00B56AF6" w:rsidRPr="00542EB9">
        <w:rPr>
          <w:rFonts w:ascii="Times New Roman" w:hAnsi="Times New Roman"/>
          <w:noProof/>
          <w:sz w:val="24"/>
          <w:szCs w:val="24"/>
        </w:rPr>
        <w:t>69</w:t>
      </w:r>
      <w:r w:rsidRPr="00542EB9">
        <w:rPr>
          <w:rFonts w:ascii="Times New Roman" w:hAnsi="Times New Roman"/>
          <w:noProof/>
          <w:sz w:val="24"/>
          <w:szCs w:val="24"/>
        </w:rPr>
        <w:t>) primarily encompassed government bodies, banking institutions, chambers of commerce, financial and accounting bodies, civil society, and sector-specific networks and associations.</w:t>
      </w:r>
    </w:p>
    <w:p w14:paraId="38C15F72" w14:textId="36C84B97" w:rsidR="00C75A29" w:rsidRPr="00542EB9" w:rsidRDefault="00C75A29" w:rsidP="00C75A29">
      <w:pPr>
        <w:pStyle w:val="BodyText1"/>
        <w:rPr>
          <w:rFonts w:ascii="Times New Roman" w:hAnsi="Times New Roman"/>
          <w:b/>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1</w:t>
      </w:r>
      <w:r w:rsidRPr="00542EB9">
        <w:rPr>
          <w:rFonts w:ascii="Times New Roman" w:hAnsi="Times New Roman"/>
          <w:noProof/>
          <w:sz w:val="24"/>
          <w:szCs w:val="24"/>
        </w:rPr>
        <w:fldChar w:fldCharType="end"/>
      </w:r>
      <w:r w:rsidRPr="00542EB9">
        <w:rPr>
          <w:rFonts w:ascii="Times New Roman" w:hAnsi="Times New Roman"/>
          <w:b/>
          <w:noProof/>
          <w:sz w:val="24"/>
          <w:szCs w:val="24"/>
        </w:rPr>
        <w:t xml:space="preserve">. </w:t>
      </w:r>
      <w:r w:rsidR="00C001FA" w:rsidRPr="00542EB9">
        <w:rPr>
          <w:rFonts w:ascii="Times New Roman" w:hAnsi="Times New Roman"/>
          <w:b/>
          <w:noProof/>
          <w:sz w:val="24"/>
          <w:szCs w:val="24"/>
        </w:rPr>
        <w:t>N</w:t>
      </w:r>
      <w:r w:rsidR="00FF233B" w:rsidRPr="00542EB9">
        <w:rPr>
          <w:rFonts w:ascii="Times New Roman" w:hAnsi="Times New Roman"/>
          <w:b/>
          <w:noProof/>
          <w:sz w:val="24"/>
          <w:szCs w:val="24"/>
        </w:rPr>
        <w:t>umber of replies per s</w:t>
      </w:r>
      <w:r w:rsidRPr="00542EB9">
        <w:rPr>
          <w:rFonts w:ascii="Times New Roman" w:hAnsi="Times New Roman"/>
          <w:b/>
          <w:noProof/>
          <w:sz w:val="24"/>
          <w:szCs w:val="24"/>
        </w:rPr>
        <w:t>takeholder types</w:t>
      </w:r>
      <w:r w:rsidR="004365AB" w:rsidRPr="00542EB9">
        <w:rPr>
          <w:rFonts w:ascii="Times New Roman" w:hAnsi="Times New Roman"/>
          <w:b/>
          <w:noProof/>
          <w:sz w:val="24"/>
          <w:szCs w:val="24"/>
        </w:rPr>
        <w:t xml:space="preserve"> (N=747)</w:t>
      </w:r>
    </w:p>
    <w:p w14:paraId="1889CEC2" w14:textId="7559C6F1" w:rsidR="00C75A29" w:rsidRPr="00542EB9" w:rsidRDefault="00154863" w:rsidP="00C75A29">
      <w:pPr>
        <w:pStyle w:val="BodyText1"/>
        <w:rPr>
          <w:rFonts w:ascii="Times New Roman" w:hAnsi="Times New Roman"/>
          <w:noProof/>
          <w:sz w:val="24"/>
          <w:szCs w:val="24"/>
        </w:rPr>
      </w:pPr>
      <w:r w:rsidRPr="00542EB9">
        <w:rPr>
          <w:noProof/>
          <w:lang w:eastAsia="en-GB"/>
        </w:rPr>
        <w:drawing>
          <wp:inline distT="0" distB="0" distL="0" distR="0" wp14:anchorId="1138A49D" wp14:editId="450FC79E">
            <wp:extent cx="5581650" cy="2124075"/>
            <wp:effectExtent l="0" t="0" r="0" b="0"/>
            <wp:docPr id="5480770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C75A29" w:rsidRPr="00542EB9">
        <w:rPr>
          <w:rFonts w:ascii="Times New Roman" w:hAnsi="Times New Roman"/>
          <w:noProof/>
          <w:sz w:val="24"/>
          <w:szCs w:val="24"/>
        </w:rPr>
        <w:t xml:space="preserve">The public consultation gathered responses </w:t>
      </w:r>
      <w:r w:rsidR="00C75A29" w:rsidRPr="00542EB9">
        <w:rPr>
          <w:rFonts w:ascii="Times New Roman" w:hAnsi="Times New Roman"/>
          <w:b/>
          <w:bCs/>
          <w:noProof/>
          <w:sz w:val="24"/>
          <w:szCs w:val="24"/>
        </w:rPr>
        <w:t>predominantly from European countries</w:t>
      </w:r>
      <w:r w:rsidR="00C75A29" w:rsidRPr="00542EB9">
        <w:rPr>
          <w:rFonts w:ascii="Times New Roman" w:hAnsi="Times New Roman"/>
          <w:noProof/>
          <w:sz w:val="24"/>
          <w:szCs w:val="24"/>
        </w:rPr>
        <w:t xml:space="preserve"> (95%, </w:t>
      </w:r>
      <w:r w:rsidR="004365AB" w:rsidRPr="00542EB9">
        <w:rPr>
          <w:rFonts w:ascii="Times New Roman" w:hAnsi="Times New Roman"/>
          <w:noProof/>
          <w:sz w:val="24"/>
          <w:szCs w:val="24"/>
        </w:rPr>
        <w:t>710</w:t>
      </w:r>
      <w:r w:rsidR="00C75A29" w:rsidRPr="00542EB9">
        <w:rPr>
          <w:rFonts w:ascii="Times New Roman" w:hAnsi="Times New Roman"/>
          <w:noProof/>
          <w:sz w:val="24"/>
          <w:szCs w:val="24"/>
        </w:rPr>
        <w:t>), with Germany leading with the highest number of respondents (</w:t>
      </w:r>
      <w:r w:rsidR="004365AB" w:rsidRPr="00542EB9">
        <w:rPr>
          <w:rFonts w:ascii="Times New Roman" w:hAnsi="Times New Roman"/>
          <w:noProof/>
          <w:sz w:val="24"/>
          <w:szCs w:val="24"/>
        </w:rPr>
        <w:t>125</w:t>
      </w:r>
      <w:r w:rsidR="00C75A29" w:rsidRPr="00542EB9">
        <w:rPr>
          <w:rFonts w:ascii="Times New Roman" w:hAnsi="Times New Roman"/>
          <w:noProof/>
          <w:sz w:val="24"/>
          <w:szCs w:val="24"/>
        </w:rPr>
        <w:t xml:space="preserve">). Belgium followed with </w:t>
      </w:r>
      <w:r w:rsidR="004365AB" w:rsidRPr="00542EB9">
        <w:rPr>
          <w:rFonts w:ascii="Times New Roman" w:hAnsi="Times New Roman"/>
          <w:noProof/>
          <w:sz w:val="24"/>
          <w:szCs w:val="24"/>
        </w:rPr>
        <w:t xml:space="preserve">122 </w:t>
      </w:r>
      <w:r w:rsidR="00C75A29" w:rsidRPr="00542EB9">
        <w:rPr>
          <w:rFonts w:ascii="Times New Roman" w:hAnsi="Times New Roman"/>
          <w:noProof/>
          <w:sz w:val="24"/>
          <w:szCs w:val="24"/>
        </w:rPr>
        <w:t xml:space="preserve">respondents, and Italy with </w:t>
      </w:r>
      <w:r w:rsidR="00C100A9" w:rsidRPr="00542EB9">
        <w:rPr>
          <w:rFonts w:ascii="Times New Roman" w:hAnsi="Times New Roman"/>
          <w:noProof/>
          <w:sz w:val="24"/>
          <w:szCs w:val="24"/>
        </w:rPr>
        <w:t>57</w:t>
      </w:r>
      <w:r w:rsidR="00C75A29" w:rsidRPr="00542EB9">
        <w:rPr>
          <w:rFonts w:ascii="Times New Roman" w:hAnsi="Times New Roman"/>
          <w:noProof/>
          <w:sz w:val="24"/>
          <w:szCs w:val="24"/>
        </w:rPr>
        <w:t xml:space="preserve">. Participation from non-EU countries was notably limited, with a total of </w:t>
      </w:r>
      <w:r w:rsidR="00C100A9" w:rsidRPr="00542EB9">
        <w:rPr>
          <w:rFonts w:ascii="Times New Roman" w:hAnsi="Times New Roman"/>
          <w:noProof/>
          <w:sz w:val="24"/>
          <w:szCs w:val="24"/>
        </w:rPr>
        <w:t xml:space="preserve">37 </w:t>
      </w:r>
      <w:r w:rsidR="00C75A29" w:rsidRPr="00542EB9">
        <w:rPr>
          <w:rFonts w:ascii="Times New Roman" w:hAnsi="Times New Roman"/>
          <w:noProof/>
          <w:sz w:val="24"/>
          <w:szCs w:val="24"/>
        </w:rPr>
        <w:t>responses.</w:t>
      </w:r>
    </w:p>
    <w:p w14:paraId="79CD950E" w14:textId="60077C54" w:rsidR="00C75A29" w:rsidRPr="00542EB9" w:rsidRDefault="00242873" w:rsidP="00C75A29">
      <w:pPr>
        <w:pStyle w:val="BodyText1"/>
        <w:rPr>
          <w:rFonts w:ascii="Times New Roman" w:hAnsi="Times New Roman"/>
          <w:b/>
          <w:bCs/>
          <w:noProof/>
          <w:sz w:val="24"/>
          <w:szCs w:val="24"/>
        </w:rPr>
      </w:pPr>
      <w:bookmarkStart w:id="86" w:name="_Toc198298224"/>
      <w:r w:rsidRPr="00542EB9">
        <w:rPr>
          <w:rFonts w:ascii="Times New Roman" w:hAnsi="Times New Roman"/>
          <w:b/>
          <w:bCs/>
          <w:noProof/>
          <w:sz w:val="24"/>
          <w:szCs w:val="24"/>
        </w:rPr>
        <w:t xml:space="preserve">3.2 </w:t>
      </w:r>
      <w:r w:rsidR="00C75A29" w:rsidRPr="00542EB9">
        <w:rPr>
          <w:rFonts w:ascii="Times New Roman" w:hAnsi="Times New Roman"/>
          <w:b/>
          <w:bCs/>
          <w:noProof/>
          <w:sz w:val="24"/>
          <w:szCs w:val="24"/>
        </w:rPr>
        <w:t>Challenges and measures to support the single market and cooperation between national authorities</w:t>
      </w:r>
      <w:bookmarkEnd w:id="86"/>
    </w:p>
    <w:p w14:paraId="5EDC3D35" w14:textId="77777777"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The following sections combine findings from closed questions, open-ended responses, and position papers to present key trends across the main issue areas related to</w:t>
      </w:r>
      <w:r w:rsidRPr="00542EB9">
        <w:rPr>
          <w:rFonts w:ascii="Times New Roman" w:hAnsi="Times New Roman"/>
          <w:b/>
          <w:bCs/>
          <w:noProof/>
          <w:sz w:val="24"/>
          <w:szCs w:val="24"/>
        </w:rPr>
        <w:t xml:space="preserve"> single market integration and cooperation between national authorities</w:t>
      </w:r>
      <w:r w:rsidRPr="00542EB9">
        <w:rPr>
          <w:rFonts w:ascii="Times New Roman" w:hAnsi="Times New Roman"/>
          <w:noProof/>
          <w:sz w:val="24"/>
          <w:szCs w:val="24"/>
        </w:rPr>
        <w:t>. For each area, the analysis explores stakeholder perspectives, underlying causes, and proposed measures.</w:t>
      </w:r>
    </w:p>
    <w:p w14:paraId="422515A9" w14:textId="70FFC28D"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As shown in the figure below, </w:t>
      </w:r>
      <w:r w:rsidRPr="00542EB9">
        <w:rPr>
          <w:rFonts w:ascii="Times New Roman" w:hAnsi="Times New Roman"/>
          <w:b/>
          <w:bCs/>
          <w:noProof/>
          <w:sz w:val="24"/>
          <w:szCs w:val="24"/>
        </w:rPr>
        <w:t>ensuring that rulemaking, standard-setting, and enforcement at the EU level remain evidence-based, effective, and tailored to evolving needs</w:t>
      </w:r>
      <w:r w:rsidRPr="00542EB9">
        <w:rPr>
          <w:rFonts w:ascii="Times New Roman" w:hAnsi="Times New Roman"/>
          <w:noProof/>
          <w:sz w:val="24"/>
          <w:szCs w:val="24"/>
        </w:rPr>
        <w:t xml:space="preserve"> (</w:t>
      </w:r>
      <w:r w:rsidR="008D5D3C" w:rsidRPr="00542EB9">
        <w:rPr>
          <w:rFonts w:ascii="Times New Roman" w:hAnsi="Times New Roman"/>
          <w:noProof/>
          <w:sz w:val="24"/>
          <w:szCs w:val="24"/>
        </w:rPr>
        <w:t>92%, 615 out of 673</w:t>
      </w:r>
      <w:r w:rsidRPr="00542EB9">
        <w:rPr>
          <w:rFonts w:ascii="Times New Roman" w:hAnsi="Times New Roman"/>
          <w:noProof/>
          <w:sz w:val="24"/>
          <w:szCs w:val="24"/>
        </w:rPr>
        <w:t xml:space="preserve">) and </w:t>
      </w:r>
      <w:r w:rsidRPr="00542EB9">
        <w:rPr>
          <w:rFonts w:ascii="Times New Roman" w:hAnsi="Times New Roman"/>
          <w:b/>
          <w:bCs/>
          <w:noProof/>
          <w:sz w:val="24"/>
          <w:szCs w:val="24"/>
        </w:rPr>
        <w:t>improving cooperation, collaborative efforts, and integration among member states and the Commission</w:t>
      </w:r>
      <w:r w:rsidRPr="00542EB9">
        <w:rPr>
          <w:rFonts w:ascii="Times New Roman" w:hAnsi="Times New Roman"/>
          <w:noProof/>
          <w:sz w:val="24"/>
          <w:szCs w:val="24"/>
        </w:rPr>
        <w:t xml:space="preserve"> (</w:t>
      </w:r>
      <w:r w:rsidR="00603683" w:rsidRPr="00542EB9">
        <w:rPr>
          <w:rFonts w:ascii="Times New Roman" w:hAnsi="Times New Roman"/>
          <w:noProof/>
          <w:sz w:val="24"/>
          <w:szCs w:val="24"/>
        </w:rPr>
        <w:t>87%, 587 out of 672</w:t>
      </w:r>
      <w:r w:rsidRPr="00542EB9">
        <w:rPr>
          <w:rFonts w:ascii="Times New Roman" w:hAnsi="Times New Roman"/>
          <w:noProof/>
          <w:sz w:val="24"/>
          <w:szCs w:val="24"/>
        </w:rPr>
        <w:t xml:space="preserve">) emerged as the most widely recognised challenges. Overall, all identified challenges were considered (very) important by respondents, with </w:t>
      </w:r>
      <w:r w:rsidR="00EA7D4E" w:rsidRPr="00542EB9">
        <w:rPr>
          <w:rFonts w:ascii="Times New Roman" w:hAnsi="Times New Roman"/>
          <w:noProof/>
          <w:sz w:val="24"/>
          <w:szCs w:val="24"/>
        </w:rPr>
        <w:t>at least</w:t>
      </w:r>
      <w:r w:rsidRPr="00542EB9">
        <w:rPr>
          <w:rFonts w:ascii="Times New Roman" w:hAnsi="Times New Roman"/>
          <w:noProof/>
          <w:sz w:val="24"/>
          <w:szCs w:val="24"/>
        </w:rPr>
        <w:t xml:space="preserve"> </w:t>
      </w:r>
      <w:r w:rsidR="00545E0E" w:rsidRPr="00542EB9">
        <w:rPr>
          <w:rFonts w:ascii="Times New Roman" w:hAnsi="Times New Roman"/>
          <w:noProof/>
          <w:sz w:val="24"/>
          <w:szCs w:val="24"/>
        </w:rPr>
        <w:t>69</w:t>
      </w:r>
      <w:r w:rsidRPr="00542EB9">
        <w:rPr>
          <w:rFonts w:ascii="Times New Roman" w:hAnsi="Times New Roman"/>
          <w:noProof/>
          <w:sz w:val="24"/>
          <w:szCs w:val="24"/>
        </w:rPr>
        <w:t>%</w:t>
      </w:r>
      <w:r w:rsidR="00EA7D4E" w:rsidRPr="00542EB9">
        <w:rPr>
          <w:rFonts w:ascii="Times New Roman" w:hAnsi="Times New Roman"/>
          <w:noProof/>
          <w:sz w:val="24"/>
          <w:szCs w:val="24"/>
        </w:rPr>
        <w:t xml:space="preserve"> rating each challenge as (very) important</w:t>
      </w:r>
      <w:r w:rsidRPr="00542EB9">
        <w:rPr>
          <w:rFonts w:ascii="Times New Roman" w:hAnsi="Times New Roman"/>
          <w:noProof/>
          <w:sz w:val="24"/>
          <w:szCs w:val="24"/>
        </w:rPr>
        <w:t>.</w:t>
      </w:r>
    </w:p>
    <w:p w14:paraId="318FFC15" w14:textId="00B8680B" w:rsidR="00B17F63" w:rsidRPr="00542EB9" w:rsidRDefault="00C75A29" w:rsidP="00B17F63">
      <w:pPr>
        <w:pStyle w:val="BodyText1"/>
        <w:rPr>
          <w:rFonts w:ascii="Times New Roman" w:hAnsi="Times New Roman"/>
          <w:b/>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2</w:t>
      </w:r>
      <w:r w:rsidRPr="00542EB9">
        <w:rPr>
          <w:rFonts w:ascii="Times New Roman" w:hAnsi="Times New Roman"/>
          <w:noProof/>
          <w:sz w:val="24"/>
          <w:szCs w:val="24"/>
        </w:rPr>
        <w:fldChar w:fldCharType="end"/>
      </w:r>
      <w:r w:rsidRPr="00542EB9">
        <w:rPr>
          <w:rFonts w:ascii="Times New Roman" w:hAnsi="Times New Roman"/>
          <w:b/>
          <w:noProof/>
          <w:sz w:val="24"/>
          <w:szCs w:val="24"/>
        </w:rPr>
        <w:t>. Importance of identified challenges</w:t>
      </w:r>
    </w:p>
    <w:p w14:paraId="070758A1" w14:textId="1AC88201" w:rsidR="00B17F63" w:rsidRPr="00542EB9" w:rsidRDefault="00877D7F" w:rsidP="511B530B">
      <w:pPr>
        <w:pStyle w:val="BodyText1"/>
        <w:rPr>
          <w:rFonts w:ascii="Times New Roman" w:hAnsi="Times New Roman"/>
          <w:b/>
          <w:bCs/>
          <w:i/>
          <w:iCs/>
          <w:noProof/>
          <w:sz w:val="24"/>
          <w:szCs w:val="24"/>
        </w:rPr>
      </w:pPr>
      <w:bookmarkStart w:id="87" w:name="_Hlk194061390"/>
      <w:r w:rsidRPr="00542EB9">
        <w:rPr>
          <w:noProof/>
          <w:lang w:eastAsia="en-GB"/>
        </w:rPr>
        <w:drawing>
          <wp:inline distT="0" distB="0" distL="0" distR="0" wp14:anchorId="19301F4E" wp14:editId="662DBCFD">
            <wp:extent cx="5556739" cy="4235450"/>
            <wp:effectExtent l="0" t="0" r="6350" b="12700"/>
            <wp:docPr id="89748136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B17F63" w:rsidRPr="511B530B">
        <w:rPr>
          <w:rFonts w:ascii="Times New Roman" w:hAnsi="Times New Roman"/>
          <w:b/>
          <w:bCs/>
          <w:i/>
          <w:iCs/>
          <w:noProof/>
          <w:sz w:val="24"/>
          <w:szCs w:val="24"/>
        </w:rPr>
        <w:t>Note: The figure shows the combined share of respondents who selected ‘Important’ or ‘Very important’.</w:t>
      </w:r>
      <w:bookmarkEnd w:id="87"/>
    </w:p>
    <w:p w14:paraId="672E2399" w14:textId="77777777" w:rsidR="00C75A29" w:rsidRPr="00581B34" w:rsidRDefault="00C75A29" w:rsidP="00B17F63">
      <w:pPr>
        <w:pStyle w:val="BodyText1"/>
        <w:rPr>
          <w:rFonts w:ascii="Times New Roman" w:hAnsi="Times New Roman"/>
          <w:noProof/>
          <w:sz w:val="24"/>
          <w:szCs w:val="24"/>
        </w:rPr>
      </w:pPr>
      <w:r w:rsidRPr="00581B34">
        <w:rPr>
          <w:rFonts w:ascii="Times New Roman" w:hAnsi="Times New Roman"/>
          <w:noProof/>
          <w:sz w:val="24"/>
          <w:szCs w:val="24"/>
        </w:rPr>
        <w:t>The most frequently cited additional challenges identified by respondents in an open-ended follow-up question include excessive bureaucracy and regulatory fragmentation, uneven enforcement of EU rules across member states, and a need for greater harmonisation in areas such as taxation, accounting, environmental standards, and digital regulation.</w:t>
      </w:r>
    </w:p>
    <w:p w14:paraId="7018A54E" w14:textId="48366FF6" w:rsidR="00C75A29" w:rsidRPr="00542EB9" w:rsidRDefault="00C75A29" w:rsidP="00C75A29">
      <w:pPr>
        <w:pStyle w:val="BodyText1"/>
        <w:rPr>
          <w:rFonts w:ascii="Times New Roman" w:hAnsi="Times New Roman"/>
          <w:noProof/>
          <w:sz w:val="24"/>
          <w:szCs w:val="24"/>
        </w:rPr>
      </w:pPr>
      <w:r w:rsidRPr="00581B34">
        <w:rPr>
          <w:rFonts w:ascii="Times New Roman" w:hAnsi="Times New Roman"/>
          <w:noProof/>
          <w:sz w:val="24"/>
          <w:szCs w:val="24"/>
        </w:rPr>
        <w:t xml:space="preserve">Considering the extent to which current policies address the aforementioned challenges, </w:t>
      </w:r>
      <w:r w:rsidR="00CA622F" w:rsidRPr="00581B34">
        <w:rPr>
          <w:rFonts w:ascii="Times New Roman" w:hAnsi="Times New Roman"/>
          <w:noProof/>
          <w:sz w:val="24"/>
          <w:szCs w:val="24"/>
        </w:rPr>
        <w:t xml:space="preserve">the following ranked highest: </w:t>
      </w:r>
      <w:r w:rsidRPr="00581B34">
        <w:rPr>
          <w:rFonts w:ascii="Times New Roman" w:hAnsi="Times New Roman"/>
          <w:b/>
          <w:bCs/>
          <w:noProof/>
          <w:sz w:val="24"/>
          <w:szCs w:val="24"/>
        </w:rPr>
        <w:t>improving cooperation, collaborative</w:t>
      </w:r>
      <w:r w:rsidRPr="00542EB9">
        <w:rPr>
          <w:rFonts w:ascii="Times New Roman" w:hAnsi="Times New Roman"/>
          <w:b/>
          <w:bCs/>
          <w:noProof/>
          <w:sz w:val="24"/>
          <w:szCs w:val="24"/>
        </w:rPr>
        <w:t xml:space="preserve"> efforts, and integration</w:t>
      </w:r>
      <w:r w:rsidRPr="00542EB9">
        <w:rPr>
          <w:rFonts w:ascii="Times New Roman" w:hAnsi="Times New Roman"/>
          <w:noProof/>
          <w:sz w:val="24"/>
          <w:szCs w:val="24"/>
        </w:rPr>
        <w:t xml:space="preserve"> (</w:t>
      </w:r>
      <w:r w:rsidR="005704EE" w:rsidRPr="00542EB9">
        <w:rPr>
          <w:rFonts w:ascii="Times New Roman" w:hAnsi="Times New Roman"/>
          <w:noProof/>
          <w:sz w:val="24"/>
          <w:szCs w:val="24"/>
        </w:rPr>
        <w:t>65%, 422 out of 654</w:t>
      </w:r>
      <w:r w:rsidRPr="00542EB9">
        <w:rPr>
          <w:rFonts w:ascii="Times New Roman" w:hAnsi="Times New Roman"/>
          <w:noProof/>
          <w:sz w:val="24"/>
          <w:szCs w:val="24"/>
        </w:rPr>
        <w:t xml:space="preserve">), </w:t>
      </w:r>
      <w:r w:rsidRPr="00542EB9">
        <w:rPr>
          <w:rFonts w:ascii="Times New Roman" w:hAnsi="Times New Roman"/>
          <w:b/>
          <w:bCs/>
          <w:noProof/>
          <w:sz w:val="24"/>
          <w:szCs w:val="24"/>
        </w:rPr>
        <w:t>empowering stakeholders by addressing knowledge and data gaps and overcoming barriers</w:t>
      </w:r>
      <w:r w:rsidRPr="00542EB9">
        <w:rPr>
          <w:rFonts w:ascii="Times New Roman" w:hAnsi="Times New Roman"/>
          <w:noProof/>
          <w:sz w:val="24"/>
          <w:szCs w:val="24"/>
        </w:rPr>
        <w:t xml:space="preserve"> (</w:t>
      </w:r>
      <w:r w:rsidR="00CC382C" w:rsidRPr="00542EB9">
        <w:rPr>
          <w:rFonts w:ascii="Times New Roman" w:hAnsi="Times New Roman"/>
          <w:noProof/>
          <w:sz w:val="24"/>
          <w:szCs w:val="24"/>
        </w:rPr>
        <w:t>65%, 422 out of 655</w:t>
      </w:r>
      <w:r w:rsidRPr="00542EB9">
        <w:rPr>
          <w:rFonts w:ascii="Times New Roman" w:hAnsi="Times New Roman"/>
          <w:noProof/>
          <w:sz w:val="24"/>
          <w:szCs w:val="24"/>
        </w:rPr>
        <w:t xml:space="preserve">), and </w:t>
      </w:r>
      <w:r w:rsidRPr="00542EB9">
        <w:rPr>
          <w:rFonts w:ascii="Times New Roman" w:hAnsi="Times New Roman"/>
          <w:b/>
          <w:bCs/>
          <w:noProof/>
          <w:sz w:val="24"/>
          <w:szCs w:val="24"/>
        </w:rPr>
        <w:t>ensuring evidence-based and adaptive EU rulemaking and enforcement</w:t>
      </w:r>
      <w:r w:rsidRPr="00542EB9">
        <w:rPr>
          <w:rFonts w:ascii="Times New Roman" w:hAnsi="Times New Roman"/>
          <w:noProof/>
          <w:sz w:val="24"/>
          <w:szCs w:val="24"/>
        </w:rPr>
        <w:t xml:space="preserve"> (</w:t>
      </w:r>
      <w:r w:rsidR="00735D89" w:rsidRPr="00542EB9">
        <w:rPr>
          <w:rFonts w:ascii="Times New Roman" w:hAnsi="Times New Roman"/>
          <w:noProof/>
          <w:sz w:val="24"/>
          <w:szCs w:val="24"/>
        </w:rPr>
        <w:t>63%, 408 out of 649</w:t>
      </w:r>
      <w:r w:rsidRPr="00542EB9">
        <w:rPr>
          <w:rFonts w:ascii="Times New Roman" w:hAnsi="Times New Roman"/>
          <w:noProof/>
          <w:sz w:val="24"/>
          <w:szCs w:val="24"/>
        </w:rPr>
        <w:t>) – based on the combined share of respondents answering ‘To a large extent’ or ‘Somewhat’. All remaining areas received somewhat more moderate scores in comparison.</w:t>
      </w:r>
    </w:p>
    <w:p w14:paraId="52B0AE64" w14:textId="3649FDAF" w:rsidR="0024392F" w:rsidRPr="00542EB9" w:rsidRDefault="00C75A29" w:rsidP="0024392F">
      <w:pPr>
        <w:pStyle w:val="BodyText1"/>
        <w:rPr>
          <w:rFonts w:ascii="Times New Roman" w:hAnsi="Times New Roman"/>
          <w:b/>
          <w:i/>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3</w:t>
      </w:r>
      <w:r w:rsidRPr="00542EB9">
        <w:rPr>
          <w:rFonts w:ascii="Times New Roman" w:hAnsi="Times New Roman"/>
          <w:noProof/>
          <w:sz w:val="24"/>
          <w:szCs w:val="24"/>
        </w:rPr>
        <w:fldChar w:fldCharType="end"/>
      </w:r>
      <w:r w:rsidRPr="00542EB9">
        <w:rPr>
          <w:rFonts w:ascii="Times New Roman" w:hAnsi="Times New Roman"/>
          <w:b/>
          <w:noProof/>
          <w:sz w:val="24"/>
          <w:szCs w:val="24"/>
        </w:rPr>
        <w:t>. Role of the current policies</w:t>
      </w:r>
    </w:p>
    <w:p w14:paraId="1C298CE5" w14:textId="602E926C" w:rsidR="00C75A29" w:rsidRPr="00542EB9" w:rsidRDefault="005602A8" w:rsidP="511B530B">
      <w:pPr>
        <w:pStyle w:val="BodyText1"/>
        <w:rPr>
          <w:rFonts w:ascii="Times New Roman" w:hAnsi="Times New Roman"/>
          <w:i/>
          <w:iCs/>
          <w:noProof/>
          <w:sz w:val="24"/>
          <w:szCs w:val="24"/>
        </w:rPr>
      </w:pPr>
      <w:r w:rsidRPr="00542EB9">
        <w:rPr>
          <w:noProof/>
          <w:lang w:eastAsia="en-GB"/>
        </w:rPr>
        <w:drawing>
          <wp:inline distT="0" distB="0" distL="0" distR="0" wp14:anchorId="133AFFCA" wp14:editId="5973A2FA">
            <wp:extent cx="5567973" cy="3322955"/>
            <wp:effectExtent l="0" t="0" r="13970" b="10795"/>
            <wp:docPr id="140075094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C75A29" w:rsidRPr="511B530B">
        <w:rPr>
          <w:rFonts w:ascii="Times New Roman" w:hAnsi="Times New Roman"/>
          <w:i/>
          <w:iCs/>
          <w:noProof/>
          <w:sz w:val="24"/>
          <w:szCs w:val="24"/>
        </w:rPr>
        <w:t>Need for enhanced coordination and adaptability of EU-level action, rulemaking, and enforcement</w:t>
      </w:r>
    </w:p>
    <w:p w14:paraId="010EE338" w14:textId="1C52B0F9"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broadly recognised the importance of addressing issues related to EU-level rulemaking, enforcement, and coordination in the single market. Ensuring that </w:t>
      </w:r>
      <w:r w:rsidRPr="00542EB9">
        <w:rPr>
          <w:rFonts w:ascii="Times New Roman" w:hAnsi="Times New Roman"/>
          <w:b/>
          <w:bCs/>
          <w:noProof/>
          <w:sz w:val="24"/>
          <w:szCs w:val="24"/>
        </w:rPr>
        <w:t>rulemaking, standard-setting, and enforcement remained evidence-based, effective, and responsive to evolving needs</w:t>
      </w:r>
      <w:r w:rsidRPr="00542EB9">
        <w:rPr>
          <w:rFonts w:ascii="Times New Roman" w:hAnsi="Times New Roman"/>
          <w:noProof/>
          <w:sz w:val="24"/>
          <w:szCs w:val="24"/>
        </w:rPr>
        <w:t xml:space="preserve"> was considered particularly important across all stakeholder groups. This was the highest-rated challenge overall, with 9</w:t>
      </w:r>
      <w:r w:rsidR="008B1800" w:rsidRPr="00542EB9">
        <w:rPr>
          <w:rFonts w:ascii="Times New Roman" w:hAnsi="Times New Roman"/>
          <w:noProof/>
          <w:sz w:val="24"/>
          <w:szCs w:val="24"/>
        </w:rPr>
        <w:t>2</w:t>
      </w:r>
      <w:r w:rsidRPr="00542EB9">
        <w:rPr>
          <w:rFonts w:ascii="Times New Roman" w:hAnsi="Times New Roman"/>
          <w:noProof/>
          <w:sz w:val="24"/>
          <w:szCs w:val="24"/>
        </w:rPr>
        <w:t>% of respondents (</w:t>
      </w:r>
      <w:r w:rsidR="003E785D" w:rsidRPr="00542EB9">
        <w:rPr>
          <w:rFonts w:ascii="Times New Roman" w:hAnsi="Times New Roman"/>
          <w:noProof/>
          <w:sz w:val="24"/>
          <w:szCs w:val="24"/>
        </w:rPr>
        <w:t>615 out of 673</w:t>
      </w:r>
      <w:r w:rsidRPr="00542EB9">
        <w:rPr>
          <w:rFonts w:ascii="Times New Roman" w:hAnsi="Times New Roman"/>
          <w:noProof/>
          <w:sz w:val="24"/>
          <w:szCs w:val="24"/>
        </w:rPr>
        <w:t xml:space="preserve">) rating it as (very) important. </w:t>
      </w:r>
      <w:r w:rsidRPr="00542EB9">
        <w:rPr>
          <w:rFonts w:ascii="Times New Roman" w:hAnsi="Times New Roman"/>
          <w:b/>
          <w:bCs/>
          <w:noProof/>
          <w:sz w:val="24"/>
          <w:szCs w:val="24"/>
        </w:rPr>
        <w:t>Addressing regulatory fragmentation</w:t>
      </w:r>
      <w:r w:rsidRPr="00542EB9">
        <w:rPr>
          <w:rFonts w:ascii="Times New Roman" w:hAnsi="Times New Roman"/>
          <w:noProof/>
          <w:sz w:val="24"/>
          <w:szCs w:val="24"/>
        </w:rPr>
        <w:t xml:space="preserve"> (</w:t>
      </w:r>
      <w:r w:rsidR="00DC7813" w:rsidRPr="00542EB9">
        <w:rPr>
          <w:rFonts w:ascii="Times New Roman" w:hAnsi="Times New Roman"/>
          <w:noProof/>
          <w:sz w:val="24"/>
          <w:szCs w:val="24"/>
        </w:rPr>
        <w:t>82%, 543 out of 660</w:t>
      </w:r>
      <w:r w:rsidRPr="00542EB9">
        <w:rPr>
          <w:rFonts w:ascii="Times New Roman" w:hAnsi="Times New Roman"/>
          <w:noProof/>
          <w:sz w:val="24"/>
          <w:szCs w:val="24"/>
        </w:rPr>
        <w:t xml:space="preserve">) and </w:t>
      </w:r>
      <w:r w:rsidRPr="00542EB9">
        <w:rPr>
          <w:rFonts w:ascii="Times New Roman" w:hAnsi="Times New Roman"/>
          <w:b/>
          <w:bCs/>
          <w:noProof/>
          <w:sz w:val="24"/>
          <w:szCs w:val="24"/>
        </w:rPr>
        <w:t>addressing differences in the interpretation of EU law</w:t>
      </w:r>
      <w:r w:rsidRPr="00542EB9">
        <w:rPr>
          <w:rFonts w:ascii="Times New Roman" w:hAnsi="Times New Roman"/>
          <w:noProof/>
          <w:sz w:val="24"/>
          <w:szCs w:val="24"/>
        </w:rPr>
        <w:t xml:space="preserve"> (</w:t>
      </w:r>
      <w:r w:rsidR="0072744D" w:rsidRPr="00542EB9">
        <w:rPr>
          <w:rFonts w:ascii="Times New Roman" w:hAnsi="Times New Roman"/>
          <w:noProof/>
          <w:sz w:val="24"/>
          <w:szCs w:val="24"/>
        </w:rPr>
        <w:t>80%, 521 out of 651</w:t>
      </w:r>
      <w:r w:rsidRPr="00542EB9">
        <w:rPr>
          <w:rFonts w:ascii="Times New Roman" w:hAnsi="Times New Roman"/>
          <w:noProof/>
          <w:sz w:val="24"/>
          <w:szCs w:val="24"/>
        </w:rPr>
        <w:t>) also received strong levels of support. Both areas were seen as particularly important by member state authorities (</w:t>
      </w:r>
      <w:r w:rsidR="00F444FD" w:rsidRPr="00542EB9">
        <w:rPr>
          <w:rFonts w:ascii="Times New Roman" w:hAnsi="Times New Roman"/>
          <w:noProof/>
          <w:sz w:val="24"/>
          <w:szCs w:val="24"/>
        </w:rPr>
        <w:t>92% and 87% respectively, N=94</w:t>
      </w:r>
      <w:r w:rsidRPr="00542EB9">
        <w:rPr>
          <w:rFonts w:ascii="Times New Roman" w:hAnsi="Times New Roman"/>
          <w:noProof/>
          <w:sz w:val="24"/>
          <w:szCs w:val="24"/>
        </w:rPr>
        <w:t>).</w:t>
      </w:r>
    </w:p>
    <w:p w14:paraId="4250426B" w14:textId="41904EC6"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Respondents’ views were more mixed when asked whether current policies sufficiently addressed these challenges. For instance, while 6</w:t>
      </w:r>
      <w:r w:rsidR="00F444FD" w:rsidRPr="00542EB9">
        <w:rPr>
          <w:rFonts w:ascii="Times New Roman" w:hAnsi="Times New Roman"/>
          <w:noProof/>
          <w:sz w:val="24"/>
          <w:szCs w:val="24"/>
        </w:rPr>
        <w:t>3</w:t>
      </w:r>
      <w:r w:rsidRPr="00542EB9">
        <w:rPr>
          <w:rFonts w:ascii="Times New Roman" w:hAnsi="Times New Roman"/>
          <w:noProof/>
          <w:sz w:val="24"/>
          <w:szCs w:val="24"/>
        </w:rPr>
        <w:t>% of respondents (</w:t>
      </w:r>
      <w:r w:rsidR="009100E6" w:rsidRPr="00542EB9">
        <w:rPr>
          <w:rFonts w:ascii="Times New Roman" w:hAnsi="Times New Roman"/>
          <w:noProof/>
          <w:sz w:val="24"/>
          <w:szCs w:val="24"/>
        </w:rPr>
        <w:t>408 out of 649</w:t>
      </w:r>
      <w:r w:rsidRPr="00542EB9">
        <w:rPr>
          <w:rFonts w:ascii="Times New Roman" w:hAnsi="Times New Roman"/>
          <w:noProof/>
          <w:sz w:val="24"/>
          <w:szCs w:val="24"/>
        </w:rPr>
        <w:t xml:space="preserve">) felt that current policies addressed the challenge of ensuring evidence-based, effective, and adaptive rulemaking to some or a large extent, </w:t>
      </w:r>
      <w:r w:rsidR="009337B2" w:rsidRPr="00542EB9">
        <w:rPr>
          <w:rFonts w:ascii="Times New Roman" w:hAnsi="Times New Roman"/>
          <w:noProof/>
          <w:sz w:val="24"/>
          <w:szCs w:val="24"/>
        </w:rPr>
        <w:t xml:space="preserve">41% (264 out of 644) </w:t>
      </w:r>
      <w:r w:rsidRPr="00542EB9">
        <w:rPr>
          <w:rFonts w:ascii="Times New Roman" w:hAnsi="Times New Roman"/>
          <w:noProof/>
          <w:sz w:val="24"/>
          <w:szCs w:val="24"/>
        </w:rPr>
        <w:t>believed that existing policies adequately addressed differences in the interpretation of EU law.</w:t>
      </w:r>
      <w:r w:rsidR="00532142" w:rsidRPr="00542EB9">
        <w:rPr>
          <w:rFonts w:ascii="Times New Roman" w:hAnsi="Times New Roman"/>
          <w:noProof/>
          <w:sz w:val="24"/>
          <w:szCs w:val="24"/>
        </w:rPr>
        <w:t xml:space="preserve"> </w:t>
      </w:r>
      <w:r w:rsidRPr="00542EB9">
        <w:rPr>
          <w:rFonts w:ascii="Times New Roman" w:hAnsi="Times New Roman"/>
          <w:noProof/>
          <w:sz w:val="24"/>
          <w:szCs w:val="24"/>
        </w:rPr>
        <w:t xml:space="preserve">Open-text responses and position </w:t>
      </w:r>
      <w:r w:rsidRPr="00581B34">
        <w:rPr>
          <w:rFonts w:ascii="Times New Roman" w:hAnsi="Times New Roman"/>
          <w:noProof/>
          <w:sz w:val="24"/>
          <w:szCs w:val="24"/>
        </w:rPr>
        <w:t xml:space="preserve">papers linked to this issue area frequently highlighted </w:t>
      </w:r>
      <w:r w:rsidRPr="00581B34">
        <w:rPr>
          <w:rFonts w:ascii="Times New Roman" w:hAnsi="Times New Roman"/>
          <w:b/>
          <w:bCs/>
          <w:noProof/>
          <w:sz w:val="24"/>
          <w:szCs w:val="24"/>
        </w:rPr>
        <w:t>fragmentation in EU rulemaking and enforcement</w:t>
      </w:r>
      <w:r w:rsidRPr="00581B34">
        <w:rPr>
          <w:rFonts w:ascii="Times New Roman" w:hAnsi="Times New Roman"/>
          <w:noProof/>
          <w:sz w:val="24"/>
          <w:szCs w:val="24"/>
        </w:rPr>
        <w:t xml:space="preserve"> as a barrier to a well-functioning single market. Contributions pointed to divergent national regulations, uneven implementation, and limited EU-level oversight as key challenges. </w:t>
      </w:r>
      <w:r w:rsidRPr="00581B34">
        <w:rPr>
          <w:rFonts w:ascii="Times New Roman" w:hAnsi="Times New Roman"/>
          <w:b/>
          <w:bCs/>
          <w:noProof/>
          <w:sz w:val="24"/>
          <w:szCs w:val="24"/>
        </w:rPr>
        <w:t>Harmonisation of standards</w:t>
      </w:r>
      <w:r w:rsidRPr="00581B34">
        <w:rPr>
          <w:rFonts w:ascii="Times New Roman" w:hAnsi="Times New Roman"/>
          <w:noProof/>
          <w:sz w:val="24"/>
          <w:szCs w:val="24"/>
        </w:rPr>
        <w:t>, particularly in sustainability reporting, digital regulation, and energy, was frequently mentioned</w:t>
      </w:r>
      <w:r w:rsidR="00804EA4" w:rsidRPr="00581B34">
        <w:rPr>
          <w:rFonts w:ascii="Times New Roman" w:hAnsi="Times New Roman"/>
          <w:noProof/>
          <w:sz w:val="24"/>
          <w:szCs w:val="24"/>
        </w:rPr>
        <w:t xml:space="preserve"> among respondents representing standard-setting or regulatory bodies, who underlined the role of relevant EU-level bodies for fostering consistency and enhancing accountability across the single market. </w:t>
      </w:r>
      <w:r w:rsidRPr="00581B34">
        <w:rPr>
          <w:rFonts w:ascii="Times New Roman" w:hAnsi="Times New Roman"/>
          <w:noProof/>
          <w:sz w:val="24"/>
          <w:szCs w:val="24"/>
        </w:rPr>
        <w:t xml:space="preserve">Some respondents also stressed the need for more </w:t>
      </w:r>
      <w:r w:rsidRPr="00581B34">
        <w:rPr>
          <w:rFonts w:ascii="Times New Roman" w:hAnsi="Times New Roman"/>
          <w:b/>
          <w:bCs/>
          <w:noProof/>
          <w:sz w:val="24"/>
          <w:szCs w:val="24"/>
        </w:rPr>
        <w:t>responsive, transparent, and streamlined EU decision-making</w:t>
      </w:r>
      <w:r w:rsidRPr="00542EB9">
        <w:rPr>
          <w:rFonts w:ascii="Times New Roman" w:hAnsi="Times New Roman"/>
          <w:noProof/>
          <w:sz w:val="24"/>
          <w:szCs w:val="24"/>
        </w:rPr>
        <w:t>, particularly in areas involving cross-border coordination or new challenges.</w:t>
      </w:r>
      <w:r w:rsidR="00BE38D6" w:rsidRPr="00542EB9">
        <w:rPr>
          <w:rFonts w:ascii="Times New Roman" w:hAnsi="Times New Roman"/>
          <w:noProof/>
          <w:sz w:val="24"/>
          <w:szCs w:val="24"/>
        </w:rPr>
        <w:t xml:space="preserve"> Others pointed to a growing complexity in regulatory obligations as a barrier for businesses, calling for clearer guidance, more stable rules, and greater coherence in interpretation across member states.</w:t>
      </w:r>
    </w:p>
    <w:p w14:paraId="1C10E957" w14:textId="77777777" w:rsidR="00C75A29" w:rsidRPr="00542EB9" w:rsidRDefault="00C75A29" w:rsidP="00C75A29">
      <w:pPr>
        <w:pStyle w:val="BodyText1"/>
        <w:rPr>
          <w:rFonts w:ascii="Times New Roman" w:hAnsi="Times New Roman"/>
          <w:i/>
          <w:noProof/>
          <w:sz w:val="24"/>
          <w:szCs w:val="24"/>
        </w:rPr>
      </w:pPr>
      <w:r w:rsidRPr="00542EB9">
        <w:rPr>
          <w:rFonts w:ascii="Times New Roman" w:hAnsi="Times New Roman"/>
          <w:i/>
          <w:noProof/>
          <w:sz w:val="24"/>
          <w:szCs w:val="24"/>
        </w:rPr>
        <w:t>Knowledge and data gaps</w:t>
      </w:r>
    </w:p>
    <w:p w14:paraId="1233735D" w14:textId="550A1D7D"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Empowering national authorities, citizens, consumers, and businesses by addressing knowledge and data gaps and overcoming barriers</w:t>
      </w:r>
      <w:r w:rsidRPr="00542EB9">
        <w:rPr>
          <w:rFonts w:ascii="Times New Roman" w:hAnsi="Times New Roman"/>
          <w:noProof/>
          <w:sz w:val="24"/>
          <w:szCs w:val="24"/>
        </w:rPr>
        <w:t xml:space="preserve"> was widely recognised among respondents, with 8</w:t>
      </w:r>
      <w:r w:rsidR="00845B1A" w:rsidRPr="00542EB9">
        <w:rPr>
          <w:rFonts w:ascii="Times New Roman" w:hAnsi="Times New Roman"/>
          <w:noProof/>
          <w:sz w:val="24"/>
          <w:szCs w:val="24"/>
        </w:rPr>
        <w:t>1</w:t>
      </w:r>
      <w:r w:rsidRPr="00542EB9">
        <w:rPr>
          <w:rFonts w:ascii="Times New Roman" w:hAnsi="Times New Roman"/>
          <w:noProof/>
          <w:sz w:val="24"/>
          <w:szCs w:val="24"/>
        </w:rPr>
        <w:t>% rating this issue as (very) important (</w:t>
      </w:r>
      <w:r w:rsidR="00AF6B1A" w:rsidRPr="00542EB9">
        <w:rPr>
          <w:rFonts w:ascii="Times New Roman" w:hAnsi="Times New Roman"/>
          <w:noProof/>
          <w:sz w:val="24"/>
          <w:szCs w:val="24"/>
        </w:rPr>
        <w:t>537 out of 667</w:t>
      </w:r>
      <w:r w:rsidRPr="00542EB9">
        <w:rPr>
          <w:rFonts w:ascii="Times New Roman" w:hAnsi="Times New Roman"/>
          <w:noProof/>
          <w:sz w:val="24"/>
          <w:szCs w:val="24"/>
        </w:rPr>
        <w:t>). Academic institutions (</w:t>
      </w:r>
      <w:r w:rsidR="00257E5D" w:rsidRPr="00542EB9">
        <w:rPr>
          <w:rFonts w:ascii="Times New Roman" w:hAnsi="Times New Roman"/>
          <w:noProof/>
          <w:sz w:val="24"/>
          <w:szCs w:val="24"/>
        </w:rPr>
        <w:t>90%, 51 out of 57</w:t>
      </w:r>
      <w:r w:rsidRPr="00542EB9">
        <w:rPr>
          <w:rFonts w:ascii="Times New Roman" w:hAnsi="Times New Roman"/>
          <w:noProof/>
          <w:sz w:val="24"/>
          <w:szCs w:val="24"/>
        </w:rPr>
        <w:t>) and member state authorities (</w:t>
      </w:r>
      <w:r w:rsidR="00A44BF4" w:rsidRPr="00542EB9">
        <w:rPr>
          <w:rFonts w:ascii="Times New Roman" w:hAnsi="Times New Roman"/>
          <w:noProof/>
          <w:sz w:val="24"/>
          <w:szCs w:val="24"/>
        </w:rPr>
        <w:t>85%, 81 out of 95</w:t>
      </w:r>
      <w:r w:rsidRPr="00542EB9">
        <w:rPr>
          <w:rFonts w:ascii="Times New Roman" w:hAnsi="Times New Roman"/>
          <w:noProof/>
          <w:sz w:val="24"/>
          <w:szCs w:val="24"/>
        </w:rPr>
        <w:t>) considered it especially relevant. At the same time, 63% of respondents (316 out of 501) felt that current EU policies addressed the challenge somewhat or to a large extent, suggesting comparatively higher satisfaction with existing efforts in this area than for other issues.</w:t>
      </w:r>
    </w:p>
    <w:p w14:paraId="5ADD8263" w14:textId="001A3269"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In open-text responses and position papers, respondents frequently emphasised the </w:t>
      </w:r>
      <w:r w:rsidRPr="00542EB9">
        <w:rPr>
          <w:rFonts w:ascii="Times New Roman" w:hAnsi="Times New Roman"/>
          <w:b/>
          <w:bCs/>
          <w:noProof/>
          <w:sz w:val="24"/>
          <w:szCs w:val="24"/>
        </w:rPr>
        <w:t xml:space="preserve">importance of reliable data, transparent reporting, and enhanced knowledge-sharing </w:t>
      </w:r>
      <w:r w:rsidRPr="00542EB9">
        <w:rPr>
          <w:rFonts w:ascii="Times New Roman" w:hAnsi="Times New Roman"/>
          <w:noProof/>
          <w:sz w:val="24"/>
          <w:szCs w:val="24"/>
        </w:rPr>
        <w:t xml:space="preserve">as key enablers of evidence-based policymaking and a well-functioning single market. Public authorities in particular frequently highlighted the need to </w:t>
      </w:r>
      <w:r w:rsidRPr="00542EB9">
        <w:rPr>
          <w:rFonts w:ascii="Times New Roman" w:hAnsi="Times New Roman"/>
          <w:b/>
          <w:bCs/>
          <w:noProof/>
          <w:sz w:val="24"/>
          <w:szCs w:val="24"/>
        </w:rPr>
        <w:t>strengthen EU-wide data infrastructures</w:t>
      </w:r>
      <w:r w:rsidRPr="00542EB9">
        <w:rPr>
          <w:rFonts w:ascii="Times New Roman" w:hAnsi="Times New Roman"/>
          <w:noProof/>
          <w:sz w:val="24"/>
          <w:szCs w:val="24"/>
        </w:rPr>
        <w:t xml:space="preserve">, improve information accessibility for consumers and SMEs, and support national statistical and data governance capacities. </w:t>
      </w:r>
      <w:r w:rsidR="008236C7" w:rsidRPr="00542EB9">
        <w:rPr>
          <w:rFonts w:ascii="Times New Roman" w:hAnsi="Times New Roman"/>
          <w:noProof/>
          <w:sz w:val="24"/>
          <w:szCs w:val="24"/>
        </w:rPr>
        <w:t xml:space="preserve">. In this context, several respondents from public authorities underlined the need for </w:t>
      </w:r>
      <w:r w:rsidR="008236C7" w:rsidRPr="00542EB9">
        <w:rPr>
          <w:rFonts w:ascii="Times New Roman" w:hAnsi="Times New Roman"/>
          <w:b/>
          <w:bCs/>
          <w:noProof/>
          <w:sz w:val="24"/>
          <w:szCs w:val="24"/>
        </w:rPr>
        <w:t>flexible and forward-looking statistical capacity</w:t>
      </w:r>
      <w:r w:rsidR="008236C7" w:rsidRPr="00542EB9">
        <w:rPr>
          <w:rFonts w:ascii="Times New Roman" w:hAnsi="Times New Roman"/>
          <w:noProof/>
          <w:sz w:val="24"/>
          <w:szCs w:val="24"/>
        </w:rPr>
        <w:t xml:space="preserve">, particularly to respond to emerging challenges like AI, digitalisation and sustainability, demographic shifts, and geopolitical instability. </w:t>
      </w:r>
      <w:r w:rsidRPr="00542EB9">
        <w:rPr>
          <w:rFonts w:ascii="Times New Roman" w:hAnsi="Times New Roman"/>
          <w:noProof/>
          <w:sz w:val="24"/>
          <w:szCs w:val="24"/>
        </w:rPr>
        <w:t xml:space="preserve">Others emphasised that timely, accessible, and comparable information is essential to support effective monitoring, reduce regional disparities, and guide structural reforms. </w:t>
      </w:r>
      <w:r w:rsidR="00C15200" w:rsidRPr="00542EB9">
        <w:rPr>
          <w:rFonts w:ascii="Times New Roman" w:hAnsi="Times New Roman"/>
          <w:noProof/>
          <w:sz w:val="24"/>
          <w:szCs w:val="24"/>
        </w:rPr>
        <w:t xml:space="preserve">Some respondents also advocated for </w:t>
      </w:r>
      <w:r w:rsidR="00C15200" w:rsidRPr="00542EB9">
        <w:rPr>
          <w:rFonts w:ascii="Times New Roman" w:hAnsi="Times New Roman"/>
          <w:b/>
          <w:bCs/>
          <w:noProof/>
          <w:sz w:val="24"/>
          <w:szCs w:val="24"/>
        </w:rPr>
        <w:t>more accessible, citizen-oriented public reporting formats</w:t>
      </w:r>
      <w:r w:rsidR="00C15200" w:rsidRPr="00542EB9">
        <w:rPr>
          <w:rFonts w:ascii="Times New Roman" w:hAnsi="Times New Roman"/>
          <w:noProof/>
          <w:sz w:val="24"/>
          <w:szCs w:val="24"/>
        </w:rPr>
        <w:t xml:space="preserve"> to enhance accountability, while others pointed to the need for </w:t>
      </w:r>
      <w:r w:rsidR="00C15200" w:rsidRPr="00542EB9">
        <w:rPr>
          <w:rFonts w:ascii="Times New Roman" w:hAnsi="Times New Roman"/>
          <w:b/>
          <w:bCs/>
          <w:noProof/>
          <w:sz w:val="24"/>
          <w:szCs w:val="24"/>
        </w:rPr>
        <w:t>interoperable data infrastructures</w:t>
      </w:r>
      <w:r w:rsidR="00C15200" w:rsidRPr="00542EB9">
        <w:rPr>
          <w:rFonts w:ascii="Times New Roman" w:hAnsi="Times New Roman"/>
          <w:noProof/>
          <w:sz w:val="24"/>
          <w:szCs w:val="24"/>
        </w:rPr>
        <w:t xml:space="preserve"> to better support cross-sectoral innovation and policymaking.</w:t>
      </w:r>
    </w:p>
    <w:p w14:paraId="35895060" w14:textId="77777777" w:rsidR="00C75A29" w:rsidRPr="00542EB9" w:rsidRDefault="00C75A29" w:rsidP="00C75A29">
      <w:pPr>
        <w:pStyle w:val="BodyText1"/>
        <w:rPr>
          <w:rFonts w:ascii="Times New Roman" w:hAnsi="Times New Roman"/>
          <w:i/>
          <w:noProof/>
          <w:sz w:val="24"/>
          <w:szCs w:val="24"/>
        </w:rPr>
      </w:pPr>
      <w:r w:rsidRPr="00542EB9">
        <w:rPr>
          <w:rFonts w:ascii="Times New Roman" w:hAnsi="Times New Roman"/>
          <w:i/>
          <w:noProof/>
          <w:sz w:val="24"/>
          <w:szCs w:val="24"/>
        </w:rPr>
        <w:t>Capacity gaps in national administrations</w:t>
      </w:r>
    </w:p>
    <w:p w14:paraId="6FDD52DB" w14:textId="727A1B3D"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Challenges related to capacity gaps in national administrations were viewed as moderately important relative to other issues. </w:t>
      </w:r>
      <w:r w:rsidRPr="00542EB9">
        <w:rPr>
          <w:rFonts w:ascii="Times New Roman" w:hAnsi="Times New Roman"/>
          <w:b/>
          <w:bCs/>
          <w:noProof/>
          <w:sz w:val="24"/>
          <w:szCs w:val="24"/>
        </w:rPr>
        <w:t>Optimising technical and administrative capacities</w:t>
      </w:r>
      <w:r w:rsidRPr="00542EB9">
        <w:rPr>
          <w:rFonts w:ascii="Times New Roman" w:hAnsi="Times New Roman"/>
          <w:noProof/>
          <w:sz w:val="24"/>
          <w:szCs w:val="24"/>
        </w:rPr>
        <w:t xml:space="preserve"> to ensure a level playing field was rated as (very) important by 7</w:t>
      </w:r>
      <w:r w:rsidR="003E7613" w:rsidRPr="00542EB9">
        <w:rPr>
          <w:rFonts w:ascii="Times New Roman" w:hAnsi="Times New Roman"/>
          <w:noProof/>
          <w:sz w:val="24"/>
          <w:szCs w:val="24"/>
        </w:rPr>
        <w:t>7</w:t>
      </w:r>
      <w:r w:rsidRPr="00542EB9">
        <w:rPr>
          <w:rFonts w:ascii="Times New Roman" w:hAnsi="Times New Roman"/>
          <w:noProof/>
          <w:sz w:val="24"/>
          <w:szCs w:val="24"/>
        </w:rPr>
        <w:t>% (</w:t>
      </w:r>
      <w:r w:rsidR="00421BA3" w:rsidRPr="00542EB9">
        <w:rPr>
          <w:rFonts w:ascii="Times New Roman" w:hAnsi="Times New Roman"/>
          <w:noProof/>
          <w:sz w:val="24"/>
          <w:szCs w:val="24"/>
        </w:rPr>
        <w:t>508 out of 663</w:t>
      </w:r>
      <w:r w:rsidRPr="00542EB9">
        <w:rPr>
          <w:rFonts w:ascii="Times New Roman" w:hAnsi="Times New Roman"/>
          <w:noProof/>
          <w:sz w:val="24"/>
          <w:szCs w:val="24"/>
        </w:rPr>
        <w:t>) of respondents, while 7</w:t>
      </w:r>
      <w:r w:rsidR="00421BA3" w:rsidRPr="00542EB9">
        <w:rPr>
          <w:rFonts w:ascii="Times New Roman" w:hAnsi="Times New Roman"/>
          <w:noProof/>
          <w:sz w:val="24"/>
          <w:szCs w:val="24"/>
        </w:rPr>
        <w:t>0</w:t>
      </w:r>
      <w:r w:rsidRPr="00542EB9">
        <w:rPr>
          <w:rFonts w:ascii="Times New Roman" w:hAnsi="Times New Roman"/>
          <w:noProof/>
          <w:sz w:val="24"/>
          <w:szCs w:val="24"/>
        </w:rPr>
        <w:t>% (</w:t>
      </w:r>
      <w:r w:rsidR="00575A0E" w:rsidRPr="00542EB9">
        <w:rPr>
          <w:rFonts w:ascii="Times New Roman" w:hAnsi="Times New Roman"/>
          <w:noProof/>
          <w:sz w:val="24"/>
          <w:szCs w:val="24"/>
        </w:rPr>
        <w:t>456 out of 651</w:t>
      </w:r>
      <w:r w:rsidRPr="00542EB9">
        <w:rPr>
          <w:rFonts w:ascii="Times New Roman" w:hAnsi="Times New Roman"/>
          <w:noProof/>
          <w:sz w:val="24"/>
          <w:szCs w:val="24"/>
        </w:rPr>
        <w:t xml:space="preserve">) identified </w:t>
      </w:r>
      <w:r w:rsidRPr="00542EB9">
        <w:rPr>
          <w:rFonts w:ascii="Times New Roman" w:hAnsi="Times New Roman"/>
          <w:b/>
          <w:bCs/>
          <w:noProof/>
          <w:sz w:val="24"/>
          <w:szCs w:val="24"/>
        </w:rPr>
        <w:t>disparities in the digitalisation of public administration</w:t>
      </w:r>
      <w:r w:rsidRPr="00542EB9">
        <w:rPr>
          <w:rFonts w:ascii="Times New Roman" w:hAnsi="Times New Roman"/>
          <w:noProof/>
          <w:sz w:val="24"/>
          <w:szCs w:val="24"/>
        </w:rPr>
        <w:t xml:space="preserve"> as a (very) important challenge. Member state authorities placed greater emphasis on both issues than other stakeholders – </w:t>
      </w:r>
      <w:r w:rsidR="003E3B76" w:rsidRPr="00542EB9">
        <w:rPr>
          <w:rFonts w:ascii="Times New Roman" w:hAnsi="Times New Roman"/>
          <w:noProof/>
          <w:sz w:val="24"/>
          <w:szCs w:val="24"/>
        </w:rPr>
        <w:t>79% (75 out of 95</w:t>
      </w:r>
      <w:r w:rsidRPr="00542EB9">
        <w:rPr>
          <w:rFonts w:ascii="Times New Roman" w:hAnsi="Times New Roman"/>
          <w:noProof/>
          <w:sz w:val="24"/>
          <w:szCs w:val="24"/>
        </w:rPr>
        <w:t xml:space="preserve">) rated optimising capacities and </w:t>
      </w:r>
      <w:r w:rsidR="0083166A" w:rsidRPr="00542EB9">
        <w:rPr>
          <w:rFonts w:ascii="Times New Roman" w:hAnsi="Times New Roman"/>
          <w:noProof/>
          <w:sz w:val="24"/>
          <w:szCs w:val="24"/>
        </w:rPr>
        <w:t>82% (76 out of 93</w:t>
      </w:r>
      <w:r w:rsidRPr="00542EB9">
        <w:rPr>
          <w:rFonts w:ascii="Times New Roman" w:hAnsi="Times New Roman"/>
          <w:noProof/>
          <w:sz w:val="24"/>
          <w:szCs w:val="24"/>
        </w:rPr>
        <w:t>) rated digitalisation gaps as (very) important.</w:t>
      </w:r>
    </w:p>
    <w:p w14:paraId="7EDFF45E" w14:textId="67045746"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expressed comparatively lower confidence in the effectiveness of current policies in this area. Only </w:t>
      </w:r>
      <w:r w:rsidR="00A9701A" w:rsidRPr="00542EB9">
        <w:rPr>
          <w:rFonts w:ascii="Times New Roman" w:hAnsi="Times New Roman"/>
          <w:noProof/>
          <w:sz w:val="24"/>
          <w:szCs w:val="24"/>
        </w:rPr>
        <w:t>41% (261 out of 636</w:t>
      </w:r>
      <w:r w:rsidRPr="00542EB9">
        <w:rPr>
          <w:rFonts w:ascii="Times New Roman" w:hAnsi="Times New Roman"/>
          <w:noProof/>
          <w:sz w:val="24"/>
          <w:szCs w:val="24"/>
        </w:rPr>
        <w:t xml:space="preserve">) felt that efforts to optimise administrative capacities across member states were effective to some or a large extent, while </w:t>
      </w:r>
      <w:r w:rsidR="00BC5849" w:rsidRPr="00542EB9">
        <w:rPr>
          <w:rFonts w:ascii="Times New Roman" w:hAnsi="Times New Roman"/>
          <w:noProof/>
          <w:sz w:val="24"/>
          <w:szCs w:val="24"/>
        </w:rPr>
        <w:t>48% (308 out of 642</w:t>
      </w:r>
      <w:r w:rsidRPr="00542EB9">
        <w:rPr>
          <w:rFonts w:ascii="Times New Roman" w:hAnsi="Times New Roman"/>
          <w:noProof/>
          <w:sz w:val="24"/>
          <w:szCs w:val="24"/>
        </w:rPr>
        <w:t>) said the same for policies addressing a fragmented and complex digital environment. While only few respondents commented on this area in open-text responses or position papers, those that did noted the importance of improving administrative and technical capacities – particularly at local and regional level – to ensure effective implementation of EU rules and manage funding processes more efficiently.</w:t>
      </w:r>
    </w:p>
    <w:p w14:paraId="2E4FCE98" w14:textId="3BB99A4A"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To explore </w:t>
      </w:r>
      <w:r w:rsidRPr="00542EB9">
        <w:rPr>
          <w:rFonts w:ascii="Times New Roman" w:hAnsi="Times New Roman"/>
          <w:b/>
          <w:bCs/>
          <w:noProof/>
          <w:sz w:val="24"/>
          <w:szCs w:val="24"/>
        </w:rPr>
        <w:t>potential solutions</w:t>
      </w:r>
      <w:r w:rsidRPr="00542EB9">
        <w:rPr>
          <w:rFonts w:ascii="Times New Roman" w:hAnsi="Times New Roman"/>
          <w:noProof/>
          <w:sz w:val="24"/>
          <w:szCs w:val="24"/>
        </w:rPr>
        <w:t>, respondents were asked to rank the three most important aspects of providing support to improve the administrative and institutional capacity of national authorities in member states (see figure below). The most frequently prioritised aspects were</w:t>
      </w:r>
      <w:r w:rsidRPr="00542EB9">
        <w:rPr>
          <w:rFonts w:ascii="Times New Roman" w:hAnsi="Times New Roman"/>
          <w:b/>
          <w:bCs/>
          <w:noProof/>
          <w:sz w:val="24"/>
          <w:szCs w:val="24"/>
        </w:rPr>
        <w:t xml:space="preserve"> predictability of programming associated with investments financed by the EU</w:t>
      </w:r>
      <w:r w:rsidRPr="00542EB9">
        <w:rPr>
          <w:rFonts w:ascii="Times New Roman" w:hAnsi="Times New Roman"/>
          <w:noProof/>
          <w:sz w:val="24"/>
          <w:szCs w:val="24"/>
        </w:rPr>
        <w:t xml:space="preserve"> and </w:t>
      </w:r>
      <w:r w:rsidRPr="00542EB9">
        <w:rPr>
          <w:rFonts w:ascii="Times New Roman" w:hAnsi="Times New Roman"/>
          <w:b/>
          <w:bCs/>
          <w:noProof/>
          <w:sz w:val="24"/>
          <w:szCs w:val="24"/>
        </w:rPr>
        <w:t>focus on key EU priorities where they bring more EU added value</w:t>
      </w:r>
      <w:r w:rsidRPr="00542EB9">
        <w:rPr>
          <w:rFonts w:ascii="Times New Roman" w:hAnsi="Times New Roman"/>
          <w:noProof/>
          <w:sz w:val="24"/>
          <w:szCs w:val="24"/>
        </w:rPr>
        <w:t>.</w:t>
      </w:r>
    </w:p>
    <w:p w14:paraId="46B563CD" w14:textId="5A60CD5E"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Sustainability of actions over time</w:t>
      </w:r>
      <w:r w:rsidRPr="00542EB9">
        <w:rPr>
          <w:rFonts w:ascii="Times New Roman" w:hAnsi="Times New Roman"/>
          <w:noProof/>
          <w:sz w:val="24"/>
          <w:szCs w:val="24"/>
        </w:rPr>
        <w:t xml:space="preserve"> and </w:t>
      </w:r>
      <w:r w:rsidRPr="00542EB9">
        <w:rPr>
          <w:rFonts w:ascii="Times New Roman" w:hAnsi="Times New Roman"/>
          <w:b/>
          <w:bCs/>
          <w:noProof/>
          <w:sz w:val="24"/>
          <w:szCs w:val="24"/>
        </w:rPr>
        <w:t>flexibility to address a variety of needs</w:t>
      </w:r>
      <w:r w:rsidRPr="00542EB9">
        <w:rPr>
          <w:rFonts w:ascii="Times New Roman" w:hAnsi="Times New Roman"/>
          <w:noProof/>
          <w:sz w:val="24"/>
          <w:szCs w:val="24"/>
        </w:rPr>
        <w:t xml:space="preserve"> received moderate support, </w:t>
      </w:r>
      <w:r w:rsidR="000868F1" w:rsidRPr="00542EB9">
        <w:rPr>
          <w:rFonts w:ascii="Times New Roman" w:hAnsi="Times New Roman"/>
          <w:noProof/>
          <w:sz w:val="24"/>
          <w:szCs w:val="24"/>
        </w:rPr>
        <w:t>while assisting member states in identifying areas where technical support would be more impactful and</w:t>
      </w:r>
      <w:r w:rsidR="000868F1" w:rsidRPr="00542EB9" w:rsidDel="000868F1">
        <w:rPr>
          <w:rFonts w:ascii="Times New Roman" w:hAnsi="Times New Roman"/>
          <w:noProof/>
          <w:sz w:val="24"/>
          <w:szCs w:val="24"/>
        </w:rPr>
        <w:t xml:space="preserve"> </w:t>
      </w:r>
      <w:r w:rsidRPr="00542EB9">
        <w:rPr>
          <w:rFonts w:ascii="Times New Roman" w:hAnsi="Times New Roman"/>
          <w:noProof/>
          <w:sz w:val="24"/>
          <w:szCs w:val="24"/>
        </w:rPr>
        <w:t>the possibility to support a wide variety of beneficiaries in public administrations at different levels was consistently ranked lowest across all stakeholder groups.</w:t>
      </w:r>
    </w:p>
    <w:p w14:paraId="5C34BA42" w14:textId="21DD3A7C" w:rsidR="00E71FB8" w:rsidRPr="00542EB9" w:rsidRDefault="00C75A29" w:rsidP="00E71FB8">
      <w:pPr>
        <w:pStyle w:val="BodyText1"/>
        <w:rPr>
          <w:rFonts w:ascii="Times New Roman" w:hAnsi="Times New Roman"/>
          <w:b/>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4</w:t>
      </w:r>
      <w:r w:rsidRPr="00542EB9">
        <w:rPr>
          <w:rFonts w:ascii="Times New Roman" w:hAnsi="Times New Roman"/>
          <w:noProof/>
          <w:sz w:val="24"/>
          <w:szCs w:val="24"/>
        </w:rPr>
        <w:fldChar w:fldCharType="end"/>
      </w:r>
      <w:r w:rsidRPr="00542EB9">
        <w:rPr>
          <w:rFonts w:ascii="Times New Roman" w:hAnsi="Times New Roman"/>
          <w:b/>
          <w:noProof/>
          <w:sz w:val="24"/>
          <w:szCs w:val="24"/>
        </w:rPr>
        <w:t>. Ranking of key aspects for improving administrative and institutional capacity in Member States (based on overall score)</w:t>
      </w:r>
    </w:p>
    <w:p w14:paraId="6B9C51F1" w14:textId="405C989B" w:rsidR="00E71FB8" w:rsidRPr="00542EB9" w:rsidRDefault="0064664B" w:rsidP="511B530B">
      <w:pPr>
        <w:pStyle w:val="BodyText1"/>
        <w:rPr>
          <w:rFonts w:ascii="Times New Roman" w:hAnsi="Times New Roman"/>
          <w:i/>
          <w:iCs/>
          <w:noProof/>
          <w:sz w:val="24"/>
          <w:szCs w:val="24"/>
        </w:rPr>
      </w:pPr>
      <w:r w:rsidRPr="00542EB9">
        <w:rPr>
          <w:noProof/>
          <w:lang w:eastAsia="en-GB"/>
        </w:rPr>
        <w:drawing>
          <wp:inline distT="0" distB="0" distL="0" distR="0" wp14:anchorId="3B573AEA" wp14:editId="1C7BFD39">
            <wp:extent cx="5486400" cy="2766695"/>
            <wp:effectExtent l="0" t="0" r="0" b="14605"/>
            <wp:docPr id="73944210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E71FB8" w:rsidRPr="511B530B">
        <w:rPr>
          <w:rFonts w:ascii="Times New Roman" w:hAnsi="Times New Roman"/>
          <w:i/>
          <w:iCs/>
          <w:noProof/>
          <w:sz w:val="24"/>
          <w:szCs w:val="24"/>
        </w:rPr>
        <w:t>Note: Based on Question 9: ‘In your opinion, which of the following aspects is the most important in providing support to improve the administrative and institutional capacity of national authorities in Member States? Please rank the three preferred options:’ (N=435). Scores were calculated using a weighted ranking method.</w:t>
      </w:r>
    </w:p>
    <w:p w14:paraId="0749551E" w14:textId="77777777" w:rsidR="00C75A29" w:rsidRPr="00542EB9" w:rsidRDefault="00C75A29" w:rsidP="00E71FB8">
      <w:pPr>
        <w:pStyle w:val="BodyText1"/>
        <w:rPr>
          <w:rFonts w:ascii="Times New Roman" w:hAnsi="Times New Roman"/>
          <w:noProof/>
          <w:sz w:val="24"/>
          <w:szCs w:val="24"/>
        </w:rPr>
      </w:pPr>
      <w:r w:rsidRPr="00542EB9">
        <w:rPr>
          <w:rFonts w:ascii="Times New Roman" w:hAnsi="Times New Roman"/>
          <w:noProof/>
          <w:sz w:val="24"/>
          <w:szCs w:val="24"/>
        </w:rPr>
        <w:t>While these overall preferences were broadly consistent across stakeholder groups, some variations emerged:</w:t>
      </w:r>
    </w:p>
    <w:p w14:paraId="235306F1" w14:textId="37C198CB"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EU citizens and consumers</w:t>
      </w:r>
      <w:r w:rsidRPr="00542EB9">
        <w:rPr>
          <w:rFonts w:ascii="Times New Roman" w:hAnsi="Times New Roman"/>
          <w:noProof/>
          <w:sz w:val="24"/>
          <w:szCs w:val="24"/>
        </w:rPr>
        <w:t xml:space="preserve"> (N=1</w:t>
      </w:r>
      <w:r w:rsidR="00142602" w:rsidRPr="00542EB9">
        <w:rPr>
          <w:rFonts w:ascii="Times New Roman" w:hAnsi="Times New Roman"/>
          <w:noProof/>
          <w:sz w:val="24"/>
          <w:szCs w:val="24"/>
        </w:rPr>
        <w:t>70</w:t>
      </w:r>
      <w:r w:rsidRPr="00542EB9">
        <w:rPr>
          <w:rFonts w:ascii="Times New Roman" w:hAnsi="Times New Roman"/>
          <w:noProof/>
          <w:sz w:val="24"/>
          <w:szCs w:val="24"/>
        </w:rPr>
        <w:t>) placed stronger emphasis on focusing key EU-level strategic priorities.</w:t>
      </w:r>
    </w:p>
    <w:p w14:paraId="433E0802" w14:textId="190F7366"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Member state authorities</w:t>
      </w:r>
      <w:r w:rsidRPr="00542EB9">
        <w:rPr>
          <w:rFonts w:ascii="Times New Roman" w:hAnsi="Times New Roman"/>
          <w:noProof/>
          <w:sz w:val="24"/>
          <w:szCs w:val="24"/>
        </w:rPr>
        <w:t xml:space="preserve"> (N=</w:t>
      </w:r>
      <w:r w:rsidR="00142602" w:rsidRPr="00542EB9">
        <w:rPr>
          <w:rFonts w:ascii="Times New Roman" w:hAnsi="Times New Roman"/>
          <w:noProof/>
          <w:sz w:val="24"/>
          <w:szCs w:val="24"/>
        </w:rPr>
        <w:t>88</w:t>
      </w:r>
      <w:r w:rsidRPr="00542EB9">
        <w:rPr>
          <w:rFonts w:ascii="Times New Roman" w:hAnsi="Times New Roman"/>
          <w:noProof/>
          <w:sz w:val="24"/>
          <w:szCs w:val="24"/>
        </w:rPr>
        <w:t>) prioritised predictability followed by flexibility, likely reflecting practical considerations for implementation and planning.</w:t>
      </w:r>
    </w:p>
    <w:p w14:paraId="3DC615B9" w14:textId="37AF43F5"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Among business stakeholders, </w:t>
      </w:r>
      <w:r w:rsidRPr="00542EB9">
        <w:rPr>
          <w:rFonts w:ascii="Times New Roman" w:hAnsi="Times New Roman"/>
          <w:b/>
          <w:bCs/>
          <w:noProof/>
          <w:sz w:val="24"/>
          <w:szCs w:val="24"/>
        </w:rPr>
        <w:t>SMEs</w:t>
      </w:r>
      <w:r w:rsidRPr="00542EB9">
        <w:rPr>
          <w:rFonts w:ascii="Times New Roman" w:hAnsi="Times New Roman"/>
          <w:noProof/>
          <w:sz w:val="24"/>
          <w:szCs w:val="24"/>
        </w:rPr>
        <w:t xml:space="preserve"> (N=4</w:t>
      </w:r>
      <w:r w:rsidR="00142602" w:rsidRPr="00542EB9">
        <w:rPr>
          <w:rFonts w:ascii="Times New Roman" w:hAnsi="Times New Roman"/>
          <w:noProof/>
          <w:sz w:val="24"/>
          <w:szCs w:val="24"/>
        </w:rPr>
        <w:t>3</w:t>
      </w:r>
      <w:r w:rsidRPr="00542EB9">
        <w:rPr>
          <w:rFonts w:ascii="Times New Roman" w:hAnsi="Times New Roman"/>
          <w:noProof/>
          <w:sz w:val="24"/>
          <w:szCs w:val="24"/>
        </w:rPr>
        <w:t xml:space="preserve">) ranked predictability and sustainability highest, while </w:t>
      </w:r>
      <w:r w:rsidRPr="00542EB9">
        <w:rPr>
          <w:rFonts w:ascii="Times New Roman" w:hAnsi="Times New Roman"/>
          <w:b/>
          <w:bCs/>
          <w:noProof/>
          <w:sz w:val="24"/>
          <w:szCs w:val="24"/>
        </w:rPr>
        <w:t>business associations</w:t>
      </w:r>
      <w:r w:rsidRPr="00542EB9">
        <w:rPr>
          <w:rFonts w:ascii="Times New Roman" w:hAnsi="Times New Roman"/>
          <w:noProof/>
          <w:sz w:val="24"/>
          <w:szCs w:val="24"/>
        </w:rPr>
        <w:t xml:space="preserve"> (N=</w:t>
      </w:r>
      <w:r w:rsidR="005C3489" w:rsidRPr="00542EB9">
        <w:rPr>
          <w:rFonts w:ascii="Times New Roman" w:hAnsi="Times New Roman"/>
          <w:noProof/>
          <w:sz w:val="24"/>
          <w:szCs w:val="24"/>
        </w:rPr>
        <w:t>55</w:t>
      </w:r>
      <w:r w:rsidRPr="00542EB9">
        <w:rPr>
          <w:rFonts w:ascii="Times New Roman" w:hAnsi="Times New Roman"/>
          <w:noProof/>
          <w:sz w:val="24"/>
          <w:szCs w:val="24"/>
        </w:rPr>
        <w:t xml:space="preserve">) and </w:t>
      </w:r>
      <w:r w:rsidRPr="00542EB9">
        <w:rPr>
          <w:rFonts w:ascii="Times New Roman" w:hAnsi="Times New Roman"/>
          <w:b/>
          <w:bCs/>
          <w:noProof/>
          <w:sz w:val="24"/>
          <w:szCs w:val="24"/>
        </w:rPr>
        <w:t>large companies</w:t>
      </w:r>
      <w:r w:rsidRPr="00542EB9">
        <w:rPr>
          <w:rFonts w:ascii="Times New Roman" w:hAnsi="Times New Roman"/>
          <w:noProof/>
          <w:sz w:val="24"/>
          <w:szCs w:val="24"/>
        </w:rPr>
        <w:t xml:space="preserve"> (N=</w:t>
      </w:r>
      <w:r w:rsidR="005C3489" w:rsidRPr="00542EB9">
        <w:rPr>
          <w:rFonts w:ascii="Times New Roman" w:hAnsi="Times New Roman"/>
          <w:noProof/>
          <w:sz w:val="24"/>
          <w:szCs w:val="24"/>
        </w:rPr>
        <w:t>23</w:t>
      </w:r>
      <w:r w:rsidRPr="00542EB9">
        <w:rPr>
          <w:rFonts w:ascii="Times New Roman" w:hAnsi="Times New Roman"/>
          <w:noProof/>
          <w:sz w:val="24"/>
          <w:szCs w:val="24"/>
        </w:rPr>
        <w:t>) favoured focusing key EU-level strategic ahead of predictability.</w:t>
      </w:r>
    </w:p>
    <w:p w14:paraId="733C2608" w14:textId="77777777" w:rsidR="00C75A29" w:rsidRPr="00542EB9" w:rsidRDefault="00C75A29" w:rsidP="00C75A29">
      <w:pPr>
        <w:pStyle w:val="BodyText1"/>
        <w:rPr>
          <w:rFonts w:ascii="Times New Roman" w:hAnsi="Times New Roman"/>
          <w:i/>
          <w:noProof/>
          <w:sz w:val="24"/>
          <w:szCs w:val="24"/>
        </w:rPr>
      </w:pPr>
      <w:r w:rsidRPr="00542EB9">
        <w:rPr>
          <w:rFonts w:ascii="Times New Roman" w:hAnsi="Times New Roman"/>
          <w:i/>
          <w:noProof/>
          <w:sz w:val="24"/>
          <w:szCs w:val="24"/>
        </w:rPr>
        <w:t>Divergent national approaches and need for enhanced cooperation</w:t>
      </w:r>
    </w:p>
    <w:p w14:paraId="70AEA345" w14:textId="3F22B69D"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Improving cooperation, collaborative efforts, and integration among member states and with the Commission</w:t>
      </w:r>
      <w:r w:rsidRPr="00542EB9">
        <w:rPr>
          <w:rFonts w:ascii="Times New Roman" w:hAnsi="Times New Roman"/>
          <w:noProof/>
          <w:sz w:val="24"/>
          <w:szCs w:val="24"/>
        </w:rPr>
        <w:t xml:space="preserve"> was one of the most widely recognised challenges, with </w:t>
      </w:r>
      <w:r w:rsidR="00AC2DBC" w:rsidRPr="00542EB9">
        <w:rPr>
          <w:rFonts w:ascii="Times New Roman" w:hAnsi="Times New Roman"/>
          <w:noProof/>
          <w:sz w:val="24"/>
          <w:szCs w:val="24"/>
        </w:rPr>
        <w:t xml:space="preserve">87% (587 out of 672) </w:t>
      </w:r>
      <w:r w:rsidRPr="00542EB9">
        <w:rPr>
          <w:rFonts w:ascii="Times New Roman" w:hAnsi="Times New Roman"/>
          <w:noProof/>
          <w:sz w:val="24"/>
          <w:szCs w:val="24"/>
        </w:rPr>
        <w:t xml:space="preserve">of respondents rating it as (very) important. Related issues were also viewed as important (though to a somewhat lesser extent), including regulatory fragmentation </w:t>
      </w:r>
      <w:r w:rsidR="00B71C24" w:rsidRPr="00542EB9">
        <w:rPr>
          <w:rFonts w:ascii="Times New Roman" w:hAnsi="Times New Roman"/>
          <w:noProof/>
          <w:sz w:val="24"/>
          <w:szCs w:val="24"/>
        </w:rPr>
        <w:t xml:space="preserve">(82%, 543 out of 660) </w:t>
      </w:r>
      <w:r w:rsidRPr="00542EB9">
        <w:rPr>
          <w:rFonts w:ascii="Times New Roman" w:hAnsi="Times New Roman"/>
          <w:noProof/>
          <w:sz w:val="24"/>
          <w:szCs w:val="24"/>
        </w:rPr>
        <w:t>the complexity of the digital environment (</w:t>
      </w:r>
      <w:r w:rsidR="00FC2DA6" w:rsidRPr="00542EB9">
        <w:rPr>
          <w:rFonts w:ascii="Times New Roman" w:hAnsi="Times New Roman"/>
          <w:noProof/>
          <w:sz w:val="24"/>
          <w:szCs w:val="24"/>
        </w:rPr>
        <w:t>79%, 512 out of 652</w:t>
      </w:r>
      <w:r w:rsidRPr="00542EB9">
        <w:rPr>
          <w:rFonts w:ascii="Times New Roman" w:hAnsi="Times New Roman"/>
          <w:noProof/>
          <w:sz w:val="24"/>
          <w:szCs w:val="24"/>
        </w:rPr>
        <w:t>), and differing national approaches to financing support, particularly for SMEs (</w:t>
      </w:r>
      <w:r w:rsidR="00944D87" w:rsidRPr="00542EB9">
        <w:rPr>
          <w:rFonts w:ascii="Times New Roman" w:hAnsi="Times New Roman"/>
          <w:noProof/>
          <w:sz w:val="24"/>
          <w:szCs w:val="24"/>
        </w:rPr>
        <w:t>71%, 463 out of 652</w:t>
      </w:r>
      <w:r w:rsidRPr="00542EB9">
        <w:rPr>
          <w:rFonts w:ascii="Times New Roman" w:hAnsi="Times New Roman"/>
          <w:noProof/>
          <w:sz w:val="24"/>
          <w:szCs w:val="24"/>
        </w:rPr>
        <w:t>). In all cases, member state authorities (N=</w:t>
      </w:r>
      <w:r w:rsidR="00944D87" w:rsidRPr="00542EB9">
        <w:rPr>
          <w:rFonts w:ascii="Times New Roman" w:hAnsi="Times New Roman"/>
          <w:noProof/>
          <w:sz w:val="24"/>
          <w:szCs w:val="24"/>
        </w:rPr>
        <w:t>54</w:t>
      </w:r>
      <w:r w:rsidRPr="00542EB9">
        <w:rPr>
          <w:rFonts w:ascii="Times New Roman" w:hAnsi="Times New Roman"/>
          <w:noProof/>
          <w:sz w:val="24"/>
          <w:szCs w:val="24"/>
        </w:rPr>
        <w:t>) and academic and research institutions (N=46) expressed higher levels of importance than other stakeholder groups, while businesses, in particular SMEs (N=4</w:t>
      </w:r>
      <w:r w:rsidR="00944D87" w:rsidRPr="00542EB9">
        <w:rPr>
          <w:rFonts w:ascii="Times New Roman" w:hAnsi="Times New Roman"/>
          <w:noProof/>
          <w:sz w:val="24"/>
          <w:szCs w:val="24"/>
        </w:rPr>
        <w:t>5</w:t>
      </w:r>
      <w:r w:rsidRPr="00542EB9">
        <w:rPr>
          <w:rFonts w:ascii="Times New Roman" w:hAnsi="Times New Roman"/>
          <w:noProof/>
          <w:sz w:val="24"/>
          <w:szCs w:val="24"/>
        </w:rPr>
        <w:t>)</w:t>
      </w:r>
      <w:r w:rsidR="00162A16" w:rsidRPr="00542EB9">
        <w:rPr>
          <w:rFonts w:ascii="Times New Roman" w:hAnsi="Times New Roman"/>
          <w:noProof/>
          <w:sz w:val="24"/>
          <w:szCs w:val="24"/>
        </w:rPr>
        <w:t xml:space="preserve"> and business associations (N=63)</w:t>
      </w:r>
      <w:r w:rsidR="00E36BCB" w:rsidRPr="00542EB9">
        <w:rPr>
          <w:rFonts w:ascii="Times New Roman" w:hAnsi="Times New Roman"/>
          <w:noProof/>
          <w:sz w:val="24"/>
          <w:szCs w:val="24"/>
        </w:rPr>
        <w:t>,</w:t>
      </w:r>
      <w:r w:rsidRPr="00542EB9">
        <w:rPr>
          <w:rFonts w:ascii="Times New Roman" w:hAnsi="Times New Roman"/>
          <w:noProof/>
          <w:sz w:val="24"/>
          <w:szCs w:val="24"/>
        </w:rPr>
        <w:t xml:space="preserve"> placed strong emphasis on divergent approaches to financing.</w:t>
      </w:r>
    </w:p>
    <w:p w14:paraId="561FE0A2" w14:textId="77777777" w:rsidR="00504AA5" w:rsidRPr="00542EB9" w:rsidRDefault="00504AA5" w:rsidP="00504AA5">
      <w:pPr>
        <w:pStyle w:val="BodyText1"/>
        <w:rPr>
          <w:rFonts w:ascii="Times New Roman" w:hAnsi="Times New Roman"/>
          <w:noProof/>
          <w:sz w:val="24"/>
          <w:szCs w:val="24"/>
        </w:rPr>
      </w:pPr>
      <w:r w:rsidRPr="00542EB9">
        <w:rPr>
          <w:rFonts w:ascii="Times New Roman" w:hAnsi="Times New Roman"/>
          <w:b/>
          <w:bCs/>
          <w:noProof/>
          <w:sz w:val="24"/>
          <w:szCs w:val="24"/>
        </w:rPr>
        <w:t>Respondents expressed mixed confidence in the effectiveness of current policies in addressing these challenges.</w:t>
      </w:r>
      <w:r w:rsidRPr="00542EB9">
        <w:rPr>
          <w:rFonts w:ascii="Times New Roman" w:hAnsi="Times New Roman"/>
          <w:noProof/>
          <w:sz w:val="24"/>
          <w:szCs w:val="24"/>
        </w:rPr>
        <w:t xml:space="preserve"> While 65% (422 out of 654) considered that cooperation and collaboration was being improved to some or a large extent, only 49% (319 out of 644) felt that regulatory fragmentation was being adequately addressed, and 41% (259 out of 637) said the same for efforts to harmonise national approaches to SME financing – the latter being among the lowest-rated areas.</w:t>
      </w:r>
    </w:p>
    <w:p w14:paraId="343107E9" w14:textId="74CB47BE" w:rsidR="00E70146"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who addressed this issue in open-ended responses and position papers frequently pointed to </w:t>
      </w:r>
      <w:r w:rsidRPr="00542EB9">
        <w:rPr>
          <w:rFonts w:ascii="Times New Roman" w:hAnsi="Times New Roman"/>
          <w:b/>
          <w:bCs/>
          <w:noProof/>
          <w:sz w:val="24"/>
          <w:szCs w:val="24"/>
        </w:rPr>
        <w:t>fragmentation and a lack of cross-border coordination in regulatory frameworks</w:t>
      </w:r>
      <w:r w:rsidRPr="00542EB9">
        <w:rPr>
          <w:rFonts w:ascii="Times New Roman" w:hAnsi="Times New Roman"/>
          <w:noProof/>
          <w:sz w:val="24"/>
          <w:szCs w:val="24"/>
        </w:rPr>
        <w:t xml:space="preserve">. They </w:t>
      </w:r>
      <w:r w:rsidR="00831E42" w:rsidRPr="00542EB9">
        <w:rPr>
          <w:rFonts w:ascii="Times New Roman" w:hAnsi="Times New Roman"/>
          <w:noProof/>
          <w:sz w:val="24"/>
          <w:szCs w:val="24"/>
        </w:rPr>
        <w:t xml:space="preserve">frequently </w:t>
      </w:r>
      <w:r w:rsidRPr="00542EB9">
        <w:rPr>
          <w:rFonts w:ascii="Times New Roman" w:hAnsi="Times New Roman"/>
          <w:noProof/>
          <w:sz w:val="24"/>
          <w:szCs w:val="24"/>
        </w:rPr>
        <w:t xml:space="preserve">emphasised that greater alignment of rules and closer cooperation between member states is necessary to reduce barriers to cross-border activities, particularly in areas such as transport, digital services, SME support, and research infrastructure. To address these challenges, </w:t>
      </w:r>
      <w:r w:rsidR="001A0862" w:rsidRPr="00542EB9">
        <w:rPr>
          <w:rFonts w:ascii="Times New Roman" w:hAnsi="Times New Roman"/>
          <w:noProof/>
          <w:sz w:val="24"/>
          <w:szCs w:val="24"/>
        </w:rPr>
        <w:t xml:space="preserve">respondents frequently </w:t>
      </w:r>
      <w:r w:rsidRPr="00542EB9">
        <w:rPr>
          <w:rFonts w:ascii="Times New Roman" w:hAnsi="Times New Roman"/>
          <w:noProof/>
          <w:sz w:val="24"/>
          <w:szCs w:val="24"/>
        </w:rPr>
        <w:t>proposed stronger coordination mechanisms, harmonised regulatory standards, and enhanced EU-level oversight. Some also underlined the importance of involving local and regional authorities in shaping and implementing EU policy to strengthen delivery and accountability.</w:t>
      </w:r>
      <w:r w:rsidR="00C4274B" w:rsidRPr="00542EB9">
        <w:rPr>
          <w:rFonts w:ascii="Times New Roman" w:hAnsi="Times New Roman"/>
          <w:noProof/>
          <w:sz w:val="24"/>
          <w:szCs w:val="24"/>
        </w:rPr>
        <w:t xml:space="preserve"> A few noted that fragmented approaches and differences in administrative practices limit the coherence of single market policies and called for a clearer and more integrated European approach.</w:t>
      </w:r>
    </w:p>
    <w:p w14:paraId="2BB4B862" w14:textId="23D680DF" w:rsidR="00C75A29" w:rsidRPr="00542EB9" w:rsidRDefault="00FB520E" w:rsidP="00C75A29">
      <w:pPr>
        <w:pStyle w:val="BodyText1"/>
        <w:rPr>
          <w:rFonts w:ascii="Times New Roman" w:hAnsi="Times New Roman"/>
          <w:b/>
          <w:bCs/>
          <w:noProof/>
          <w:sz w:val="24"/>
          <w:szCs w:val="24"/>
        </w:rPr>
      </w:pPr>
      <w:bookmarkStart w:id="88" w:name="_Toc198298225"/>
      <w:r w:rsidRPr="00542EB9">
        <w:rPr>
          <w:rFonts w:ascii="Times New Roman" w:hAnsi="Times New Roman"/>
          <w:b/>
          <w:bCs/>
          <w:noProof/>
          <w:sz w:val="24"/>
          <w:szCs w:val="24"/>
        </w:rPr>
        <w:t xml:space="preserve">3.3 </w:t>
      </w:r>
      <w:r w:rsidR="00C75A29" w:rsidRPr="00542EB9">
        <w:rPr>
          <w:rFonts w:ascii="Times New Roman" w:hAnsi="Times New Roman"/>
          <w:b/>
          <w:bCs/>
          <w:noProof/>
          <w:sz w:val="24"/>
          <w:szCs w:val="24"/>
        </w:rPr>
        <w:t>Challenges and measures to enhance the EU budget</w:t>
      </w:r>
      <w:bookmarkEnd w:id="88"/>
    </w:p>
    <w:p w14:paraId="4F1264D0" w14:textId="77777777"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The following sections combine findings from closed and open-ended questions, as well as position papers, to summarise stakeholder perspectives on the main </w:t>
      </w:r>
      <w:r w:rsidRPr="00542EB9">
        <w:rPr>
          <w:rFonts w:ascii="Times New Roman" w:hAnsi="Times New Roman"/>
          <w:b/>
          <w:bCs/>
          <w:noProof/>
          <w:sz w:val="24"/>
          <w:szCs w:val="24"/>
        </w:rPr>
        <w:t>structural and procedural barriers limiting the effectiveness of the EU budget</w:t>
      </w:r>
      <w:r w:rsidRPr="00542EB9">
        <w:rPr>
          <w:rFonts w:ascii="Times New Roman" w:hAnsi="Times New Roman"/>
          <w:noProof/>
          <w:sz w:val="24"/>
          <w:szCs w:val="24"/>
        </w:rPr>
        <w:t>.</w:t>
      </w:r>
    </w:p>
    <w:p w14:paraId="0FB257E8" w14:textId="0B96C6E5"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Among all obstacles assessed, </w:t>
      </w:r>
      <w:r w:rsidRPr="00542EB9">
        <w:rPr>
          <w:rFonts w:ascii="Times New Roman" w:hAnsi="Times New Roman"/>
          <w:b/>
          <w:bCs/>
          <w:noProof/>
          <w:sz w:val="24"/>
          <w:szCs w:val="24"/>
        </w:rPr>
        <w:t>administrative burdens</w:t>
      </w:r>
      <w:r w:rsidRPr="00542EB9">
        <w:rPr>
          <w:rFonts w:ascii="Times New Roman" w:hAnsi="Times New Roman"/>
          <w:noProof/>
          <w:sz w:val="24"/>
          <w:szCs w:val="24"/>
        </w:rPr>
        <w:t xml:space="preserve"> and </w:t>
      </w:r>
      <w:r w:rsidRPr="00542EB9">
        <w:rPr>
          <w:rFonts w:ascii="Times New Roman" w:hAnsi="Times New Roman"/>
          <w:b/>
          <w:bCs/>
          <w:noProof/>
          <w:sz w:val="24"/>
          <w:szCs w:val="24"/>
        </w:rPr>
        <w:t>fragmented and complex rules</w:t>
      </w:r>
      <w:r w:rsidRPr="00542EB9">
        <w:rPr>
          <w:rFonts w:ascii="Times New Roman" w:hAnsi="Times New Roman"/>
          <w:noProof/>
          <w:sz w:val="24"/>
          <w:szCs w:val="24"/>
        </w:rPr>
        <w:t xml:space="preserve"> were identified by respondents as the most relevant challenges to the EU budget achieving its objectives</w:t>
      </w:r>
      <w:r w:rsidR="00811351" w:rsidRPr="00542EB9">
        <w:rPr>
          <w:rFonts w:ascii="Times New Roman" w:hAnsi="Times New Roman"/>
          <w:noProof/>
          <w:sz w:val="24"/>
          <w:szCs w:val="24"/>
        </w:rPr>
        <w:t>.</w:t>
      </w:r>
    </w:p>
    <w:p w14:paraId="02492A30" w14:textId="05614BCC" w:rsidR="00BA1AD5" w:rsidRPr="00542EB9" w:rsidRDefault="00C75A29" w:rsidP="00BA1AD5">
      <w:pPr>
        <w:pStyle w:val="BodyText1"/>
        <w:rPr>
          <w:rFonts w:ascii="Times New Roman" w:hAnsi="Times New Roman"/>
          <w:b/>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5</w:t>
      </w:r>
      <w:r w:rsidRPr="00542EB9">
        <w:rPr>
          <w:rFonts w:ascii="Times New Roman" w:hAnsi="Times New Roman"/>
          <w:noProof/>
          <w:sz w:val="24"/>
          <w:szCs w:val="24"/>
        </w:rPr>
        <w:fldChar w:fldCharType="end"/>
      </w:r>
      <w:r w:rsidRPr="00542EB9">
        <w:rPr>
          <w:rFonts w:ascii="Times New Roman" w:hAnsi="Times New Roman"/>
          <w:b/>
          <w:noProof/>
          <w:sz w:val="24"/>
          <w:szCs w:val="24"/>
        </w:rPr>
        <w:t>. Role of budget obstacles</w:t>
      </w:r>
    </w:p>
    <w:p w14:paraId="3C702E8F" w14:textId="198AFDD9" w:rsidR="00C75A29" w:rsidRPr="00542EB9" w:rsidRDefault="003740CB" w:rsidP="00BA1AD5">
      <w:pPr>
        <w:pStyle w:val="BodyText1"/>
        <w:rPr>
          <w:rFonts w:ascii="Times New Roman" w:hAnsi="Times New Roman"/>
          <w:noProof/>
          <w:sz w:val="24"/>
          <w:szCs w:val="24"/>
        </w:rPr>
      </w:pPr>
      <w:r w:rsidRPr="00542EB9">
        <w:rPr>
          <w:b/>
          <w:i/>
          <w:noProof/>
          <w:lang w:eastAsia="en-GB"/>
        </w:rPr>
        <w:drawing>
          <wp:inline distT="0" distB="0" distL="0" distR="0" wp14:anchorId="043362AB" wp14:editId="425CE308">
            <wp:extent cx="5581650" cy="3311770"/>
            <wp:effectExtent l="0" t="0" r="0" b="3175"/>
            <wp:docPr id="7580215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C75A29" w:rsidRPr="00542EB9">
        <w:rPr>
          <w:rFonts w:ascii="Times New Roman" w:hAnsi="Times New Roman"/>
          <w:noProof/>
          <w:sz w:val="24"/>
          <w:szCs w:val="24"/>
        </w:rPr>
        <w:t xml:space="preserve">Respondents’ concerns regarding obstacles to the EU budget achieving its objectives were closely reflected in their views on possible measures. Stakeholders showed broad support for </w:t>
      </w:r>
      <w:r w:rsidR="00C75A29" w:rsidRPr="00542EB9">
        <w:rPr>
          <w:rFonts w:ascii="Times New Roman" w:hAnsi="Times New Roman"/>
          <w:b/>
          <w:bCs/>
          <w:noProof/>
          <w:sz w:val="24"/>
          <w:szCs w:val="24"/>
        </w:rPr>
        <w:t>simplifying procedures and improving the design of funding instruments</w:t>
      </w:r>
      <w:r w:rsidR="00C75A29" w:rsidRPr="00542EB9">
        <w:rPr>
          <w:rFonts w:ascii="Times New Roman" w:hAnsi="Times New Roman"/>
          <w:noProof/>
          <w:sz w:val="24"/>
          <w:szCs w:val="24"/>
        </w:rPr>
        <w:t xml:space="preserve">. The highest levels of support were expressed for </w:t>
      </w:r>
      <w:r w:rsidR="00C75A29" w:rsidRPr="00542EB9">
        <w:rPr>
          <w:rFonts w:ascii="Times New Roman" w:hAnsi="Times New Roman"/>
          <w:b/>
          <w:bCs/>
          <w:noProof/>
          <w:sz w:val="24"/>
          <w:szCs w:val="24"/>
        </w:rPr>
        <w:t>clearer, fewer and simpler rules</w:t>
      </w:r>
      <w:r w:rsidR="00C75A29" w:rsidRPr="00542EB9">
        <w:rPr>
          <w:rFonts w:ascii="Times New Roman" w:hAnsi="Times New Roman"/>
          <w:noProof/>
          <w:sz w:val="24"/>
          <w:szCs w:val="24"/>
        </w:rPr>
        <w:t xml:space="preserve"> and </w:t>
      </w:r>
      <w:r w:rsidR="00C75A29" w:rsidRPr="00542EB9">
        <w:rPr>
          <w:rFonts w:ascii="Times New Roman" w:hAnsi="Times New Roman"/>
          <w:b/>
          <w:bCs/>
          <w:noProof/>
          <w:sz w:val="24"/>
          <w:szCs w:val="24"/>
        </w:rPr>
        <w:t>simplifying access to and information about funding for beneficiaries</w:t>
      </w:r>
      <w:r w:rsidR="00811351" w:rsidRPr="00542EB9">
        <w:rPr>
          <w:rFonts w:ascii="Times New Roman" w:hAnsi="Times New Roman"/>
          <w:noProof/>
          <w:sz w:val="24"/>
          <w:szCs w:val="24"/>
        </w:rPr>
        <w:t>.</w:t>
      </w:r>
      <w:r w:rsidR="00C75A29" w:rsidRPr="00542EB9">
        <w:rPr>
          <w:rFonts w:ascii="Times New Roman" w:hAnsi="Times New Roman"/>
          <w:noProof/>
          <w:sz w:val="24"/>
          <w:szCs w:val="24"/>
        </w:rPr>
        <w:t xml:space="preserve"> </w:t>
      </w:r>
    </w:p>
    <w:p w14:paraId="3A42DE4E" w14:textId="7347DD67" w:rsidR="00811351" w:rsidRPr="00542EB9" w:rsidRDefault="00C75A29" w:rsidP="00811351">
      <w:pPr>
        <w:pStyle w:val="BodyText1"/>
        <w:rPr>
          <w:rFonts w:ascii="Times New Roman" w:hAnsi="Times New Roman"/>
          <w:b/>
          <w:noProof/>
          <w:sz w:val="24"/>
          <w:szCs w:val="24"/>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6</w:t>
      </w:r>
      <w:r w:rsidRPr="00542EB9">
        <w:rPr>
          <w:rFonts w:ascii="Times New Roman" w:hAnsi="Times New Roman"/>
          <w:noProof/>
          <w:sz w:val="24"/>
          <w:szCs w:val="24"/>
        </w:rPr>
        <w:fldChar w:fldCharType="end"/>
      </w:r>
      <w:r w:rsidRPr="00542EB9">
        <w:rPr>
          <w:rFonts w:ascii="Times New Roman" w:hAnsi="Times New Roman"/>
          <w:b/>
          <w:noProof/>
          <w:sz w:val="24"/>
          <w:szCs w:val="24"/>
        </w:rPr>
        <w:t>. Impact of possible measures</w:t>
      </w:r>
    </w:p>
    <w:p w14:paraId="32571FB1" w14:textId="5F87837F" w:rsidR="00811351" w:rsidRPr="00542EB9" w:rsidRDefault="00B159D6" w:rsidP="511B530B">
      <w:pPr>
        <w:pStyle w:val="BodyText1"/>
        <w:rPr>
          <w:rFonts w:ascii="Times New Roman" w:hAnsi="Times New Roman"/>
          <w:b/>
          <w:bCs/>
          <w:noProof/>
          <w:sz w:val="24"/>
          <w:szCs w:val="24"/>
        </w:rPr>
      </w:pPr>
      <w:r w:rsidRPr="00542EB9">
        <w:rPr>
          <w:noProof/>
          <w:lang w:eastAsia="en-GB"/>
        </w:rPr>
        <w:drawing>
          <wp:inline distT="0" distB="0" distL="0" distR="0" wp14:anchorId="6CCC7C45" wp14:editId="7BC85ACC">
            <wp:extent cx="5486400" cy="3069203"/>
            <wp:effectExtent l="0" t="0" r="0" b="17145"/>
            <wp:docPr id="17001005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5C57038" w14:textId="77777777" w:rsidR="00C75A29" w:rsidRPr="00542EB9" w:rsidRDefault="00C75A29" w:rsidP="00811351">
      <w:pPr>
        <w:pStyle w:val="BodyText1"/>
        <w:rPr>
          <w:rFonts w:ascii="Times New Roman" w:hAnsi="Times New Roman"/>
          <w:i/>
          <w:noProof/>
          <w:sz w:val="24"/>
          <w:szCs w:val="24"/>
        </w:rPr>
      </w:pPr>
      <w:r w:rsidRPr="00542EB9">
        <w:rPr>
          <w:rFonts w:ascii="Times New Roman" w:hAnsi="Times New Roman"/>
          <w:i/>
          <w:noProof/>
          <w:sz w:val="24"/>
          <w:szCs w:val="24"/>
        </w:rPr>
        <w:t>Complexity to access, mobilise and implement EU funding for beneficiaries</w:t>
      </w:r>
    </w:p>
    <w:p w14:paraId="026EC966" w14:textId="2D122C80"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Complexity related to accessing, mobilising, and implementing EU funding</w:t>
      </w:r>
      <w:r w:rsidRPr="00542EB9">
        <w:rPr>
          <w:rFonts w:ascii="Times New Roman" w:hAnsi="Times New Roman"/>
          <w:noProof/>
          <w:sz w:val="24"/>
          <w:szCs w:val="24"/>
        </w:rPr>
        <w:t xml:space="preserve"> was identified as the most significant obstacle to the EU budget achieving its objectives. Among all challenges assessed, the two issues linked to this area received the highest levels of agreement. </w:t>
      </w:r>
      <w:r w:rsidRPr="00542EB9">
        <w:rPr>
          <w:rFonts w:ascii="Times New Roman" w:hAnsi="Times New Roman"/>
          <w:b/>
          <w:bCs/>
          <w:noProof/>
          <w:sz w:val="24"/>
          <w:szCs w:val="24"/>
        </w:rPr>
        <w:t>Administrative burdens for beneficiaries and authorities</w:t>
      </w:r>
      <w:r w:rsidRPr="00542EB9">
        <w:rPr>
          <w:rFonts w:ascii="Times New Roman" w:hAnsi="Times New Roman"/>
          <w:noProof/>
          <w:sz w:val="24"/>
          <w:szCs w:val="24"/>
        </w:rPr>
        <w:t xml:space="preserve"> were seen as an obstacle to some or a large extent by </w:t>
      </w:r>
      <w:r w:rsidR="00354C2F" w:rsidRPr="00542EB9">
        <w:rPr>
          <w:rFonts w:ascii="Times New Roman" w:hAnsi="Times New Roman"/>
          <w:noProof/>
          <w:sz w:val="24"/>
          <w:szCs w:val="24"/>
        </w:rPr>
        <w:t>85% of respondents (555 out of 657</w:t>
      </w:r>
      <w:r w:rsidRPr="00542EB9">
        <w:rPr>
          <w:rFonts w:ascii="Times New Roman" w:hAnsi="Times New Roman"/>
          <w:noProof/>
          <w:sz w:val="24"/>
          <w:szCs w:val="24"/>
        </w:rPr>
        <w:t xml:space="preserve">), with strong alignment across stakeholder groups. Similarly, </w:t>
      </w:r>
      <w:r w:rsidR="002F6D8D" w:rsidRPr="00542EB9">
        <w:rPr>
          <w:rFonts w:ascii="Times New Roman" w:hAnsi="Times New Roman"/>
          <w:noProof/>
          <w:sz w:val="24"/>
          <w:szCs w:val="24"/>
        </w:rPr>
        <w:t>80% (530 out of 650</w:t>
      </w:r>
      <w:r w:rsidRPr="00542EB9">
        <w:rPr>
          <w:rFonts w:ascii="Times New Roman" w:hAnsi="Times New Roman"/>
          <w:noProof/>
          <w:sz w:val="24"/>
          <w:szCs w:val="24"/>
        </w:rPr>
        <w:t xml:space="preserve">) identified the existence of </w:t>
      </w:r>
      <w:r w:rsidRPr="00542EB9">
        <w:rPr>
          <w:rFonts w:ascii="Times New Roman" w:hAnsi="Times New Roman"/>
          <w:b/>
          <w:bCs/>
          <w:noProof/>
          <w:sz w:val="24"/>
          <w:szCs w:val="24"/>
        </w:rPr>
        <w:t>different and complex fund-specific rules on access and compliance</w:t>
      </w:r>
      <w:r w:rsidRPr="00542EB9">
        <w:rPr>
          <w:rFonts w:ascii="Times New Roman" w:hAnsi="Times New Roman"/>
          <w:noProof/>
          <w:sz w:val="24"/>
          <w:szCs w:val="24"/>
        </w:rPr>
        <w:t xml:space="preserve"> as a key concern. This view was particularly pronounced among member state authorities, with </w:t>
      </w:r>
      <w:r w:rsidR="00293A18" w:rsidRPr="00542EB9">
        <w:rPr>
          <w:rFonts w:ascii="Times New Roman" w:hAnsi="Times New Roman"/>
          <w:noProof/>
          <w:sz w:val="24"/>
          <w:szCs w:val="24"/>
        </w:rPr>
        <w:t>87% (82 out of 94</w:t>
      </w:r>
      <w:r w:rsidRPr="00542EB9">
        <w:rPr>
          <w:rFonts w:ascii="Times New Roman" w:hAnsi="Times New Roman"/>
          <w:noProof/>
          <w:sz w:val="24"/>
          <w:szCs w:val="24"/>
        </w:rPr>
        <w:t>) expressing this concern.</w:t>
      </w:r>
    </w:p>
    <w:p w14:paraId="6F30F23E" w14:textId="2A8C6598"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Stakeholders also expressed clear support for targeted solutions to address this complexity. The most widely supported measures were the </w:t>
      </w:r>
      <w:r w:rsidRPr="00542EB9">
        <w:rPr>
          <w:rFonts w:ascii="Times New Roman" w:hAnsi="Times New Roman"/>
          <w:b/>
          <w:bCs/>
          <w:noProof/>
          <w:sz w:val="24"/>
          <w:szCs w:val="24"/>
        </w:rPr>
        <w:t>simplification of access to and information about funding</w:t>
      </w:r>
      <w:r w:rsidRPr="00542EB9">
        <w:rPr>
          <w:rFonts w:ascii="Times New Roman" w:hAnsi="Times New Roman"/>
          <w:noProof/>
          <w:sz w:val="24"/>
          <w:szCs w:val="24"/>
        </w:rPr>
        <w:t xml:space="preserve"> (</w:t>
      </w:r>
      <w:r w:rsidR="006E64C7" w:rsidRPr="00542EB9">
        <w:rPr>
          <w:rFonts w:ascii="Times New Roman" w:hAnsi="Times New Roman"/>
          <w:noProof/>
          <w:sz w:val="24"/>
          <w:szCs w:val="24"/>
        </w:rPr>
        <w:t>90%, 585 out of 654</w:t>
      </w:r>
      <w:r w:rsidRPr="00542EB9">
        <w:rPr>
          <w:rFonts w:ascii="Times New Roman" w:hAnsi="Times New Roman"/>
          <w:noProof/>
          <w:sz w:val="24"/>
          <w:szCs w:val="24"/>
        </w:rPr>
        <w:t xml:space="preserve">) and the </w:t>
      </w:r>
      <w:r w:rsidRPr="00542EB9">
        <w:rPr>
          <w:rFonts w:ascii="Times New Roman" w:hAnsi="Times New Roman"/>
          <w:b/>
          <w:bCs/>
          <w:noProof/>
          <w:sz w:val="24"/>
          <w:szCs w:val="24"/>
        </w:rPr>
        <w:t>introduction of fewer, clearer, and simpler rules</w:t>
      </w:r>
      <w:r w:rsidRPr="00542EB9">
        <w:rPr>
          <w:rFonts w:ascii="Times New Roman" w:hAnsi="Times New Roman"/>
          <w:noProof/>
          <w:sz w:val="24"/>
          <w:szCs w:val="24"/>
        </w:rPr>
        <w:t xml:space="preserve"> (</w:t>
      </w:r>
      <w:r w:rsidR="009E2041" w:rsidRPr="00542EB9">
        <w:rPr>
          <w:rFonts w:ascii="Times New Roman" w:hAnsi="Times New Roman"/>
          <w:noProof/>
          <w:sz w:val="24"/>
          <w:szCs w:val="24"/>
        </w:rPr>
        <w:t>89%, 599 out of 667</w:t>
      </w:r>
      <w:r w:rsidRPr="00542EB9">
        <w:rPr>
          <w:rFonts w:ascii="Times New Roman" w:hAnsi="Times New Roman"/>
          <w:noProof/>
          <w:sz w:val="24"/>
          <w:szCs w:val="24"/>
        </w:rPr>
        <w:t xml:space="preserve">) based on the share of respondents who selected ‘Somewhat’ or ‘To a large extent’. </w:t>
      </w:r>
      <w:r w:rsidR="00294069" w:rsidRPr="00542EB9">
        <w:rPr>
          <w:rFonts w:ascii="Times New Roman" w:hAnsi="Times New Roman"/>
          <w:noProof/>
          <w:sz w:val="24"/>
          <w:szCs w:val="24"/>
        </w:rPr>
        <w:t>Notably, 64% and 73% respectively selected ‘To a large extent’ – by far the highest levels across all options.</w:t>
      </w:r>
    </w:p>
    <w:p w14:paraId="43CA2A77" w14:textId="3653BD5B"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who addressed this issue in open-text responses and position papers frequently highlighted </w:t>
      </w:r>
      <w:r w:rsidRPr="00542EB9">
        <w:rPr>
          <w:rFonts w:ascii="Times New Roman" w:hAnsi="Times New Roman"/>
          <w:b/>
          <w:bCs/>
          <w:noProof/>
          <w:sz w:val="24"/>
          <w:szCs w:val="24"/>
        </w:rPr>
        <w:t>administrative burden, procedural complexity, and lack of clarity</w:t>
      </w:r>
      <w:r w:rsidRPr="00542EB9">
        <w:rPr>
          <w:rFonts w:ascii="Times New Roman" w:hAnsi="Times New Roman"/>
          <w:noProof/>
          <w:sz w:val="24"/>
          <w:szCs w:val="24"/>
        </w:rPr>
        <w:t xml:space="preserve"> as key barriers to accessing EU funding. Stakeholders across sectors pointed to </w:t>
      </w:r>
      <w:r w:rsidRPr="00542EB9">
        <w:rPr>
          <w:rFonts w:ascii="Times New Roman" w:hAnsi="Times New Roman"/>
          <w:b/>
          <w:bCs/>
          <w:noProof/>
          <w:sz w:val="24"/>
          <w:szCs w:val="24"/>
        </w:rPr>
        <w:t>fragmented rules and requirements across programmes</w:t>
      </w:r>
      <w:r w:rsidRPr="00542EB9">
        <w:rPr>
          <w:rFonts w:ascii="Times New Roman" w:hAnsi="Times New Roman"/>
          <w:noProof/>
          <w:sz w:val="24"/>
          <w:szCs w:val="24"/>
        </w:rPr>
        <w:t xml:space="preserve"> as a source of confusion and inefficiency. Several noted that complex procedures and excessive reporting obligations discouraged participation, particularly among SMEs. </w:t>
      </w:r>
      <w:r w:rsidR="00CF0E3E" w:rsidRPr="00542EB9">
        <w:rPr>
          <w:rFonts w:ascii="Times New Roman" w:hAnsi="Times New Roman"/>
          <w:noProof/>
          <w:sz w:val="24"/>
          <w:szCs w:val="24"/>
        </w:rPr>
        <w:t>In this context, contributions also noted that complex procedures and excessive reporting obligations discouraged participation, particularly among SMEs. Some respondents also highlighted the need for clearer definitions and guidance within calls for proposals to ensure relevance and accessibility.</w:t>
      </w:r>
    </w:p>
    <w:p w14:paraId="3DCBDE0A" w14:textId="77777777" w:rsidR="00C75A29" w:rsidRPr="00542EB9" w:rsidRDefault="00C75A29" w:rsidP="00C75A29">
      <w:pPr>
        <w:pStyle w:val="BodyText1"/>
        <w:rPr>
          <w:rFonts w:ascii="Times New Roman" w:hAnsi="Times New Roman"/>
          <w:i/>
          <w:noProof/>
          <w:sz w:val="24"/>
          <w:szCs w:val="24"/>
        </w:rPr>
      </w:pPr>
      <w:r w:rsidRPr="00542EB9">
        <w:rPr>
          <w:rFonts w:ascii="Times New Roman" w:hAnsi="Times New Roman"/>
          <w:i/>
          <w:noProof/>
          <w:sz w:val="24"/>
          <w:szCs w:val="24"/>
        </w:rPr>
        <w:t>Fragmentation of EU funds</w:t>
      </w:r>
    </w:p>
    <w:p w14:paraId="5111F20F" w14:textId="11FA6DEE"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Stakeholders identified several structural issues related to how EU funds are designed and implemented, which may limit their effectiveness. One of the most commonly cited obstacles was the </w:t>
      </w:r>
      <w:r w:rsidRPr="00542EB9">
        <w:rPr>
          <w:rFonts w:ascii="Times New Roman" w:hAnsi="Times New Roman"/>
          <w:b/>
          <w:bCs/>
          <w:noProof/>
          <w:sz w:val="24"/>
          <w:szCs w:val="24"/>
        </w:rPr>
        <w:t>lack of coordination or synergies between programmes</w:t>
      </w:r>
      <w:r w:rsidRPr="00542EB9">
        <w:rPr>
          <w:rFonts w:ascii="Times New Roman" w:hAnsi="Times New Roman"/>
          <w:noProof/>
          <w:sz w:val="24"/>
          <w:szCs w:val="24"/>
        </w:rPr>
        <w:t xml:space="preserve">, identified by </w:t>
      </w:r>
      <w:r w:rsidR="004E2B83" w:rsidRPr="00542EB9">
        <w:rPr>
          <w:rFonts w:ascii="Times New Roman" w:hAnsi="Times New Roman"/>
          <w:noProof/>
          <w:sz w:val="24"/>
          <w:szCs w:val="24"/>
        </w:rPr>
        <w:t>76% (509 out of 667</w:t>
      </w:r>
      <w:r w:rsidRPr="00542EB9">
        <w:rPr>
          <w:rFonts w:ascii="Times New Roman" w:hAnsi="Times New Roman"/>
          <w:noProof/>
          <w:sz w:val="24"/>
          <w:szCs w:val="24"/>
        </w:rPr>
        <w:t>) of respondents to some or a large extent, in particular among academic and research institutions (</w:t>
      </w:r>
      <w:r w:rsidR="00B2654C" w:rsidRPr="00542EB9">
        <w:rPr>
          <w:rFonts w:ascii="Times New Roman" w:hAnsi="Times New Roman"/>
          <w:noProof/>
          <w:sz w:val="24"/>
          <w:szCs w:val="24"/>
        </w:rPr>
        <w:t>93%, 50 out of 54</w:t>
      </w:r>
      <w:r w:rsidRPr="00542EB9">
        <w:rPr>
          <w:rFonts w:ascii="Times New Roman" w:hAnsi="Times New Roman"/>
          <w:noProof/>
          <w:sz w:val="24"/>
          <w:szCs w:val="24"/>
        </w:rPr>
        <w:t xml:space="preserve">). This was followed by the </w:t>
      </w:r>
      <w:r w:rsidRPr="00542EB9">
        <w:rPr>
          <w:rFonts w:ascii="Times New Roman" w:hAnsi="Times New Roman"/>
          <w:b/>
          <w:bCs/>
          <w:noProof/>
          <w:sz w:val="24"/>
          <w:szCs w:val="24"/>
        </w:rPr>
        <w:t>lack of flexibility to adapt to new and unforeseen developments</w:t>
      </w:r>
      <w:r w:rsidRPr="00542EB9">
        <w:rPr>
          <w:rFonts w:ascii="Times New Roman" w:hAnsi="Times New Roman"/>
          <w:noProof/>
          <w:sz w:val="24"/>
          <w:szCs w:val="24"/>
        </w:rPr>
        <w:t xml:space="preserve">, </w:t>
      </w:r>
      <w:r w:rsidR="00770F2B" w:rsidRPr="00542EB9">
        <w:rPr>
          <w:rFonts w:ascii="Times New Roman" w:hAnsi="Times New Roman"/>
          <w:noProof/>
          <w:sz w:val="24"/>
          <w:szCs w:val="24"/>
        </w:rPr>
        <w:t>cited by 69% overall (460 out of 662), and by 80% (76 out of 95) of member state authorities</w:t>
      </w:r>
      <w:r w:rsidRPr="00542EB9">
        <w:rPr>
          <w:rFonts w:ascii="Times New Roman" w:hAnsi="Times New Roman"/>
          <w:noProof/>
          <w:sz w:val="24"/>
          <w:szCs w:val="24"/>
        </w:rPr>
        <w:t>.</w:t>
      </w:r>
    </w:p>
    <w:p w14:paraId="239D6D73" w14:textId="48E8C5DD"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Other concerns included too many programmes with overlapping policy goals (</w:t>
      </w:r>
      <w:r w:rsidR="00A75AF9" w:rsidRPr="00542EB9">
        <w:rPr>
          <w:rFonts w:ascii="Times New Roman" w:hAnsi="Times New Roman"/>
          <w:noProof/>
          <w:sz w:val="24"/>
          <w:szCs w:val="24"/>
        </w:rPr>
        <w:t>62%, 416 out of 669</w:t>
      </w:r>
      <w:r w:rsidRPr="00542EB9">
        <w:rPr>
          <w:rFonts w:ascii="Times New Roman" w:hAnsi="Times New Roman"/>
          <w:noProof/>
          <w:sz w:val="24"/>
          <w:szCs w:val="24"/>
        </w:rPr>
        <w:t>) and an overemphasis on reimbursing costs rather than delivering results (</w:t>
      </w:r>
      <w:r w:rsidR="008D571E" w:rsidRPr="00542EB9">
        <w:rPr>
          <w:rFonts w:ascii="Times New Roman" w:hAnsi="Times New Roman"/>
          <w:noProof/>
          <w:sz w:val="24"/>
          <w:szCs w:val="24"/>
        </w:rPr>
        <w:t>61%, 403 out of 653</w:t>
      </w:r>
      <w:r w:rsidRPr="00542EB9">
        <w:rPr>
          <w:rFonts w:ascii="Times New Roman" w:hAnsi="Times New Roman"/>
          <w:noProof/>
          <w:sz w:val="24"/>
          <w:szCs w:val="24"/>
        </w:rPr>
        <w:t>) – a view that was more prominent among member state authorities (</w:t>
      </w:r>
      <w:r w:rsidR="00975769" w:rsidRPr="00542EB9">
        <w:rPr>
          <w:rFonts w:ascii="Times New Roman" w:hAnsi="Times New Roman"/>
          <w:noProof/>
          <w:sz w:val="24"/>
          <w:szCs w:val="24"/>
        </w:rPr>
        <w:t>71%, 66 out of 93</w:t>
      </w:r>
      <w:r w:rsidRPr="00542EB9">
        <w:rPr>
          <w:rFonts w:ascii="Times New Roman" w:hAnsi="Times New Roman"/>
          <w:noProof/>
          <w:sz w:val="24"/>
          <w:szCs w:val="24"/>
        </w:rPr>
        <w:t xml:space="preserve">). Limited alignment with national policies was the least frequently identified challenge in this area, cited by </w:t>
      </w:r>
      <w:r w:rsidR="00BF19D5" w:rsidRPr="00542EB9">
        <w:rPr>
          <w:rFonts w:ascii="Times New Roman" w:hAnsi="Times New Roman"/>
          <w:noProof/>
          <w:sz w:val="24"/>
          <w:szCs w:val="24"/>
        </w:rPr>
        <w:t>53% of respondents overall (347 out of 654), though this share rose to 72% (39 out of 54)</w:t>
      </w:r>
      <w:r w:rsidR="00126230" w:rsidRPr="00542EB9">
        <w:rPr>
          <w:rFonts w:ascii="Times New Roman" w:hAnsi="Times New Roman"/>
          <w:noProof/>
          <w:sz w:val="24"/>
          <w:szCs w:val="24"/>
        </w:rPr>
        <w:t xml:space="preserve"> among academic/research institutions</w:t>
      </w:r>
      <w:r w:rsidRPr="00542EB9">
        <w:rPr>
          <w:rFonts w:ascii="Times New Roman" w:hAnsi="Times New Roman"/>
          <w:noProof/>
          <w:sz w:val="24"/>
          <w:szCs w:val="24"/>
        </w:rPr>
        <w:t>. These results suggest that public authorities, in particular, are more likely to view fragmentation and rigidity as key obstacles to effective policy delivery.</w:t>
      </w:r>
      <w:r w:rsidR="00525E26" w:rsidRPr="00542EB9">
        <w:rPr>
          <w:rFonts w:ascii="Times New Roman" w:hAnsi="Times New Roman"/>
          <w:noProof/>
          <w:sz w:val="24"/>
          <w:szCs w:val="24"/>
        </w:rPr>
        <w:t xml:space="preserve"> </w:t>
      </w:r>
      <w:r w:rsidRPr="00542EB9">
        <w:rPr>
          <w:rFonts w:ascii="Times New Roman" w:hAnsi="Times New Roman"/>
          <w:noProof/>
          <w:sz w:val="24"/>
          <w:szCs w:val="24"/>
        </w:rPr>
        <w:t>When asked about possible solutions,</w:t>
      </w:r>
      <w:r w:rsidRPr="00542EB9">
        <w:rPr>
          <w:rFonts w:ascii="Times New Roman" w:hAnsi="Times New Roman"/>
          <w:b/>
          <w:bCs/>
          <w:noProof/>
          <w:sz w:val="24"/>
          <w:szCs w:val="24"/>
        </w:rPr>
        <w:t xml:space="preserve"> respondents broadly supported greater flexibility and stronger focus on outcomes.</w:t>
      </w:r>
      <w:r w:rsidRPr="00542EB9">
        <w:rPr>
          <w:rFonts w:ascii="Times New Roman" w:hAnsi="Times New Roman"/>
          <w:noProof/>
          <w:sz w:val="24"/>
          <w:szCs w:val="24"/>
        </w:rPr>
        <w:t xml:space="preserve"> The most widely endorsed options included introducing more</w:t>
      </w:r>
      <w:r w:rsidRPr="00542EB9">
        <w:rPr>
          <w:rFonts w:ascii="Times New Roman" w:hAnsi="Times New Roman"/>
          <w:b/>
          <w:bCs/>
          <w:noProof/>
          <w:sz w:val="24"/>
          <w:szCs w:val="24"/>
        </w:rPr>
        <w:t xml:space="preserve"> flexible resource allocation</w:t>
      </w:r>
      <w:r w:rsidRPr="00542EB9">
        <w:rPr>
          <w:rFonts w:ascii="Times New Roman" w:hAnsi="Times New Roman"/>
          <w:noProof/>
          <w:sz w:val="24"/>
          <w:szCs w:val="24"/>
        </w:rPr>
        <w:t xml:space="preserve"> to respond to crises and changing priorities (</w:t>
      </w:r>
      <w:r w:rsidR="00033BBB" w:rsidRPr="00542EB9">
        <w:rPr>
          <w:rFonts w:ascii="Times New Roman" w:hAnsi="Times New Roman"/>
          <w:noProof/>
          <w:sz w:val="24"/>
          <w:szCs w:val="24"/>
        </w:rPr>
        <w:t>73%, 479 out of 652</w:t>
      </w:r>
      <w:r w:rsidRPr="00542EB9">
        <w:rPr>
          <w:rFonts w:ascii="Times New Roman" w:hAnsi="Times New Roman"/>
          <w:noProof/>
          <w:sz w:val="24"/>
          <w:szCs w:val="24"/>
        </w:rPr>
        <w:t xml:space="preserve">) and </w:t>
      </w:r>
      <w:r w:rsidRPr="00542EB9">
        <w:rPr>
          <w:rFonts w:ascii="Times New Roman" w:hAnsi="Times New Roman"/>
          <w:b/>
          <w:bCs/>
          <w:noProof/>
          <w:sz w:val="24"/>
          <w:szCs w:val="24"/>
        </w:rPr>
        <w:t xml:space="preserve">using EU funds to promote both reforms and investments </w:t>
      </w:r>
      <w:r w:rsidRPr="00542EB9">
        <w:rPr>
          <w:rFonts w:ascii="Times New Roman" w:hAnsi="Times New Roman"/>
          <w:noProof/>
          <w:sz w:val="24"/>
          <w:szCs w:val="24"/>
        </w:rPr>
        <w:t>(</w:t>
      </w:r>
      <w:r w:rsidR="0075605A" w:rsidRPr="00542EB9">
        <w:rPr>
          <w:rFonts w:ascii="Times New Roman" w:hAnsi="Times New Roman"/>
          <w:noProof/>
          <w:sz w:val="24"/>
          <w:szCs w:val="24"/>
        </w:rPr>
        <w:t>73%, 476 out of 653</w:t>
      </w:r>
      <w:r w:rsidRPr="00542EB9">
        <w:rPr>
          <w:rFonts w:ascii="Times New Roman" w:hAnsi="Times New Roman"/>
          <w:noProof/>
          <w:sz w:val="24"/>
          <w:szCs w:val="24"/>
        </w:rPr>
        <w:t xml:space="preserve">). There was also support for placing </w:t>
      </w:r>
      <w:r w:rsidRPr="00542EB9">
        <w:rPr>
          <w:rFonts w:ascii="Times New Roman" w:hAnsi="Times New Roman"/>
          <w:b/>
          <w:bCs/>
          <w:noProof/>
          <w:sz w:val="24"/>
          <w:szCs w:val="24"/>
        </w:rPr>
        <w:t>greater emphasis on achieving results</w:t>
      </w:r>
      <w:r w:rsidRPr="00542EB9">
        <w:rPr>
          <w:rFonts w:ascii="Times New Roman" w:hAnsi="Times New Roman"/>
          <w:noProof/>
          <w:sz w:val="24"/>
          <w:szCs w:val="24"/>
        </w:rPr>
        <w:t>, such as through performance-based funding (</w:t>
      </w:r>
      <w:r w:rsidR="006D7771" w:rsidRPr="00542EB9">
        <w:rPr>
          <w:rFonts w:ascii="Times New Roman" w:hAnsi="Times New Roman"/>
          <w:noProof/>
          <w:sz w:val="24"/>
          <w:szCs w:val="24"/>
        </w:rPr>
        <w:t>72%, 465 out of 651</w:t>
      </w:r>
      <w:r w:rsidRPr="00542EB9">
        <w:rPr>
          <w:rFonts w:ascii="Times New Roman" w:hAnsi="Times New Roman"/>
          <w:noProof/>
          <w:sz w:val="24"/>
          <w:szCs w:val="24"/>
        </w:rPr>
        <w:t>), while a smaller proportion (</w:t>
      </w:r>
      <w:r w:rsidR="00F213E5" w:rsidRPr="00542EB9">
        <w:rPr>
          <w:rFonts w:ascii="Times New Roman" w:hAnsi="Times New Roman"/>
          <w:noProof/>
          <w:sz w:val="24"/>
          <w:szCs w:val="24"/>
        </w:rPr>
        <w:t>46%, 307 out of 665</w:t>
      </w:r>
      <w:r w:rsidRPr="00542EB9">
        <w:rPr>
          <w:rFonts w:ascii="Times New Roman" w:hAnsi="Times New Roman"/>
          <w:noProof/>
          <w:sz w:val="24"/>
          <w:szCs w:val="24"/>
        </w:rPr>
        <w:t>) believed that reducing the number of EU funding programmes could help improve efficiency.</w:t>
      </w:r>
    </w:p>
    <w:p w14:paraId="20ADB560" w14:textId="77777777" w:rsidR="006014FE"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who addressed this issue in open-text responses or position papers frequently pointed to the </w:t>
      </w:r>
      <w:r w:rsidRPr="00542EB9">
        <w:rPr>
          <w:rFonts w:ascii="Times New Roman" w:hAnsi="Times New Roman"/>
          <w:b/>
          <w:bCs/>
          <w:noProof/>
          <w:sz w:val="24"/>
          <w:szCs w:val="24"/>
        </w:rPr>
        <w:t>fragmentation of funding instruments</w:t>
      </w:r>
      <w:r w:rsidRPr="00542EB9">
        <w:rPr>
          <w:rFonts w:ascii="Times New Roman" w:hAnsi="Times New Roman"/>
          <w:noProof/>
          <w:sz w:val="24"/>
          <w:szCs w:val="24"/>
        </w:rPr>
        <w:t xml:space="preserve"> and the </w:t>
      </w:r>
      <w:r w:rsidRPr="00542EB9">
        <w:rPr>
          <w:rFonts w:ascii="Times New Roman" w:hAnsi="Times New Roman"/>
          <w:b/>
          <w:bCs/>
          <w:noProof/>
          <w:sz w:val="24"/>
          <w:szCs w:val="24"/>
        </w:rPr>
        <w:t>need for better coordination</w:t>
      </w:r>
      <w:r w:rsidRPr="00542EB9">
        <w:rPr>
          <w:rFonts w:ascii="Times New Roman" w:hAnsi="Times New Roman"/>
          <w:noProof/>
          <w:sz w:val="24"/>
          <w:szCs w:val="24"/>
        </w:rPr>
        <w:t xml:space="preserve"> across programmes and levels of governance. They highlighted that fragmented funding structures undermine coherence, dilute impact, and create inefficiencies. </w:t>
      </w:r>
      <w:r w:rsidR="006014FE" w:rsidRPr="00542EB9">
        <w:rPr>
          <w:rFonts w:ascii="Times New Roman" w:hAnsi="Times New Roman"/>
          <w:noProof/>
          <w:sz w:val="24"/>
          <w:szCs w:val="24"/>
        </w:rPr>
        <w:t>In this context, some respondents also further highlighted the perceived complexity and overlap of reporting requirements across EU and national systems, which may limit participation in multi-country projects.</w:t>
      </w:r>
    </w:p>
    <w:p w14:paraId="04A12503" w14:textId="77777777" w:rsidR="001A10C9" w:rsidRPr="00542EB9" w:rsidRDefault="001A10C9" w:rsidP="001A10C9">
      <w:pPr>
        <w:pStyle w:val="BodyText1"/>
        <w:rPr>
          <w:rFonts w:ascii="Times New Roman" w:hAnsi="Times New Roman"/>
          <w:noProof/>
          <w:sz w:val="24"/>
          <w:szCs w:val="24"/>
        </w:rPr>
      </w:pPr>
      <w:r w:rsidRPr="00542EB9">
        <w:rPr>
          <w:rFonts w:ascii="Times New Roman" w:hAnsi="Times New Roman"/>
          <w:noProof/>
          <w:sz w:val="24"/>
          <w:szCs w:val="24"/>
        </w:rPr>
        <w:t xml:space="preserve">At the same time, other contributions emphasised the </w:t>
      </w:r>
      <w:r w:rsidRPr="00542EB9">
        <w:rPr>
          <w:rFonts w:ascii="Times New Roman" w:hAnsi="Times New Roman"/>
          <w:b/>
          <w:bCs/>
          <w:noProof/>
          <w:sz w:val="24"/>
          <w:szCs w:val="24"/>
        </w:rPr>
        <w:t>importance of maintaining dedicated funding lines</w:t>
      </w:r>
      <w:r w:rsidRPr="00542EB9">
        <w:rPr>
          <w:rFonts w:ascii="Times New Roman" w:hAnsi="Times New Roman"/>
          <w:noProof/>
          <w:sz w:val="24"/>
          <w:szCs w:val="24"/>
        </w:rPr>
        <w:t xml:space="preserve"> for specific sectors, and noted that improved integration across funding instruments should not result in excessive centralisation at national level, which some respondents viewed as potentially reducing the responsiveness of support to local and regional needs. In this context, several contributions also underlined the importance of preserving </w:t>
      </w:r>
      <w:r w:rsidRPr="00542EB9">
        <w:rPr>
          <w:rFonts w:ascii="Times New Roman" w:hAnsi="Times New Roman"/>
          <w:b/>
          <w:bCs/>
          <w:noProof/>
          <w:sz w:val="24"/>
          <w:szCs w:val="24"/>
        </w:rPr>
        <w:t>place-based approaches</w:t>
      </w:r>
      <w:r w:rsidRPr="00542EB9">
        <w:rPr>
          <w:rFonts w:ascii="Times New Roman" w:hAnsi="Times New Roman"/>
          <w:noProof/>
          <w:sz w:val="24"/>
          <w:szCs w:val="24"/>
        </w:rPr>
        <w:t xml:space="preserve"> to ensure that funding structures remain responsive to regional capacities and priorities.</w:t>
      </w:r>
    </w:p>
    <w:p w14:paraId="351586BF" w14:textId="77777777" w:rsidR="001A10C9" w:rsidRPr="00542EB9" w:rsidRDefault="001A10C9" w:rsidP="001A10C9">
      <w:pPr>
        <w:pStyle w:val="BodyText1"/>
        <w:rPr>
          <w:rFonts w:ascii="Times New Roman" w:hAnsi="Times New Roman"/>
          <w:noProof/>
          <w:sz w:val="24"/>
          <w:szCs w:val="24"/>
        </w:rPr>
      </w:pPr>
      <w:r w:rsidRPr="00542EB9">
        <w:rPr>
          <w:rFonts w:ascii="Times New Roman" w:hAnsi="Times New Roman"/>
          <w:noProof/>
          <w:sz w:val="24"/>
          <w:szCs w:val="24"/>
        </w:rPr>
        <w:t xml:space="preserve">In addition, public authorities in particular frequently underlined the need for </w:t>
      </w:r>
      <w:r w:rsidRPr="00542EB9">
        <w:rPr>
          <w:rFonts w:ascii="Times New Roman" w:hAnsi="Times New Roman"/>
          <w:b/>
          <w:bCs/>
          <w:noProof/>
          <w:sz w:val="24"/>
          <w:szCs w:val="24"/>
        </w:rPr>
        <w:t>greater flexibility to reallocate resources</w:t>
      </w:r>
      <w:r w:rsidRPr="00542EB9">
        <w:rPr>
          <w:rFonts w:ascii="Times New Roman" w:hAnsi="Times New Roman"/>
          <w:noProof/>
          <w:sz w:val="24"/>
          <w:szCs w:val="24"/>
        </w:rPr>
        <w:t xml:space="preserve"> in response to emerging needs, using existing structures where possible. Others cautioned that overly rigid, performance-based approaches could discourage innovation or limit long-term impact.</w:t>
      </w:r>
    </w:p>
    <w:p w14:paraId="213666DF" w14:textId="2A2DDE21" w:rsidR="00A00B80" w:rsidRPr="00542EB9" w:rsidRDefault="00FB520E" w:rsidP="00C75A29">
      <w:pPr>
        <w:pStyle w:val="BodyText1"/>
        <w:rPr>
          <w:rFonts w:ascii="Times New Roman" w:hAnsi="Times New Roman"/>
          <w:b/>
          <w:bCs/>
          <w:noProof/>
          <w:sz w:val="24"/>
          <w:szCs w:val="24"/>
        </w:rPr>
      </w:pPr>
      <w:bookmarkStart w:id="89" w:name="_Toc198298226"/>
      <w:r w:rsidRPr="00542EB9">
        <w:rPr>
          <w:rFonts w:ascii="Times New Roman" w:hAnsi="Times New Roman"/>
          <w:b/>
          <w:bCs/>
          <w:noProof/>
          <w:sz w:val="24"/>
          <w:szCs w:val="24"/>
        </w:rPr>
        <w:t xml:space="preserve">3.4 </w:t>
      </w:r>
      <w:r w:rsidR="00C75A29" w:rsidRPr="00542EB9">
        <w:rPr>
          <w:rFonts w:ascii="Times New Roman" w:hAnsi="Times New Roman"/>
          <w:b/>
          <w:bCs/>
          <w:noProof/>
          <w:sz w:val="24"/>
          <w:szCs w:val="24"/>
        </w:rPr>
        <w:t xml:space="preserve">Intervention areas for EU-level </w:t>
      </w:r>
      <w:bookmarkEnd w:id="89"/>
      <w:r w:rsidR="00C75A29" w:rsidRPr="00542EB9">
        <w:rPr>
          <w:rFonts w:ascii="Times New Roman" w:hAnsi="Times New Roman"/>
          <w:b/>
          <w:bCs/>
          <w:noProof/>
          <w:sz w:val="24"/>
          <w:szCs w:val="24"/>
        </w:rPr>
        <w:t>action</w:t>
      </w:r>
    </w:p>
    <w:p w14:paraId="605F8BC5" w14:textId="52657145"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In the context of the EU budget’s support for the single market, customs union, and related measures, respondents identified fairness, security, and integration as the top intervention areas</w:t>
      </w:r>
      <w:r w:rsidRPr="00542EB9">
        <w:rPr>
          <w:rFonts w:ascii="Times New Roman" w:hAnsi="Times New Roman"/>
          <w:b/>
          <w:bCs/>
          <w:noProof/>
          <w:sz w:val="24"/>
          <w:szCs w:val="24"/>
        </w:rPr>
        <w:t xml:space="preserve"> </w:t>
      </w:r>
      <w:r w:rsidRPr="00542EB9">
        <w:rPr>
          <w:rFonts w:ascii="Times New Roman" w:hAnsi="Times New Roman"/>
          <w:noProof/>
          <w:sz w:val="24"/>
          <w:szCs w:val="24"/>
        </w:rPr>
        <w:t xml:space="preserve">(see figure below). </w:t>
      </w:r>
      <w:r w:rsidRPr="00542EB9">
        <w:rPr>
          <w:rFonts w:ascii="Times New Roman" w:hAnsi="Times New Roman"/>
          <w:b/>
          <w:bCs/>
          <w:noProof/>
          <w:sz w:val="24"/>
          <w:szCs w:val="24"/>
        </w:rPr>
        <w:t>Supporting fair competition</w:t>
      </w:r>
      <w:r w:rsidRPr="00542EB9">
        <w:rPr>
          <w:rFonts w:ascii="Times New Roman" w:hAnsi="Times New Roman"/>
          <w:noProof/>
          <w:sz w:val="24"/>
          <w:szCs w:val="24"/>
        </w:rPr>
        <w:t xml:space="preserve"> ranked highest, with </w:t>
      </w:r>
      <w:r w:rsidR="00DC29DA" w:rsidRPr="00542EB9">
        <w:rPr>
          <w:rFonts w:ascii="Times New Roman" w:hAnsi="Times New Roman"/>
          <w:noProof/>
          <w:sz w:val="24"/>
          <w:szCs w:val="24"/>
        </w:rPr>
        <w:t>83% (546 out of 655</w:t>
      </w:r>
      <w:r w:rsidRPr="00542EB9">
        <w:rPr>
          <w:rFonts w:ascii="Times New Roman" w:hAnsi="Times New Roman"/>
          <w:noProof/>
          <w:sz w:val="24"/>
          <w:szCs w:val="24"/>
        </w:rPr>
        <w:t xml:space="preserve">) rating it as (very) important and strong alignment across stakeholder groups. This was followed by </w:t>
      </w:r>
      <w:r w:rsidRPr="00542EB9">
        <w:rPr>
          <w:rFonts w:ascii="Times New Roman" w:hAnsi="Times New Roman"/>
          <w:b/>
          <w:bCs/>
          <w:noProof/>
          <w:sz w:val="24"/>
          <w:szCs w:val="24"/>
        </w:rPr>
        <w:t>supporting standardisation efforts</w:t>
      </w:r>
      <w:r w:rsidRPr="00542EB9">
        <w:rPr>
          <w:rFonts w:ascii="Times New Roman" w:hAnsi="Times New Roman"/>
          <w:noProof/>
          <w:sz w:val="24"/>
          <w:szCs w:val="24"/>
        </w:rPr>
        <w:t xml:space="preserve"> (</w:t>
      </w:r>
      <w:r w:rsidR="002F727F" w:rsidRPr="00542EB9">
        <w:rPr>
          <w:rFonts w:ascii="Times New Roman" w:hAnsi="Times New Roman"/>
          <w:noProof/>
          <w:sz w:val="24"/>
          <w:szCs w:val="24"/>
        </w:rPr>
        <w:t>81%, 550 out of 682</w:t>
      </w:r>
      <w:r w:rsidRPr="00542EB9">
        <w:rPr>
          <w:rFonts w:ascii="Times New Roman" w:hAnsi="Times New Roman"/>
          <w:noProof/>
          <w:sz w:val="24"/>
          <w:szCs w:val="24"/>
        </w:rPr>
        <w:t>)</w:t>
      </w:r>
      <w:r w:rsidR="002F727F" w:rsidRPr="00542EB9">
        <w:rPr>
          <w:rFonts w:ascii="Times New Roman" w:hAnsi="Times New Roman"/>
          <w:noProof/>
          <w:sz w:val="24"/>
          <w:szCs w:val="24"/>
        </w:rPr>
        <w:t xml:space="preserve">. </w:t>
      </w:r>
      <w:r w:rsidRPr="00542EB9">
        <w:rPr>
          <w:rFonts w:ascii="Times New Roman" w:hAnsi="Times New Roman"/>
          <w:noProof/>
          <w:sz w:val="24"/>
          <w:szCs w:val="24"/>
        </w:rPr>
        <w:t>While support was high across all stakeholder groups, some differences in emphasis emerged:</w:t>
      </w:r>
    </w:p>
    <w:p w14:paraId="4C81EF7D" w14:textId="18B74567"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Member state authorities</w:t>
      </w:r>
      <w:r w:rsidRPr="00542EB9">
        <w:rPr>
          <w:rFonts w:ascii="Times New Roman" w:hAnsi="Times New Roman"/>
          <w:noProof/>
          <w:sz w:val="24"/>
          <w:szCs w:val="24"/>
        </w:rPr>
        <w:t xml:space="preserve"> placed higher importance than other groups on several areas, including deploying common and/or interoperable digital solutions </w:t>
      </w:r>
      <w:r w:rsidR="00DE6BC1" w:rsidRPr="00542EB9">
        <w:rPr>
          <w:rFonts w:ascii="Times New Roman" w:hAnsi="Times New Roman"/>
          <w:noProof/>
          <w:sz w:val="24"/>
          <w:szCs w:val="24"/>
        </w:rPr>
        <w:t>(85%, 77 out of 91), and supporting EU economic security (80%, 73 out of 91).</w:t>
      </w:r>
    </w:p>
    <w:p w14:paraId="2FCD6FF8" w14:textId="49EE3205"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EU citizens and consumers</w:t>
      </w:r>
      <w:r w:rsidRPr="00542EB9">
        <w:rPr>
          <w:rFonts w:ascii="Times New Roman" w:hAnsi="Times New Roman"/>
          <w:noProof/>
          <w:sz w:val="24"/>
          <w:szCs w:val="24"/>
        </w:rPr>
        <w:t xml:space="preserve"> expressed particularly high support for fair competition </w:t>
      </w:r>
      <w:r w:rsidR="00520AE4" w:rsidRPr="00542EB9">
        <w:rPr>
          <w:rFonts w:ascii="Times New Roman" w:hAnsi="Times New Roman"/>
          <w:noProof/>
          <w:sz w:val="24"/>
          <w:szCs w:val="24"/>
        </w:rPr>
        <w:t>(92%, 163 out of 176), protection and empowerment of EU consumers (87%, 152 out of 175) and fair taxation (84%, 147 out of 176).</w:t>
      </w:r>
    </w:p>
    <w:p w14:paraId="774D4399" w14:textId="5201CD18"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Businesses</w:t>
      </w:r>
      <w:r w:rsidRPr="00542EB9">
        <w:rPr>
          <w:rFonts w:ascii="Times New Roman" w:hAnsi="Times New Roman"/>
          <w:noProof/>
          <w:sz w:val="24"/>
          <w:szCs w:val="24"/>
        </w:rPr>
        <w:t xml:space="preserve">, including SMEs, overall showed more moderate support across most areas compared to other stakeholder groups but placed strong emphasis on strengthening competitiveness by supporting businesses </w:t>
      </w:r>
      <w:r w:rsidR="00FF01AD" w:rsidRPr="00542EB9">
        <w:rPr>
          <w:rFonts w:ascii="Times New Roman" w:hAnsi="Times New Roman"/>
          <w:noProof/>
          <w:sz w:val="24"/>
          <w:szCs w:val="24"/>
        </w:rPr>
        <w:t>(87%, 123 out of 142) and supporting fair competition (86%, 123 out of 144).</w:t>
      </w:r>
    </w:p>
    <w:p w14:paraId="3A28949F" w14:textId="2A260569" w:rsidR="00FF01AD"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When asked about other potential strategic areas to be covered by a well-functioning single market, some respondents emphasised the need for harmonised tax and customs rules, reduced administrative burdens – especially for SMEs – and stronger digital infrastructure and cybersecurity across the EU.</w:t>
      </w:r>
    </w:p>
    <w:p w14:paraId="7433BED1" w14:textId="0B366554" w:rsidR="00332D27" w:rsidRPr="00542EB9" w:rsidRDefault="00C75A29" w:rsidP="00332D27">
      <w:pPr>
        <w:pStyle w:val="BodyText1"/>
        <w:rPr>
          <w:b/>
          <w:noProof/>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7</w:t>
      </w:r>
      <w:r w:rsidRPr="00542EB9">
        <w:rPr>
          <w:rFonts w:ascii="Times New Roman" w:hAnsi="Times New Roman"/>
          <w:noProof/>
          <w:sz w:val="24"/>
          <w:szCs w:val="24"/>
        </w:rPr>
        <w:fldChar w:fldCharType="end"/>
      </w:r>
      <w:r w:rsidRPr="00542EB9">
        <w:rPr>
          <w:rFonts w:ascii="Times New Roman" w:hAnsi="Times New Roman"/>
          <w:b/>
          <w:noProof/>
          <w:sz w:val="24"/>
          <w:szCs w:val="24"/>
        </w:rPr>
        <w:t>. Support for intervention areas</w:t>
      </w:r>
    </w:p>
    <w:p w14:paraId="002C6013" w14:textId="31C6AE87" w:rsidR="00332D27" w:rsidRPr="00542EB9" w:rsidRDefault="007E4B03" w:rsidP="511B530B">
      <w:pPr>
        <w:pStyle w:val="BodyText1"/>
        <w:rPr>
          <w:b/>
          <w:bCs/>
          <w:noProof/>
        </w:rPr>
      </w:pPr>
      <w:r w:rsidRPr="00542EB9">
        <w:rPr>
          <w:noProof/>
          <w:lang w:eastAsia="en-GB"/>
        </w:rPr>
        <w:drawing>
          <wp:inline distT="0" distB="0" distL="0" distR="0" wp14:anchorId="2E223168" wp14:editId="70CE3DBE">
            <wp:extent cx="5565775" cy="3745065"/>
            <wp:effectExtent l="0" t="0" r="15875" b="8255"/>
            <wp:docPr id="46028384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3B963C5" w14:textId="73DB8389" w:rsidR="00C75A29" w:rsidRPr="00542EB9" w:rsidRDefault="00FB520E" w:rsidP="00332D27">
      <w:pPr>
        <w:pStyle w:val="BodyText1"/>
        <w:rPr>
          <w:rFonts w:ascii="Times New Roman" w:hAnsi="Times New Roman"/>
          <w:b/>
          <w:bCs/>
          <w:noProof/>
          <w:sz w:val="24"/>
          <w:szCs w:val="24"/>
        </w:rPr>
      </w:pPr>
      <w:bookmarkStart w:id="90" w:name="_Toc198298227"/>
      <w:r w:rsidRPr="00542EB9">
        <w:rPr>
          <w:rFonts w:ascii="Times New Roman" w:hAnsi="Times New Roman"/>
          <w:b/>
          <w:bCs/>
          <w:noProof/>
          <w:sz w:val="24"/>
          <w:szCs w:val="24"/>
        </w:rPr>
        <w:t xml:space="preserve">3.5 </w:t>
      </w:r>
      <w:r w:rsidR="00C75A29" w:rsidRPr="00542EB9">
        <w:rPr>
          <w:rFonts w:ascii="Times New Roman" w:hAnsi="Times New Roman"/>
          <w:b/>
          <w:bCs/>
          <w:noProof/>
          <w:sz w:val="24"/>
          <w:szCs w:val="24"/>
        </w:rPr>
        <w:t>Added value of EU-level action</w:t>
      </w:r>
      <w:bookmarkEnd w:id="90"/>
    </w:p>
    <w:p w14:paraId="6A354625" w14:textId="1A68E932"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 xml:space="preserve">Respondents identified several areas where EU-level action is seen as particularly valuable. The top priorities included </w:t>
      </w:r>
      <w:r w:rsidRPr="00542EB9">
        <w:rPr>
          <w:rFonts w:ascii="Times New Roman" w:hAnsi="Times New Roman"/>
          <w:b/>
          <w:bCs/>
          <w:noProof/>
          <w:sz w:val="24"/>
          <w:szCs w:val="24"/>
        </w:rPr>
        <w:t>support for cross-border and multi-country projects and cooperation</w:t>
      </w:r>
      <w:r w:rsidRPr="00542EB9">
        <w:rPr>
          <w:rFonts w:ascii="Times New Roman" w:hAnsi="Times New Roman"/>
          <w:noProof/>
          <w:sz w:val="24"/>
          <w:szCs w:val="24"/>
        </w:rPr>
        <w:t xml:space="preserve"> (</w:t>
      </w:r>
      <w:r w:rsidR="00607C68" w:rsidRPr="00542EB9">
        <w:rPr>
          <w:rFonts w:ascii="Times New Roman" w:hAnsi="Times New Roman"/>
          <w:noProof/>
          <w:sz w:val="24"/>
          <w:szCs w:val="24"/>
        </w:rPr>
        <w:t>90%, 595 out of 659</w:t>
      </w:r>
      <w:r w:rsidRPr="00542EB9">
        <w:rPr>
          <w:rFonts w:ascii="Times New Roman" w:hAnsi="Times New Roman"/>
          <w:noProof/>
          <w:sz w:val="24"/>
          <w:szCs w:val="24"/>
        </w:rPr>
        <w:t xml:space="preserve">), </w:t>
      </w:r>
      <w:r w:rsidRPr="00542EB9">
        <w:rPr>
          <w:rFonts w:ascii="Times New Roman" w:hAnsi="Times New Roman"/>
          <w:b/>
          <w:bCs/>
          <w:noProof/>
          <w:sz w:val="24"/>
          <w:szCs w:val="24"/>
        </w:rPr>
        <w:t>strengthening the competitiveness and sustainability of EU businesses</w:t>
      </w:r>
      <w:r w:rsidRPr="00542EB9">
        <w:rPr>
          <w:rFonts w:ascii="Times New Roman" w:hAnsi="Times New Roman"/>
          <w:noProof/>
          <w:sz w:val="24"/>
          <w:szCs w:val="24"/>
        </w:rPr>
        <w:t xml:space="preserve"> (</w:t>
      </w:r>
      <w:r w:rsidR="00CD7BF6" w:rsidRPr="00542EB9">
        <w:rPr>
          <w:rFonts w:ascii="Times New Roman" w:hAnsi="Times New Roman"/>
          <w:noProof/>
          <w:sz w:val="24"/>
          <w:szCs w:val="24"/>
        </w:rPr>
        <w:t>88%, 583 out of 664</w:t>
      </w:r>
      <w:r w:rsidRPr="00542EB9">
        <w:rPr>
          <w:rFonts w:ascii="Times New Roman" w:hAnsi="Times New Roman"/>
          <w:noProof/>
          <w:sz w:val="24"/>
          <w:szCs w:val="24"/>
        </w:rPr>
        <w:t>)</w:t>
      </w:r>
      <w:r w:rsidR="008158FA" w:rsidRPr="00542EB9">
        <w:rPr>
          <w:rFonts w:ascii="Times New Roman" w:hAnsi="Times New Roman"/>
          <w:noProof/>
          <w:sz w:val="24"/>
          <w:szCs w:val="24"/>
        </w:rPr>
        <w:t xml:space="preserve"> </w:t>
      </w:r>
      <w:r w:rsidRPr="00542EB9">
        <w:rPr>
          <w:rFonts w:ascii="Times New Roman" w:hAnsi="Times New Roman"/>
          <w:noProof/>
          <w:sz w:val="24"/>
          <w:szCs w:val="24"/>
        </w:rPr>
        <w:t>– based on the share of respondents who selected ‘Somewhat’ or ‘To a large extent’</w:t>
      </w:r>
      <w:r w:rsidR="008158FA" w:rsidRPr="00542EB9">
        <w:rPr>
          <w:rFonts w:ascii="Times New Roman" w:hAnsi="Times New Roman"/>
          <w:noProof/>
          <w:sz w:val="24"/>
          <w:szCs w:val="24"/>
        </w:rPr>
        <w:t>.</w:t>
      </w:r>
    </w:p>
    <w:p w14:paraId="18D0E185" w14:textId="77777777" w:rsidR="00C75A29" w:rsidRPr="00542EB9" w:rsidRDefault="00C75A29" w:rsidP="00C75A29">
      <w:pPr>
        <w:pStyle w:val="BodyText1"/>
        <w:rPr>
          <w:rFonts w:ascii="Times New Roman" w:hAnsi="Times New Roman"/>
          <w:noProof/>
          <w:sz w:val="24"/>
          <w:szCs w:val="24"/>
        </w:rPr>
      </w:pPr>
      <w:r w:rsidRPr="00542EB9">
        <w:rPr>
          <w:rFonts w:ascii="Times New Roman" w:hAnsi="Times New Roman"/>
          <w:noProof/>
          <w:sz w:val="24"/>
          <w:szCs w:val="24"/>
        </w:rPr>
        <w:t>Perceived added value of EU-level action varied more across stakeholder groups than by specific intervention area:</w:t>
      </w:r>
    </w:p>
    <w:p w14:paraId="20686A42" w14:textId="45C6EC4B" w:rsidR="00C75A29" w:rsidRPr="00542EB9" w:rsidRDefault="00C75A29" w:rsidP="00C75A29">
      <w:pPr>
        <w:pStyle w:val="BodyText1"/>
        <w:rPr>
          <w:rFonts w:ascii="Times New Roman" w:hAnsi="Times New Roman"/>
          <w:noProof/>
          <w:sz w:val="24"/>
          <w:szCs w:val="24"/>
        </w:rPr>
      </w:pPr>
      <w:r w:rsidRPr="00542EB9">
        <w:rPr>
          <w:rFonts w:ascii="Times New Roman" w:hAnsi="Times New Roman"/>
          <w:b/>
          <w:noProof/>
          <w:sz w:val="24"/>
          <w:szCs w:val="24"/>
        </w:rPr>
        <w:t>Member state authorities</w:t>
      </w:r>
      <w:r w:rsidRPr="00542EB9">
        <w:rPr>
          <w:rFonts w:ascii="Times New Roman" w:hAnsi="Times New Roman"/>
          <w:noProof/>
          <w:sz w:val="24"/>
          <w:szCs w:val="24"/>
        </w:rPr>
        <w:t xml:space="preserve"> overall showed consistent support across most areas, with particularly high support for cross-border projects (</w:t>
      </w:r>
      <w:r w:rsidR="00B871A0" w:rsidRPr="00542EB9">
        <w:rPr>
          <w:rFonts w:ascii="Times New Roman" w:hAnsi="Times New Roman"/>
          <w:noProof/>
          <w:sz w:val="24"/>
          <w:szCs w:val="24"/>
        </w:rPr>
        <w:t>97%, 92 out of 95</w:t>
      </w:r>
      <w:r w:rsidRPr="00542EB9">
        <w:rPr>
          <w:rFonts w:ascii="Times New Roman" w:hAnsi="Times New Roman"/>
          <w:noProof/>
          <w:sz w:val="24"/>
          <w:szCs w:val="24"/>
        </w:rPr>
        <w:t>).</w:t>
      </w:r>
    </w:p>
    <w:p w14:paraId="60C12FA1" w14:textId="7B63DDDF" w:rsidR="00C75A29" w:rsidRPr="00542EB9" w:rsidRDefault="00C75A29" w:rsidP="00C75A29">
      <w:pPr>
        <w:pStyle w:val="BodyText1"/>
        <w:rPr>
          <w:rFonts w:ascii="Times New Roman" w:hAnsi="Times New Roman"/>
          <w:noProof/>
          <w:sz w:val="24"/>
          <w:szCs w:val="24"/>
        </w:rPr>
      </w:pPr>
      <w:r w:rsidRPr="00542EB9">
        <w:rPr>
          <w:rFonts w:ascii="Times New Roman" w:hAnsi="Times New Roman"/>
          <w:b/>
          <w:bCs/>
          <w:noProof/>
          <w:sz w:val="24"/>
          <w:szCs w:val="24"/>
        </w:rPr>
        <w:t>EU citizens</w:t>
      </w:r>
      <w:r w:rsidRPr="00542EB9">
        <w:rPr>
          <w:rFonts w:ascii="Times New Roman" w:hAnsi="Times New Roman"/>
          <w:noProof/>
          <w:sz w:val="24"/>
          <w:szCs w:val="24"/>
        </w:rPr>
        <w:t xml:space="preserve"> </w:t>
      </w:r>
      <w:r w:rsidRPr="00542EB9">
        <w:rPr>
          <w:rFonts w:ascii="Times New Roman" w:hAnsi="Times New Roman"/>
          <w:b/>
          <w:bCs/>
          <w:noProof/>
          <w:sz w:val="24"/>
          <w:szCs w:val="24"/>
        </w:rPr>
        <w:t>and consumers</w:t>
      </w:r>
      <w:r w:rsidRPr="00542EB9">
        <w:rPr>
          <w:rFonts w:ascii="Times New Roman" w:hAnsi="Times New Roman"/>
          <w:noProof/>
          <w:sz w:val="24"/>
          <w:szCs w:val="24"/>
        </w:rPr>
        <w:t xml:space="preserve"> expressed relatively high support across most areas, particularly for ensuring consumer protection </w:t>
      </w:r>
      <w:r w:rsidR="00431CF7" w:rsidRPr="00542EB9">
        <w:rPr>
          <w:rFonts w:ascii="Times New Roman" w:hAnsi="Times New Roman"/>
          <w:noProof/>
          <w:sz w:val="24"/>
          <w:szCs w:val="24"/>
        </w:rPr>
        <w:t>(94%, 164 out of 174), preventing unsafe/non-compliant products (91%, 159 out of 176), strengthening competitiveness and sustainability (90%, 160 out of 176) and removing internal market obstacles (92%, 163 out of 177).</w:t>
      </w:r>
    </w:p>
    <w:p w14:paraId="6E4D2288" w14:textId="5D12178D" w:rsidR="00C75A29" w:rsidRPr="00542EB9" w:rsidRDefault="00C75A29" w:rsidP="00C75A29">
      <w:pPr>
        <w:pStyle w:val="BodyText1"/>
        <w:rPr>
          <w:rFonts w:ascii="Times New Roman" w:hAnsi="Times New Roman"/>
          <w:noProof/>
          <w:sz w:val="24"/>
          <w:szCs w:val="24"/>
        </w:rPr>
      </w:pPr>
      <w:r w:rsidRPr="00542EB9">
        <w:rPr>
          <w:rFonts w:ascii="Times New Roman" w:hAnsi="Times New Roman"/>
          <w:b/>
          <w:noProof/>
          <w:sz w:val="24"/>
          <w:szCs w:val="24"/>
        </w:rPr>
        <w:t>Business stakeholders</w:t>
      </w:r>
      <w:r w:rsidRPr="00542EB9">
        <w:rPr>
          <w:rFonts w:ascii="Times New Roman" w:hAnsi="Times New Roman"/>
          <w:bCs/>
          <w:noProof/>
          <w:sz w:val="24"/>
          <w:szCs w:val="24"/>
        </w:rPr>
        <w:t xml:space="preserve"> overall showed more moderate support across most areas compared to other stakeholder groups, but placed strong emphasis on competitiveness and sustainability </w:t>
      </w:r>
      <w:r w:rsidR="005261EF" w:rsidRPr="00542EB9">
        <w:rPr>
          <w:rFonts w:ascii="Times New Roman" w:hAnsi="Times New Roman"/>
          <w:bCs/>
          <w:noProof/>
          <w:sz w:val="24"/>
          <w:szCs w:val="24"/>
        </w:rPr>
        <w:t>(94%, 132 out of 140). Among this group, SMEs showed highest support for access to funding, and capacity building</w:t>
      </w:r>
      <w:r w:rsidRPr="00542EB9">
        <w:rPr>
          <w:rFonts w:ascii="Times New Roman" w:hAnsi="Times New Roman"/>
          <w:noProof/>
          <w:sz w:val="24"/>
          <w:szCs w:val="24"/>
        </w:rPr>
        <w:t>.</w:t>
      </w:r>
    </w:p>
    <w:p w14:paraId="6D81F83F" w14:textId="1D8D3A37" w:rsidR="007D2A98" w:rsidRPr="00542EB9" w:rsidRDefault="00C75A29" w:rsidP="007D2A98">
      <w:pPr>
        <w:pStyle w:val="BodyText1"/>
        <w:rPr>
          <w:b/>
          <w:noProof/>
        </w:rPr>
      </w:pPr>
      <w:r w:rsidRPr="00542EB9">
        <w:rPr>
          <w:rFonts w:ascii="Times New Roman" w:hAnsi="Times New Roman"/>
          <w:b/>
          <w:noProof/>
          <w:sz w:val="24"/>
          <w:szCs w:val="24"/>
        </w:rPr>
        <w:t xml:space="preserve">Figure </w:t>
      </w:r>
      <w:r w:rsidRPr="00542EB9">
        <w:rPr>
          <w:rFonts w:ascii="Times New Roman" w:hAnsi="Times New Roman"/>
          <w:b/>
          <w:noProof/>
          <w:sz w:val="24"/>
          <w:szCs w:val="24"/>
        </w:rPr>
        <w:fldChar w:fldCharType="begin"/>
      </w:r>
      <w:r w:rsidRPr="00542EB9">
        <w:rPr>
          <w:rFonts w:ascii="Times New Roman" w:hAnsi="Times New Roman"/>
          <w:b/>
          <w:noProof/>
          <w:sz w:val="24"/>
          <w:szCs w:val="24"/>
        </w:rPr>
        <w:instrText xml:space="preserve"> SEQ Figure \* ARABIC </w:instrText>
      </w:r>
      <w:r w:rsidRPr="00542EB9">
        <w:rPr>
          <w:rFonts w:ascii="Times New Roman" w:hAnsi="Times New Roman"/>
          <w:b/>
          <w:noProof/>
          <w:sz w:val="24"/>
          <w:szCs w:val="24"/>
        </w:rPr>
        <w:fldChar w:fldCharType="separate"/>
      </w:r>
      <w:r w:rsidR="00594BB2">
        <w:rPr>
          <w:rFonts w:ascii="Times New Roman" w:hAnsi="Times New Roman"/>
          <w:b/>
          <w:noProof/>
          <w:sz w:val="24"/>
          <w:szCs w:val="24"/>
        </w:rPr>
        <w:t>8</w:t>
      </w:r>
      <w:r w:rsidRPr="00542EB9">
        <w:rPr>
          <w:rFonts w:ascii="Times New Roman" w:hAnsi="Times New Roman"/>
          <w:noProof/>
          <w:sz w:val="24"/>
          <w:szCs w:val="24"/>
        </w:rPr>
        <w:fldChar w:fldCharType="end"/>
      </w:r>
      <w:r w:rsidRPr="00542EB9">
        <w:rPr>
          <w:rFonts w:ascii="Times New Roman" w:hAnsi="Times New Roman"/>
          <w:b/>
          <w:noProof/>
          <w:sz w:val="24"/>
          <w:szCs w:val="24"/>
        </w:rPr>
        <w:t>. Support for actions at EU level</w:t>
      </w:r>
    </w:p>
    <w:p w14:paraId="2E1D8126" w14:textId="34AEDED7" w:rsidR="007D2A98" w:rsidRPr="00542EB9" w:rsidRDefault="00766B5A" w:rsidP="511B530B">
      <w:pPr>
        <w:pStyle w:val="BodyText1"/>
        <w:rPr>
          <w:b/>
          <w:bCs/>
          <w:i/>
          <w:iCs/>
          <w:noProof/>
        </w:rPr>
      </w:pPr>
      <w:r w:rsidRPr="00542EB9">
        <w:rPr>
          <w:noProof/>
          <w:lang w:eastAsia="en-GB"/>
        </w:rPr>
        <w:drawing>
          <wp:inline distT="0" distB="0" distL="0" distR="0" wp14:anchorId="33A7AE21" wp14:editId="42D00187">
            <wp:extent cx="5627077" cy="3744595"/>
            <wp:effectExtent l="0" t="0" r="12065" b="8255"/>
            <wp:docPr id="72205898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CF056D0" w14:textId="77777777" w:rsidR="007D2A98" w:rsidRPr="00542EB9" w:rsidRDefault="007D2A98" w:rsidP="007D2A98">
      <w:pPr>
        <w:pStyle w:val="BodyText1"/>
        <w:rPr>
          <w:rFonts w:ascii="Times New Roman" w:hAnsi="Times New Roman"/>
          <w:bCs/>
          <w:i/>
          <w:noProof/>
          <w:sz w:val="24"/>
          <w:szCs w:val="24"/>
        </w:rPr>
      </w:pPr>
      <w:r w:rsidRPr="00542EB9">
        <w:rPr>
          <w:rFonts w:ascii="Times New Roman" w:hAnsi="Times New Roman"/>
          <w:bCs/>
          <w:i/>
          <w:noProof/>
          <w:sz w:val="24"/>
          <w:szCs w:val="24"/>
        </w:rPr>
        <w:t>Note: The figure shows the 10 response options with the highest number of combined ‘To a large extent’ and ‘Somewhat’ ratings.</w:t>
      </w:r>
    </w:p>
    <w:p w14:paraId="16B46C31" w14:textId="4111AA56" w:rsidR="00DE660E" w:rsidRPr="00542EB9" w:rsidRDefault="009570CA" w:rsidP="007D2A98">
      <w:pPr>
        <w:pStyle w:val="BodyText1"/>
        <w:rPr>
          <w:rFonts w:ascii="Times New Roman" w:hAnsi="Times New Roman"/>
          <w:b/>
          <w:i/>
          <w:noProof/>
        </w:rPr>
      </w:pPr>
      <w:r w:rsidRPr="00542EB9">
        <w:rPr>
          <w:rFonts w:ascii="Times New Roman" w:hAnsi="Times New Roman"/>
          <w:b/>
          <w:i/>
          <w:noProof/>
        </w:rPr>
        <w:t xml:space="preserve">SPECIFIC INFORMATION for </w:t>
      </w:r>
      <w:r w:rsidR="006902A9" w:rsidRPr="00542EB9">
        <w:rPr>
          <w:rFonts w:ascii="Times New Roman" w:hAnsi="Times New Roman"/>
          <w:b/>
          <w:i/>
          <w:noProof/>
        </w:rPr>
        <w:t>CUSTOMS and FISCALIS</w:t>
      </w:r>
    </w:p>
    <w:p w14:paraId="090D0F38" w14:textId="15B0274D" w:rsidR="00803DC6" w:rsidRPr="00542EB9" w:rsidRDefault="7DBE4FEF" w:rsidP="00803DC6">
      <w:pPr>
        <w:rPr>
          <w:rFonts w:eastAsia="Times New Roman"/>
          <w:noProof/>
        </w:rPr>
      </w:pPr>
      <w:r w:rsidRPr="00542EB9">
        <w:rPr>
          <w:noProof/>
        </w:rPr>
        <w:t>In paral</w:t>
      </w:r>
      <w:r w:rsidRPr="00542EB9">
        <w:rPr>
          <w:rFonts w:eastAsia="Times New Roman"/>
          <w:noProof/>
        </w:rPr>
        <w:t>lel</w:t>
      </w:r>
      <w:r w:rsidR="55A72A9F" w:rsidRPr="00542EB9">
        <w:rPr>
          <w:rFonts w:eastAsia="Times New Roman"/>
          <w:noProof/>
        </w:rPr>
        <w:t>,</w:t>
      </w:r>
      <w:r w:rsidRPr="00542EB9">
        <w:rPr>
          <w:rFonts w:eastAsia="Times New Roman"/>
          <w:noProof/>
        </w:rPr>
        <w:t xml:space="preserve"> </w:t>
      </w:r>
      <w:r w:rsidR="70CB04D2" w:rsidRPr="00542EB9">
        <w:rPr>
          <w:rFonts w:eastAsia="Times New Roman"/>
          <w:noProof/>
        </w:rPr>
        <w:t xml:space="preserve">the study supporting the </w:t>
      </w:r>
      <w:r w:rsidRPr="00542EB9">
        <w:rPr>
          <w:rFonts w:eastAsia="Times New Roman"/>
          <w:noProof/>
        </w:rPr>
        <w:t xml:space="preserve">interim evaluations of the Customs and Fiscalis programmes, even though </w:t>
      </w:r>
      <w:r w:rsidR="18D9B54F" w:rsidRPr="00542EB9">
        <w:rPr>
          <w:rFonts w:eastAsia="Times New Roman"/>
          <w:noProof/>
        </w:rPr>
        <w:t xml:space="preserve">the work is </w:t>
      </w:r>
      <w:r w:rsidR="2CFE4B4B" w:rsidRPr="00542EB9">
        <w:rPr>
          <w:rFonts w:eastAsia="Times New Roman"/>
          <w:noProof/>
        </w:rPr>
        <w:t>not yet</w:t>
      </w:r>
      <w:r w:rsidR="18D9B54F" w:rsidRPr="00542EB9">
        <w:rPr>
          <w:rFonts w:eastAsia="Times New Roman"/>
          <w:noProof/>
        </w:rPr>
        <w:t xml:space="preserve"> finalised, </w:t>
      </w:r>
      <w:r w:rsidR="5D07EF01" w:rsidRPr="00542EB9">
        <w:rPr>
          <w:rFonts w:eastAsia="Times New Roman"/>
          <w:noProof/>
        </w:rPr>
        <w:t xml:space="preserve">carried </w:t>
      </w:r>
      <w:r w:rsidR="08546B5D" w:rsidRPr="00542EB9">
        <w:rPr>
          <w:rFonts w:eastAsia="Times New Roman"/>
          <w:noProof/>
        </w:rPr>
        <w:t xml:space="preserve">several </w:t>
      </w:r>
      <w:r w:rsidR="52994FE1" w:rsidRPr="00542EB9">
        <w:rPr>
          <w:rFonts w:eastAsia="Times New Roman"/>
          <w:noProof/>
        </w:rPr>
        <w:t>consultations with direct (national authorities) and indirect beneficiaries (e.g. citizens and economic operators)</w:t>
      </w:r>
      <w:r w:rsidR="18D9B54F" w:rsidRPr="00542EB9">
        <w:rPr>
          <w:rFonts w:eastAsia="Times New Roman"/>
          <w:noProof/>
        </w:rPr>
        <w:t xml:space="preserve"> </w:t>
      </w:r>
      <w:r w:rsidR="24B2C354" w:rsidRPr="00542EB9">
        <w:rPr>
          <w:rFonts w:eastAsia="Times New Roman"/>
          <w:noProof/>
        </w:rPr>
        <w:t>via the case studies, targeted surveys and interviews</w:t>
      </w:r>
      <w:r w:rsidR="55B9682E" w:rsidRPr="00542EB9">
        <w:rPr>
          <w:rFonts w:eastAsia="Times New Roman"/>
          <w:noProof/>
        </w:rPr>
        <w:t xml:space="preserve">. This </w:t>
      </w:r>
      <w:r w:rsidR="5362DFFC" w:rsidRPr="00542EB9">
        <w:rPr>
          <w:rFonts w:eastAsia="Times New Roman"/>
          <w:noProof/>
        </w:rPr>
        <w:t>extensive</w:t>
      </w:r>
      <w:r w:rsidR="55B9682E" w:rsidRPr="00542EB9">
        <w:rPr>
          <w:rFonts w:eastAsia="Times New Roman"/>
          <w:noProof/>
        </w:rPr>
        <w:t xml:space="preserve"> consultation shows evidence of large satisfaction of the </w:t>
      </w:r>
      <w:r w:rsidR="1AF45740" w:rsidRPr="00542EB9">
        <w:rPr>
          <w:rFonts w:eastAsia="Times New Roman"/>
          <w:noProof/>
        </w:rPr>
        <w:t>participants in actions that are linked to capacity building</w:t>
      </w:r>
      <w:r w:rsidR="19C9621C" w:rsidRPr="00542EB9">
        <w:rPr>
          <w:rFonts w:eastAsia="Times New Roman"/>
          <w:noProof/>
        </w:rPr>
        <w:t>,</w:t>
      </w:r>
      <w:r w:rsidR="1AF45740" w:rsidRPr="00542EB9">
        <w:rPr>
          <w:rFonts w:eastAsia="Times New Roman"/>
          <w:noProof/>
        </w:rPr>
        <w:t xml:space="preserve"> cooperation and integration between authorities</w:t>
      </w:r>
      <w:r w:rsidR="0D9D3E73" w:rsidRPr="00542EB9">
        <w:rPr>
          <w:rFonts w:eastAsia="Times New Roman"/>
          <w:noProof/>
        </w:rPr>
        <w:t>.</w:t>
      </w:r>
      <w:r w:rsidR="28540C51" w:rsidRPr="00542EB9">
        <w:rPr>
          <w:rFonts w:eastAsia="Times New Roman"/>
          <w:noProof/>
        </w:rPr>
        <w:t xml:space="preserve"> </w:t>
      </w:r>
      <w:r w:rsidR="69288A80" w:rsidRPr="00542EB9">
        <w:rPr>
          <w:rFonts w:eastAsia="Times New Roman"/>
          <w:noProof/>
        </w:rPr>
        <w:t>In addition</w:t>
      </w:r>
      <w:r w:rsidR="28540C51" w:rsidRPr="00542EB9">
        <w:rPr>
          <w:rFonts w:eastAsia="Times New Roman"/>
          <w:noProof/>
        </w:rPr>
        <w:t xml:space="preserve">, preliminary findings </w:t>
      </w:r>
      <w:r w:rsidR="2E46A6B2" w:rsidRPr="00542EB9">
        <w:rPr>
          <w:rFonts w:eastAsia="Times New Roman"/>
          <w:noProof/>
        </w:rPr>
        <w:t xml:space="preserve">on case studies covering selected European electronic systems </w:t>
      </w:r>
      <w:r w:rsidR="28540C51" w:rsidRPr="00542EB9">
        <w:rPr>
          <w:rFonts w:eastAsia="Times New Roman"/>
          <w:noProof/>
        </w:rPr>
        <w:t>show that the central digital solu</w:t>
      </w:r>
      <w:r w:rsidR="2CA031D2" w:rsidRPr="00542EB9">
        <w:rPr>
          <w:rFonts w:eastAsia="Times New Roman"/>
          <w:noProof/>
        </w:rPr>
        <w:t>tions for both customs and taxation are</w:t>
      </w:r>
      <w:r w:rsidR="2EA58F87" w:rsidRPr="00542EB9">
        <w:rPr>
          <w:rFonts w:eastAsia="Times New Roman"/>
          <w:noProof/>
        </w:rPr>
        <w:t xml:space="preserve"> rather efficient and effective creating EU added value (compared to the </w:t>
      </w:r>
      <w:r w:rsidR="6C6E1DAC" w:rsidRPr="00542EB9">
        <w:rPr>
          <w:rFonts w:eastAsia="Times New Roman"/>
          <w:noProof/>
        </w:rPr>
        <w:t xml:space="preserve">scenario of </w:t>
      </w:r>
      <w:r w:rsidR="2EA58F87" w:rsidRPr="00542EB9">
        <w:rPr>
          <w:rFonts w:eastAsia="Times New Roman"/>
          <w:noProof/>
        </w:rPr>
        <w:t xml:space="preserve">absence of </w:t>
      </w:r>
      <w:r w:rsidR="3EB2ADC0" w:rsidRPr="00542EB9">
        <w:rPr>
          <w:rFonts w:eastAsia="Times New Roman"/>
          <w:noProof/>
        </w:rPr>
        <w:t>centrally managed electronic systems which would have been replaced by</w:t>
      </w:r>
      <w:r w:rsidR="183113FE" w:rsidRPr="00542EB9">
        <w:rPr>
          <w:rFonts w:eastAsia="Times New Roman"/>
          <w:noProof/>
        </w:rPr>
        <w:t xml:space="preserve"> </w:t>
      </w:r>
      <w:r w:rsidR="444E4B54" w:rsidRPr="00542EB9">
        <w:rPr>
          <w:rFonts w:eastAsia="Times New Roman"/>
          <w:noProof/>
        </w:rPr>
        <w:t>numerous</w:t>
      </w:r>
      <w:r w:rsidR="3EB2ADC0" w:rsidRPr="00542EB9">
        <w:rPr>
          <w:rFonts w:eastAsia="Times New Roman"/>
          <w:noProof/>
        </w:rPr>
        <w:t xml:space="preserve"> individual systems managed by </w:t>
      </w:r>
      <w:r w:rsidR="015B01C9" w:rsidRPr="00542EB9">
        <w:rPr>
          <w:rFonts w:eastAsia="Times New Roman"/>
          <w:noProof/>
        </w:rPr>
        <w:t>Member States).</w:t>
      </w:r>
      <w:r w:rsidR="5CAE8734" w:rsidRPr="00542EB9">
        <w:rPr>
          <w:rFonts w:eastAsia="Times New Roman"/>
          <w:noProof/>
        </w:rPr>
        <w:t xml:space="preserve"> </w:t>
      </w:r>
      <w:r w:rsidR="69288A80" w:rsidRPr="00542EB9">
        <w:rPr>
          <w:rFonts w:eastAsia="Times New Roman"/>
          <w:noProof/>
        </w:rPr>
        <w:t xml:space="preserve">Early consultations with the direct beneficiaries </w:t>
      </w:r>
      <w:r w:rsidR="1004C3B5" w:rsidRPr="00542EB9">
        <w:rPr>
          <w:rFonts w:eastAsia="Times New Roman"/>
          <w:noProof/>
        </w:rPr>
        <w:t xml:space="preserve">of the Customs and Fiscalis programmes </w:t>
      </w:r>
      <w:r w:rsidR="69288A80" w:rsidRPr="00542EB9">
        <w:rPr>
          <w:rFonts w:eastAsia="Times New Roman"/>
          <w:noProof/>
        </w:rPr>
        <w:t>(customs and tax authorities)</w:t>
      </w:r>
      <w:r w:rsidR="217E4A08" w:rsidRPr="00542EB9">
        <w:rPr>
          <w:rFonts w:eastAsia="Times New Roman"/>
          <w:noProof/>
        </w:rPr>
        <w:t xml:space="preserve"> took place</w:t>
      </w:r>
      <w:r w:rsidR="69288A80" w:rsidRPr="00542EB9">
        <w:rPr>
          <w:rFonts w:eastAsia="Times New Roman"/>
          <w:noProof/>
        </w:rPr>
        <w:t xml:space="preserve"> in a form a dedicated agenda point in the national programme coordinators’ workshop</w:t>
      </w:r>
      <w:r w:rsidR="7F6135F0" w:rsidRPr="00542EB9">
        <w:rPr>
          <w:rFonts w:eastAsia="Times New Roman"/>
          <w:noProof/>
        </w:rPr>
        <w:t>s in 202</w:t>
      </w:r>
      <w:r w:rsidR="7E6EA5AD" w:rsidRPr="00542EB9">
        <w:rPr>
          <w:rFonts w:eastAsia="Times New Roman"/>
          <w:noProof/>
        </w:rPr>
        <w:t>4</w:t>
      </w:r>
      <w:r w:rsidR="00554DE1" w:rsidRPr="00542EB9">
        <w:rPr>
          <w:rStyle w:val="FootnoteReference"/>
          <w:rFonts w:eastAsia="Times New Roman"/>
          <w:noProof/>
          <w:sz w:val="20"/>
          <w:szCs w:val="20"/>
        </w:rPr>
        <w:footnoteReference w:id="90"/>
      </w:r>
      <w:r w:rsidR="217E4A08" w:rsidRPr="00542EB9">
        <w:rPr>
          <w:rFonts w:eastAsia="Times New Roman"/>
          <w:noProof/>
        </w:rPr>
        <w:t>.</w:t>
      </w:r>
      <w:r w:rsidR="7F6135F0" w:rsidRPr="00542EB9">
        <w:rPr>
          <w:rFonts w:eastAsia="Times New Roman"/>
          <w:noProof/>
        </w:rPr>
        <w:t xml:space="preserve"> </w:t>
      </w:r>
      <w:r w:rsidR="1004C3B5" w:rsidRPr="00542EB9">
        <w:rPr>
          <w:rFonts w:eastAsia="Times New Roman"/>
          <w:noProof/>
        </w:rPr>
        <w:t>In this session, t</w:t>
      </w:r>
      <w:r w:rsidR="217E4A08" w:rsidRPr="00542EB9">
        <w:rPr>
          <w:rFonts w:eastAsia="Times New Roman"/>
          <w:noProof/>
        </w:rPr>
        <w:t xml:space="preserve">he Commission invited the participants to take </w:t>
      </w:r>
      <w:r w:rsidR="1004C3B5" w:rsidRPr="00542EB9">
        <w:rPr>
          <w:rFonts w:eastAsia="Times New Roman"/>
          <w:noProof/>
        </w:rPr>
        <w:t xml:space="preserve">a </w:t>
      </w:r>
      <w:r w:rsidR="217E4A08" w:rsidRPr="00542EB9">
        <w:rPr>
          <w:rFonts w:eastAsia="Times New Roman"/>
          <w:noProof/>
        </w:rPr>
        <w:t>critical look at the functioning and benefits of the collaborative activities under the general collaboration actions grant and the expert team grants. The breakout groups were to address the following specific questions:</w:t>
      </w:r>
    </w:p>
    <w:p w14:paraId="550D7E15" w14:textId="5DC08154" w:rsidR="00803DC6" w:rsidRPr="00542EB9" w:rsidRDefault="00803DC6" w:rsidP="04A0DC72">
      <w:pPr>
        <w:pStyle w:val="ListParagraph"/>
        <w:numPr>
          <w:ilvl w:val="0"/>
          <w:numId w:val="107"/>
        </w:numPr>
        <w:rPr>
          <w:rFonts w:eastAsia="Times New Roman"/>
          <w:noProof/>
        </w:rPr>
      </w:pPr>
      <w:r w:rsidRPr="00542EB9">
        <w:rPr>
          <w:rFonts w:eastAsia="Times New Roman"/>
          <w:noProof/>
        </w:rPr>
        <w:t>What would be the consequences (direct and indirect) of a scenario where is only limited or even no budget available for collaborative activities? What rational and tangible policy and political defensives are there to justify securing the budget for collaboration?</w:t>
      </w:r>
    </w:p>
    <w:p w14:paraId="01AAC1F3" w14:textId="0FD880C8" w:rsidR="00803DC6" w:rsidRPr="00542EB9" w:rsidRDefault="00803DC6" w:rsidP="04A0DC72">
      <w:pPr>
        <w:pStyle w:val="ListParagraph"/>
        <w:numPr>
          <w:ilvl w:val="0"/>
          <w:numId w:val="107"/>
        </w:numPr>
        <w:rPr>
          <w:rFonts w:eastAsia="Times New Roman"/>
          <w:noProof/>
        </w:rPr>
      </w:pPr>
      <w:r w:rsidRPr="00542EB9">
        <w:rPr>
          <w:rFonts w:eastAsia="Times New Roman"/>
          <w:noProof/>
        </w:rPr>
        <w:t>What shortcomings (vulnerabilities) are there regarding collaboration that may undermine the securing of the budget and play into the court of those who would advocate for eliminating/reducing collaboration actions?</w:t>
      </w:r>
    </w:p>
    <w:p w14:paraId="0EDF4459" w14:textId="31C7762E" w:rsidR="00803DC6" w:rsidRPr="00542EB9" w:rsidRDefault="00803DC6" w:rsidP="04A0DC72">
      <w:pPr>
        <w:pStyle w:val="ListParagraph"/>
        <w:numPr>
          <w:ilvl w:val="0"/>
          <w:numId w:val="107"/>
        </w:numPr>
        <w:rPr>
          <w:rFonts w:eastAsia="Times New Roman"/>
          <w:noProof/>
        </w:rPr>
      </w:pPr>
      <w:r w:rsidRPr="00542EB9">
        <w:rPr>
          <w:rFonts w:eastAsia="Times New Roman"/>
          <w:noProof/>
        </w:rPr>
        <w:t>What would be the criteria for selecting priority actions? General collaboration action grant – flexibility: advantages and downsides. How to address the negative aspects and how much we can sacrifice flexibility?</w:t>
      </w:r>
    </w:p>
    <w:p w14:paraId="264DBF3C" w14:textId="353899A7" w:rsidR="00803DC6" w:rsidRPr="00542EB9" w:rsidRDefault="00803DC6" w:rsidP="04A0DC72">
      <w:pPr>
        <w:pStyle w:val="ListParagraph"/>
        <w:numPr>
          <w:ilvl w:val="0"/>
          <w:numId w:val="107"/>
        </w:numPr>
        <w:rPr>
          <w:rFonts w:eastAsia="Times New Roman"/>
          <w:noProof/>
        </w:rPr>
      </w:pPr>
      <w:r w:rsidRPr="00542EB9">
        <w:rPr>
          <w:rFonts w:eastAsia="Times New Roman"/>
          <w:noProof/>
        </w:rPr>
        <w:t>What if only national administrations can initiate and lead collaborative actions? What kind of actions you would imagine that would take place? What kind of activities would stop or reduce significantly? Why?</w:t>
      </w:r>
    </w:p>
    <w:p w14:paraId="28FEB7F5" w14:textId="059CA34F" w:rsidR="00803DC6" w:rsidRPr="00542EB9" w:rsidRDefault="00803DC6" w:rsidP="00803DC6">
      <w:pPr>
        <w:rPr>
          <w:rFonts w:eastAsia="Times New Roman"/>
          <w:noProof/>
        </w:rPr>
      </w:pPr>
      <w:r w:rsidRPr="00542EB9">
        <w:rPr>
          <w:rFonts w:eastAsia="Times New Roman"/>
          <w:noProof/>
        </w:rPr>
        <w:t>In their feedback the participants noted that many collaborative activities are implemented with online collaboration and online meetings, not having a budgetary impact</w:t>
      </w:r>
      <w:r w:rsidR="00714F99" w:rsidRPr="00542EB9">
        <w:rPr>
          <w:rFonts w:eastAsia="Times New Roman"/>
          <w:noProof/>
        </w:rPr>
        <w:t>.</w:t>
      </w:r>
      <w:r w:rsidRPr="00542EB9">
        <w:rPr>
          <w:rFonts w:eastAsia="Times New Roman"/>
          <w:noProof/>
        </w:rPr>
        <w:t xml:space="preserve"> This however reduces the</w:t>
      </w:r>
      <w:r w:rsidR="009649BF" w:rsidRPr="00542EB9">
        <w:rPr>
          <w:rFonts w:eastAsia="Times New Roman"/>
          <w:noProof/>
        </w:rPr>
        <w:t xml:space="preserve"> </w:t>
      </w:r>
      <w:r w:rsidRPr="00542EB9">
        <w:rPr>
          <w:rFonts w:eastAsia="Times New Roman"/>
          <w:noProof/>
        </w:rPr>
        <w:t>effective and efficient sharing of good practices. Further reduction of the budget would reduce further the physical meetings.</w:t>
      </w:r>
    </w:p>
    <w:p w14:paraId="37147B7A" w14:textId="5C4221C2" w:rsidR="008726DD" w:rsidRPr="00542EB9" w:rsidRDefault="00803DC6" w:rsidP="00803DC6">
      <w:pPr>
        <w:rPr>
          <w:rFonts w:eastAsia="Times New Roman"/>
          <w:noProof/>
        </w:rPr>
      </w:pPr>
      <w:r w:rsidRPr="00542EB9">
        <w:rPr>
          <w:rFonts w:eastAsia="Times New Roman"/>
          <w:noProof/>
        </w:rPr>
        <w:t xml:space="preserve">The participants emphasised that the collaborative activities and the networking generated by the physical meetings reinforce trust between the participating countries. This is especially relevant for the candidate countries and potential candidates, which is essential for their integration. The participants identified the following criteria for selecting priority actions: efficiency, effectiveness, coherence, relevance, and EU added value – following the principles used by the better regulation concept. The feedback also highlighted the need to align priority actions with the flagship policies of the EU (digital transition, green considerations, etc.). The current flexibility is highly appreciated under the general collaboration action grant, as it allows agility in adapting to emerging needs. At the same time, this agility and flexibility hampers predictability and budgetary planning, which may result in running out of the grant budget towards the end of grant cycle or on the contrary, underconsumption, as the beneficiaries would save up to unexpected activities which may never take place. The participants also questioned what kind of collaboration actions would be still required, following the </w:t>
      </w:r>
      <w:r w:rsidR="00DC1E31" w:rsidRPr="00542EB9">
        <w:rPr>
          <w:rFonts w:eastAsia="Times New Roman"/>
          <w:noProof/>
        </w:rPr>
        <w:t xml:space="preserve">potential </w:t>
      </w:r>
      <w:r w:rsidRPr="00542EB9">
        <w:rPr>
          <w:rFonts w:eastAsia="Times New Roman"/>
          <w:noProof/>
        </w:rPr>
        <w:t>establishment of the</w:t>
      </w:r>
      <w:r w:rsidR="00DC1E31" w:rsidRPr="00542EB9">
        <w:rPr>
          <w:rFonts w:eastAsia="Times New Roman"/>
          <w:noProof/>
        </w:rPr>
        <w:t xml:space="preserve"> EU Customs Authority</w:t>
      </w:r>
      <w:r w:rsidRPr="00542EB9">
        <w:rPr>
          <w:rFonts w:eastAsia="Times New Roman"/>
          <w:noProof/>
        </w:rPr>
        <w:t>. The breakout discussions acknowledged that the outcomes and results of collaborative activities are often obscured (not tangible, not measurable, not visible) or lack quality. In addition, the participants noted that green considerations impacted by air travel, in particular, could further reduce physical meetings and induce prioritisation in terms of physical meetings. At the same time, the participants remarked that to compensate for physical meetings, the quality of online meetings and interactions must be improved. The feedback also concluded that expert teams’ potential is not fully used. The outcomes of the discussions also emphasised the need for careful considerations for EU added value: one may question the EU added value of working visits especially in comparison with other activities (such as EU-level, conceptual or operational activities). Finally, the feedback expressed some critical views on programme groups, which often lack planning, sound project implementation, reporting and general management. Participants in activities should take an active role, and reduced number of participants would potentially also contribute to increased efficiency.</w:t>
      </w:r>
    </w:p>
    <w:p w14:paraId="39C202C8" w14:textId="7EDFD35F" w:rsidR="006B087E" w:rsidRPr="00542EB9" w:rsidRDefault="006B087E" w:rsidP="00FA5F81">
      <w:pPr>
        <w:pStyle w:val="AnnexTitle"/>
        <w:rPr>
          <w:noProof/>
        </w:rPr>
      </w:pPr>
      <w:bookmarkStart w:id="91" w:name="_Toc191909161"/>
      <w:bookmarkStart w:id="92" w:name="_Toc198549074"/>
      <w:r w:rsidRPr="00542EB9">
        <w:rPr>
          <w:noProof/>
        </w:rPr>
        <w:t>Annex 3: Who is affected and how?</w:t>
      </w:r>
      <w:bookmarkEnd w:id="91"/>
      <w:bookmarkEnd w:id="92"/>
    </w:p>
    <w:p w14:paraId="62F17F15" w14:textId="77777777" w:rsidR="006B087E" w:rsidRPr="00542EB9" w:rsidRDefault="006B087E" w:rsidP="00306B02">
      <w:pPr>
        <w:pStyle w:val="Heading1"/>
        <w:numPr>
          <w:ilvl w:val="0"/>
          <w:numId w:val="109"/>
        </w:numPr>
        <w:rPr>
          <w:noProof/>
        </w:rPr>
      </w:pPr>
      <w:bookmarkStart w:id="93" w:name="_Toc191909162"/>
      <w:bookmarkStart w:id="94" w:name="_Toc198549075"/>
      <w:r w:rsidRPr="00542EB9">
        <w:rPr>
          <w:noProof/>
        </w:rPr>
        <w:t>Practical implications of the initiative</w:t>
      </w:r>
      <w:bookmarkEnd w:id="93"/>
      <w:bookmarkEnd w:id="94"/>
    </w:p>
    <w:p w14:paraId="390A7865" w14:textId="1FF6B149" w:rsidR="00F36CE0" w:rsidRPr="00542EB9" w:rsidRDefault="00F36CE0" w:rsidP="00F36CE0">
      <w:pPr>
        <w:pStyle w:val="BodyText1"/>
        <w:rPr>
          <w:rFonts w:ascii="Times New Roman" w:hAnsi="Times New Roman"/>
          <w:noProof/>
          <w:sz w:val="24"/>
          <w:szCs w:val="24"/>
        </w:rPr>
      </w:pPr>
      <w:bookmarkStart w:id="95" w:name="_Hlk194503050"/>
      <w:bookmarkStart w:id="96" w:name="_Toc191909163"/>
      <w:r w:rsidRPr="00542EB9">
        <w:rPr>
          <w:rFonts w:ascii="Times New Roman" w:hAnsi="Times New Roman"/>
          <w:noProof/>
          <w:sz w:val="24"/>
          <w:szCs w:val="24"/>
        </w:rPr>
        <w:t>The</w:t>
      </w:r>
      <w:r w:rsidR="00E05291" w:rsidRPr="00542EB9">
        <w:rPr>
          <w:rFonts w:ascii="Times New Roman" w:hAnsi="Times New Roman"/>
          <w:noProof/>
          <w:sz w:val="24"/>
          <w:szCs w:val="24"/>
        </w:rPr>
        <w:t xml:space="preserve">re are implications for </w:t>
      </w:r>
      <w:r w:rsidRPr="00542EB9">
        <w:rPr>
          <w:rFonts w:ascii="Times New Roman" w:hAnsi="Times New Roman"/>
          <w:noProof/>
          <w:sz w:val="24"/>
          <w:szCs w:val="24"/>
        </w:rPr>
        <w:t>costs and benefits for three main groups of stakeholders.</w:t>
      </w:r>
    </w:p>
    <w:p w14:paraId="61B98C49" w14:textId="0C1A690C" w:rsidR="00F36CE0" w:rsidRPr="00542EB9" w:rsidRDefault="00F36CE0" w:rsidP="00F36CE0">
      <w:pPr>
        <w:pStyle w:val="bullet1"/>
        <w:rPr>
          <w:rFonts w:ascii="Times New Roman" w:hAnsi="Times New Roman"/>
          <w:sz w:val="24"/>
        </w:rPr>
      </w:pPr>
      <w:r w:rsidRPr="00542EB9">
        <w:rPr>
          <w:rFonts w:ascii="Times New Roman" w:hAnsi="Times New Roman"/>
          <w:sz w:val="24"/>
        </w:rPr>
        <w:t xml:space="preserve">Citizens and consumers </w:t>
      </w:r>
      <w:r w:rsidR="00C1160A" w:rsidRPr="00542EB9">
        <w:rPr>
          <w:rFonts w:ascii="Times New Roman" w:hAnsi="Times New Roman"/>
          <w:sz w:val="24"/>
        </w:rPr>
        <w:t>have</w:t>
      </w:r>
      <w:r w:rsidR="00C66F17" w:rsidRPr="00542EB9">
        <w:rPr>
          <w:rFonts w:ascii="Times New Roman" w:hAnsi="Times New Roman"/>
          <w:sz w:val="24"/>
        </w:rPr>
        <w:t xml:space="preserve"> </w:t>
      </w:r>
      <w:r w:rsidRPr="00542EB9">
        <w:rPr>
          <w:rFonts w:ascii="Times New Roman" w:hAnsi="Times New Roman"/>
          <w:sz w:val="24"/>
        </w:rPr>
        <w:t xml:space="preserve">direct access or participate in supported activities (e.g. advice and support services) or they </w:t>
      </w:r>
      <w:r w:rsidR="00C1160A" w:rsidRPr="00542EB9">
        <w:rPr>
          <w:rFonts w:ascii="Times New Roman" w:hAnsi="Times New Roman"/>
          <w:sz w:val="24"/>
        </w:rPr>
        <w:t>are</w:t>
      </w:r>
      <w:r w:rsidRPr="00542EB9">
        <w:rPr>
          <w:rFonts w:ascii="Times New Roman" w:hAnsi="Times New Roman"/>
          <w:sz w:val="24"/>
        </w:rPr>
        <w:t xml:space="preserve"> indirectly affected, e.g. by activities that support competent authorities in different policy fields (e.g., competition, market surveillance).</w:t>
      </w:r>
    </w:p>
    <w:p w14:paraId="1C80CD51" w14:textId="1809F46A" w:rsidR="00F36CE0" w:rsidRPr="00542EB9" w:rsidRDefault="00F36CE0" w:rsidP="00F36CE0">
      <w:pPr>
        <w:pStyle w:val="bullet1"/>
        <w:rPr>
          <w:rFonts w:ascii="Times New Roman" w:hAnsi="Times New Roman"/>
          <w:sz w:val="24"/>
        </w:rPr>
      </w:pPr>
      <w:r w:rsidRPr="00542EB9">
        <w:rPr>
          <w:rFonts w:ascii="Times New Roman" w:hAnsi="Times New Roman"/>
          <w:sz w:val="24"/>
        </w:rPr>
        <w:t xml:space="preserve">Businesses, including entrepreneurs and investors: </w:t>
      </w:r>
      <w:r w:rsidR="00C1160A" w:rsidRPr="00542EB9">
        <w:rPr>
          <w:rFonts w:ascii="Times New Roman" w:hAnsi="Times New Roman"/>
          <w:sz w:val="24"/>
        </w:rPr>
        <w:t xml:space="preserve">have </w:t>
      </w:r>
      <w:r w:rsidRPr="00542EB9">
        <w:rPr>
          <w:rFonts w:ascii="Times New Roman" w:hAnsi="Times New Roman"/>
          <w:sz w:val="24"/>
        </w:rPr>
        <w:t xml:space="preserve">direct access or participate in supported activities or they </w:t>
      </w:r>
      <w:r w:rsidR="00455FFC" w:rsidRPr="00542EB9">
        <w:rPr>
          <w:rFonts w:ascii="Times New Roman" w:hAnsi="Times New Roman"/>
          <w:sz w:val="24"/>
        </w:rPr>
        <w:t xml:space="preserve">are </w:t>
      </w:r>
      <w:r w:rsidRPr="00542EB9">
        <w:rPr>
          <w:rFonts w:ascii="Times New Roman" w:hAnsi="Times New Roman"/>
          <w:sz w:val="24"/>
        </w:rPr>
        <w:t xml:space="preserve"> indirectly affected, e.g. by activities that support competent authorities in different policy fields.</w:t>
      </w:r>
    </w:p>
    <w:p w14:paraId="2A6913AF" w14:textId="7C22369D" w:rsidR="00F36CE0" w:rsidRPr="00542EB9" w:rsidRDefault="00F36CE0" w:rsidP="00F36CE0">
      <w:pPr>
        <w:pStyle w:val="bullet1"/>
        <w:rPr>
          <w:rFonts w:ascii="Times New Roman" w:hAnsi="Times New Roman"/>
          <w:sz w:val="24"/>
        </w:rPr>
      </w:pPr>
      <w:r w:rsidRPr="00542EB9">
        <w:rPr>
          <w:rFonts w:ascii="Times New Roman" w:hAnsi="Times New Roman"/>
          <w:sz w:val="24"/>
        </w:rPr>
        <w:t>Public authorities:  have two distinct roles: implementing the programme (or actions therein); participating in or benefiting (directly/indirectly) from supported activities. Public authorities include national authorities, European Commission, and EU-level or international bodies (e.g., standardisation bodies).</w:t>
      </w:r>
    </w:p>
    <w:p w14:paraId="4F7CBF24" w14:textId="12FB6860" w:rsidR="00F36CE0" w:rsidRPr="00542EB9" w:rsidRDefault="00BF3C24" w:rsidP="00F36CE0">
      <w:pPr>
        <w:pStyle w:val="BodyText1"/>
        <w:rPr>
          <w:rFonts w:ascii="Times New Roman" w:hAnsi="Times New Roman"/>
          <w:noProof/>
          <w:sz w:val="24"/>
          <w:szCs w:val="22"/>
        </w:rPr>
      </w:pPr>
      <w:r w:rsidRPr="00542EB9">
        <w:rPr>
          <w:rFonts w:ascii="Times New Roman" w:hAnsi="Times New Roman"/>
          <w:noProof/>
          <w:sz w:val="24"/>
          <w:szCs w:val="22"/>
        </w:rPr>
        <w:t>The following table summarises the costs and benefits</w:t>
      </w:r>
      <w:r w:rsidR="0049746E" w:rsidRPr="00542EB9">
        <w:rPr>
          <w:rFonts w:ascii="Times New Roman" w:hAnsi="Times New Roman"/>
          <w:noProof/>
          <w:sz w:val="24"/>
          <w:szCs w:val="22"/>
        </w:rPr>
        <w:t xml:space="preserve"> in qualitative terms</w:t>
      </w:r>
      <w:r w:rsidR="00100EB8" w:rsidRPr="00542EB9">
        <w:rPr>
          <w:rFonts w:ascii="Times New Roman" w:hAnsi="Times New Roman"/>
          <w:noProof/>
          <w:sz w:val="24"/>
          <w:szCs w:val="22"/>
        </w:rPr>
        <w:t xml:space="preserve"> anticipated in the continuity, integrated and unified scenario,</w:t>
      </w:r>
      <w:r w:rsidRPr="00542EB9">
        <w:rPr>
          <w:rFonts w:ascii="Times New Roman" w:hAnsi="Times New Roman"/>
          <w:noProof/>
          <w:sz w:val="24"/>
          <w:szCs w:val="22"/>
        </w:rPr>
        <w:t xml:space="preserve"> </w:t>
      </w:r>
      <w:r w:rsidR="003D5C3C" w:rsidRPr="00542EB9">
        <w:rPr>
          <w:rFonts w:ascii="Times New Roman" w:hAnsi="Times New Roman"/>
          <w:noProof/>
          <w:sz w:val="24"/>
          <w:szCs w:val="22"/>
        </w:rPr>
        <w:t xml:space="preserve">for the three main groups of </w:t>
      </w:r>
      <w:r w:rsidR="00100EB8" w:rsidRPr="00542EB9">
        <w:rPr>
          <w:rFonts w:ascii="Times New Roman" w:hAnsi="Times New Roman"/>
          <w:noProof/>
          <w:sz w:val="24"/>
          <w:szCs w:val="22"/>
        </w:rPr>
        <w:t>stakeholders</w:t>
      </w:r>
      <w:r w:rsidR="003D5C3C" w:rsidRPr="00542EB9">
        <w:rPr>
          <w:rFonts w:ascii="Times New Roman" w:hAnsi="Times New Roman"/>
          <w:noProof/>
          <w:sz w:val="24"/>
          <w:szCs w:val="22"/>
        </w:rPr>
        <w:t>.</w:t>
      </w:r>
    </w:p>
    <w:tbl>
      <w:tblPr>
        <w:tblStyle w:val="TableGrid"/>
        <w:tblW w:w="0" w:type="auto"/>
        <w:tblLook w:val="04A0" w:firstRow="1" w:lastRow="0" w:firstColumn="1" w:lastColumn="0" w:noHBand="0" w:noVBand="1"/>
      </w:tblPr>
      <w:tblGrid>
        <w:gridCol w:w="1150"/>
        <w:gridCol w:w="7743"/>
      </w:tblGrid>
      <w:tr w:rsidR="00100EB8" w:rsidRPr="00542EB9" w14:paraId="71977C9D" w14:textId="77777777" w:rsidTr="0057769D">
        <w:trPr>
          <w:trHeight w:val="315"/>
        </w:trPr>
        <w:tc>
          <w:tcPr>
            <w:tcW w:w="1811" w:type="dxa"/>
            <w:shd w:val="clear" w:color="auto" w:fill="1F497D" w:themeFill="text2"/>
            <w:hideMark/>
          </w:tcPr>
          <w:p w14:paraId="7EA24C7A" w14:textId="55ECFCE0" w:rsidR="00100EB8" w:rsidRPr="0057769D" w:rsidRDefault="00100EB8" w:rsidP="00100EB8">
            <w:pPr>
              <w:pStyle w:val="BodyText1"/>
              <w:rPr>
                <w:rFonts w:ascii="Times New Roman" w:hAnsi="Times New Roman"/>
                <w:b/>
                <w:bCs/>
                <w:noProof/>
                <w:color w:val="FFFFFF" w:themeColor="background1"/>
                <w:szCs w:val="22"/>
              </w:rPr>
            </w:pPr>
            <w:r w:rsidRPr="0057769D">
              <w:rPr>
                <w:rFonts w:ascii="Times New Roman" w:hAnsi="Times New Roman"/>
                <w:b/>
                <w:bCs/>
                <w:noProof/>
                <w:color w:val="FFFFFF" w:themeColor="background1"/>
                <w:szCs w:val="22"/>
              </w:rPr>
              <w:t> </w:t>
            </w:r>
            <w:r w:rsidR="0057769D">
              <w:rPr>
                <w:rFonts w:ascii="Times New Roman" w:hAnsi="Times New Roman"/>
                <w:b/>
                <w:bCs/>
                <w:noProof/>
                <w:color w:val="FFFFFF" w:themeColor="background1"/>
                <w:szCs w:val="22"/>
              </w:rPr>
              <w:t>Scenario</w:t>
            </w:r>
          </w:p>
        </w:tc>
        <w:tc>
          <w:tcPr>
            <w:tcW w:w="13077" w:type="dxa"/>
            <w:shd w:val="clear" w:color="auto" w:fill="1F497D" w:themeFill="text2"/>
            <w:hideMark/>
          </w:tcPr>
          <w:p w14:paraId="335CD324" w14:textId="77777777" w:rsidR="00100EB8" w:rsidRPr="0057769D" w:rsidRDefault="00100EB8" w:rsidP="00100EB8">
            <w:pPr>
              <w:pStyle w:val="BodyText1"/>
              <w:rPr>
                <w:rFonts w:ascii="Times New Roman" w:hAnsi="Times New Roman"/>
                <w:b/>
                <w:bCs/>
                <w:noProof/>
                <w:color w:val="FFFFFF" w:themeColor="background1"/>
                <w:szCs w:val="22"/>
              </w:rPr>
            </w:pPr>
            <w:r w:rsidRPr="0057769D">
              <w:rPr>
                <w:rFonts w:ascii="Times New Roman" w:hAnsi="Times New Roman"/>
                <w:b/>
                <w:bCs/>
                <w:noProof/>
                <w:color w:val="FFFFFF" w:themeColor="background1"/>
                <w:szCs w:val="22"/>
              </w:rPr>
              <w:t>Costs for citizens, consumers, businesses</w:t>
            </w:r>
          </w:p>
        </w:tc>
      </w:tr>
      <w:tr w:rsidR="00100EB8" w:rsidRPr="00542EB9" w14:paraId="7829A406" w14:textId="77777777" w:rsidTr="00100EB8">
        <w:trPr>
          <w:trHeight w:val="300"/>
        </w:trPr>
        <w:tc>
          <w:tcPr>
            <w:tcW w:w="1811" w:type="dxa"/>
            <w:vMerge w:val="restart"/>
            <w:hideMark/>
          </w:tcPr>
          <w:p w14:paraId="6CA7D152"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hideMark/>
          </w:tcPr>
          <w:p w14:paraId="7D161D1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compliance or enforcement costs</w:t>
            </w:r>
          </w:p>
        </w:tc>
      </w:tr>
      <w:tr w:rsidR="00100EB8" w:rsidRPr="00542EB9" w14:paraId="45B4D586" w14:textId="77777777" w:rsidTr="00100EB8">
        <w:trPr>
          <w:trHeight w:val="480"/>
        </w:trPr>
        <w:tc>
          <w:tcPr>
            <w:tcW w:w="1811" w:type="dxa"/>
            <w:vMerge/>
            <w:hideMark/>
          </w:tcPr>
          <w:p w14:paraId="6539021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711A22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direct costs (participation in, use of, or engagement with programme activities is entirely voluntary and imposes no costs on citizens, consumers or businesses)</w:t>
            </w:r>
          </w:p>
        </w:tc>
      </w:tr>
      <w:tr w:rsidR="00100EB8" w:rsidRPr="00542EB9" w14:paraId="65FAD159" w14:textId="77777777" w:rsidTr="00100EB8">
        <w:trPr>
          <w:trHeight w:val="495"/>
        </w:trPr>
        <w:tc>
          <w:tcPr>
            <w:tcW w:w="1811" w:type="dxa"/>
            <w:vMerge/>
            <w:hideMark/>
          </w:tcPr>
          <w:p w14:paraId="09AA201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E9E2BE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Possible indirect costs relating to “hassle” of accessing fragmented services provided across different policy areas.</w:t>
            </w:r>
          </w:p>
        </w:tc>
      </w:tr>
      <w:tr w:rsidR="00100EB8" w:rsidRPr="00542EB9" w14:paraId="1B6E4477" w14:textId="77777777" w:rsidTr="00100EB8">
        <w:trPr>
          <w:trHeight w:val="300"/>
        </w:trPr>
        <w:tc>
          <w:tcPr>
            <w:tcW w:w="1811" w:type="dxa"/>
            <w:vMerge w:val="restart"/>
            <w:hideMark/>
          </w:tcPr>
          <w:p w14:paraId="104D8133"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hideMark/>
          </w:tcPr>
          <w:p w14:paraId="0862350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different from Continuity Scenario, except:</w:t>
            </w:r>
          </w:p>
        </w:tc>
      </w:tr>
      <w:tr w:rsidR="00100EB8" w:rsidRPr="00542EB9" w14:paraId="38E9F51A" w14:textId="77777777" w:rsidTr="00100EB8">
        <w:trPr>
          <w:trHeight w:val="480"/>
        </w:trPr>
        <w:tc>
          <w:tcPr>
            <w:tcW w:w="1811" w:type="dxa"/>
            <w:vMerge/>
            <w:hideMark/>
          </w:tcPr>
          <w:p w14:paraId="7CD0E7A8"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5540C9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hassle in accessing services to the extent that services are less fragmented across policy areas</w:t>
            </w:r>
          </w:p>
        </w:tc>
      </w:tr>
      <w:tr w:rsidR="00100EB8" w:rsidRPr="00542EB9" w14:paraId="2F46883F" w14:textId="77777777" w:rsidTr="00100EB8">
        <w:trPr>
          <w:trHeight w:val="315"/>
        </w:trPr>
        <w:tc>
          <w:tcPr>
            <w:tcW w:w="1811" w:type="dxa"/>
            <w:vMerge/>
            <w:hideMark/>
          </w:tcPr>
          <w:p w14:paraId="06E1C302"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E02E53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increase in hassle, depending on need to adapt to different forms of service provision.</w:t>
            </w:r>
          </w:p>
        </w:tc>
      </w:tr>
      <w:tr w:rsidR="00100EB8" w:rsidRPr="00542EB9" w14:paraId="014C5384" w14:textId="77777777" w:rsidTr="00100EB8">
        <w:trPr>
          <w:trHeight w:val="300"/>
        </w:trPr>
        <w:tc>
          <w:tcPr>
            <w:tcW w:w="1811" w:type="dxa"/>
            <w:vMerge w:val="restart"/>
            <w:hideMark/>
          </w:tcPr>
          <w:p w14:paraId="202C4242"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hideMark/>
          </w:tcPr>
          <w:p w14:paraId="5CF6A58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different from Continuity Scenario, except:</w:t>
            </w:r>
          </w:p>
        </w:tc>
      </w:tr>
      <w:tr w:rsidR="00100EB8" w:rsidRPr="00542EB9" w14:paraId="79EFA946" w14:textId="77777777" w:rsidTr="00100EB8">
        <w:trPr>
          <w:trHeight w:val="480"/>
        </w:trPr>
        <w:tc>
          <w:tcPr>
            <w:tcW w:w="1811" w:type="dxa"/>
            <w:vMerge/>
            <w:hideMark/>
          </w:tcPr>
          <w:p w14:paraId="18123FA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F20A949"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hassle in accessing services to the extent that services are less fragmented across policy areas</w:t>
            </w:r>
          </w:p>
        </w:tc>
      </w:tr>
      <w:tr w:rsidR="00100EB8" w:rsidRPr="00542EB9" w14:paraId="59C40916" w14:textId="77777777" w:rsidTr="00100EB8">
        <w:trPr>
          <w:trHeight w:val="315"/>
        </w:trPr>
        <w:tc>
          <w:tcPr>
            <w:tcW w:w="1811" w:type="dxa"/>
            <w:vMerge/>
            <w:hideMark/>
          </w:tcPr>
          <w:p w14:paraId="0A9E423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45EF63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increase in hassle, depending on need to adapt to different forms of service provision.</w:t>
            </w:r>
          </w:p>
        </w:tc>
      </w:tr>
      <w:tr w:rsidR="00100EB8" w:rsidRPr="00542EB9" w14:paraId="6854100E" w14:textId="77777777" w:rsidTr="004713A2">
        <w:trPr>
          <w:trHeight w:val="315"/>
        </w:trPr>
        <w:tc>
          <w:tcPr>
            <w:tcW w:w="1811" w:type="dxa"/>
            <w:shd w:val="clear" w:color="auto" w:fill="1F497D" w:themeFill="text2"/>
            <w:hideMark/>
          </w:tcPr>
          <w:p w14:paraId="45175D24" w14:textId="77777777" w:rsidR="00100EB8" w:rsidRPr="004713A2" w:rsidRDefault="00100EB8" w:rsidP="00100EB8">
            <w:pPr>
              <w:pStyle w:val="BodyText1"/>
              <w:rPr>
                <w:rFonts w:ascii="Times New Roman" w:hAnsi="Times New Roman"/>
                <w:b/>
                <w:bCs/>
                <w:noProof/>
                <w:color w:val="FFFFFF" w:themeColor="background1"/>
                <w:szCs w:val="22"/>
              </w:rPr>
            </w:pPr>
            <w:r w:rsidRPr="004713A2">
              <w:rPr>
                <w:rFonts w:ascii="Times New Roman" w:hAnsi="Times New Roman"/>
                <w:b/>
                <w:bCs/>
                <w:noProof/>
                <w:color w:val="FFFFFF" w:themeColor="background1"/>
                <w:szCs w:val="22"/>
              </w:rPr>
              <w:t> </w:t>
            </w:r>
          </w:p>
        </w:tc>
        <w:tc>
          <w:tcPr>
            <w:tcW w:w="13077" w:type="dxa"/>
            <w:shd w:val="clear" w:color="auto" w:fill="1F497D" w:themeFill="text2"/>
            <w:hideMark/>
          </w:tcPr>
          <w:p w14:paraId="2C5D19E7" w14:textId="77777777" w:rsidR="00100EB8" w:rsidRPr="004713A2" w:rsidRDefault="00100EB8" w:rsidP="00100EB8">
            <w:pPr>
              <w:pStyle w:val="BodyText1"/>
              <w:rPr>
                <w:rFonts w:ascii="Times New Roman" w:hAnsi="Times New Roman"/>
                <w:b/>
                <w:bCs/>
                <w:noProof/>
                <w:color w:val="FFFFFF" w:themeColor="background1"/>
                <w:szCs w:val="22"/>
              </w:rPr>
            </w:pPr>
            <w:r w:rsidRPr="004713A2">
              <w:rPr>
                <w:rFonts w:ascii="Times New Roman" w:hAnsi="Times New Roman"/>
                <w:b/>
                <w:bCs/>
                <w:noProof/>
                <w:color w:val="FFFFFF" w:themeColor="background1"/>
                <w:szCs w:val="22"/>
              </w:rPr>
              <w:t>Costs for public authorities</w:t>
            </w:r>
          </w:p>
        </w:tc>
      </w:tr>
      <w:tr w:rsidR="00100EB8" w:rsidRPr="00542EB9" w14:paraId="0E73DA01" w14:textId="77777777" w:rsidTr="00100EB8">
        <w:trPr>
          <w:trHeight w:val="300"/>
        </w:trPr>
        <w:tc>
          <w:tcPr>
            <w:tcW w:w="1811" w:type="dxa"/>
            <w:vMerge w:val="restart"/>
            <w:hideMark/>
          </w:tcPr>
          <w:p w14:paraId="3B108925"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hideMark/>
          </w:tcPr>
          <w:p w14:paraId="046A2BD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compliance or enforcement costs</w:t>
            </w:r>
          </w:p>
        </w:tc>
      </w:tr>
      <w:tr w:rsidR="00100EB8" w:rsidRPr="00542EB9" w14:paraId="7FA4A273" w14:textId="77777777" w:rsidTr="00100EB8">
        <w:trPr>
          <w:trHeight w:val="480"/>
        </w:trPr>
        <w:tc>
          <w:tcPr>
            <w:tcW w:w="1811" w:type="dxa"/>
            <w:vMerge/>
            <w:hideMark/>
          </w:tcPr>
          <w:p w14:paraId="2DE5971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BE2E36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direct costs (participation in, use of, or engagement with programme activities is either voluntary or part of their normal responsibilities, thus any costs are business-as-usual)</w:t>
            </w:r>
          </w:p>
        </w:tc>
      </w:tr>
      <w:tr w:rsidR="00100EB8" w:rsidRPr="00542EB9" w14:paraId="0BA920BB" w14:textId="77777777" w:rsidTr="00100EB8">
        <w:trPr>
          <w:trHeight w:val="300"/>
        </w:trPr>
        <w:tc>
          <w:tcPr>
            <w:tcW w:w="1811" w:type="dxa"/>
            <w:vMerge/>
            <w:hideMark/>
          </w:tcPr>
          <w:p w14:paraId="3C924A7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3400CED"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Indirect administrative burden associated with applying for and receiving EU funds.</w:t>
            </w:r>
          </w:p>
        </w:tc>
      </w:tr>
      <w:tr w:rsidR="00100EB8" w:rsidRPr="00542EB9" w14:paraId="6B5316F5" w14:textId="77777777" w:rsidTr="00100EB8">
        <w:trPr>
          <w:trHeight w:val="495"/>
        </w:trPr>
        <w:tc>
          <w:tcPr>
            <w:tcW w:w="1811" w:type="dxa"/>
            <w:vMerge/>
            <w:hideMark/>
          </w:tcPr>
          <w:p w14:paraId="43EF7B46"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559002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Possible indirect costs relating to hassle of accessing fragmented services provided across different policy areas.</w:t>
            </w:r>
          </w:p>
        </w:tc>
      </w:tr>
      <w:tr w:rsidR="00100EB8" w:rsidRPr="00542EB9" w14:paraId="021550E3" w14:textId="77777777" w:rsidTr="00100EB8">
        <w:trPr>
          <w:trHeight w:val="300"/>
        </w:trPr>
        <w:tc>
          <w:tcPr>
            <w:tcW w:w="1811" w:type="dxa"/>
            <w:vMerge w:val="restart"/>
            <w:hideMark/>
          </w:tcPr>
          <w:p w14:paraId="46487F04"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hideMark/>
          </w:tcPr>
          <w:p w14:paraId="663D925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different from Continuity Scenario, except:</w:t>
            </w:r>
          </w:p>
        </w:tc>
      </w:tr>
      <w:tr w:rsidR="00100EB8" w:rsidRPr="00542EB9" w14:paraId="54D5770E" w14:textId="77777777" w:rsidTr="00100EB8">
        <w:trPr>
          <w:trHeight w:val="480"/>
        </w:trPr>
        <w:tc>
          <w:tcPr>
            <w:tcW w:w="1811" w:type="dxa"/>
            <w:vMerge/>
            <w:hideMark/>
          </w:tcPr>
          <w:p w14:paraId="5886008E"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7D0285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administrative costs due to a single set of requirements and a Common Rulebook</w:t>
            </w:r>
          </w:p>
        </w:tc>
      </w:tr>
      <w:tr w:rsidR="00100EB8" w:rsidRPr="00542EB9" w14:paraId="61E3DAB7" w14:textId="77777777" w:rsidTr="00100EB8">
        <w:trPr>
          <w:trHeight w:val="480"/>
        </w:trPr>
        <w:tc>
          <w:tcPr>
            <w:tcW w:w="1811" w:type="dxa"/>
            <w:vMerge/>
            <w:hideMark/>
          </w:tcPr>
          <w:p w14:paraId="738D5265"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F9EDD76"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indirect costs to the extent that services are less fragmented across policy areas</w:t>
            </w:r>
          </w:p>
        </w:tc>
      </w:tr>
      <w:tr w:rsidR="00100EB8" w:rsidRPr="00542EB9" w14:paraId="1B163F0A" w14:textId="77777777" w:rsidTr="00100EB8">
        <w:trPr>
          <w:trHeight w:val="315"/>
        </w:trPr>
        <w:tc>
          <w:tcPr>
            <w:tcW w:w="1811" w:type="dxa"/>
            <w:vMerge/>
            <w:hideMark/>
          </w:tcPr>
          <w:p w14:paraId="69B64811"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0F7A43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increase in hassle, depending on need to adapt to different forms of service provision.</w:t>
            </w:r>
          </w:p>
        </w:tc>
      </w:tr>
      <w:tr w:rsidR="00100EB8" w:rsidRPr="00542EB9" w14:paraId="06F41B5D" w14:textId="77777777" w:rsidTr="00100EB8">
        <w:trPr>
          <w:trHeight w:val="300"/>
        </w:trPr>
        <w:tc>
          <w:tcPr>
            <w:tcW w:w="1811" w:type="dxa"/>
            <w:vMerge w:val="restart"/>
            <w:hideMark/>
          </w:tcPr>
          <w:p w14:paraId="767271A6"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hideMark/>
          </w:tcPr>
          <w:p w14:paraId="1F7EDDB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different from Continuity Scenario, except:</w:t>
            </w:r>
          </w:p>
        </w:tc>
      </w:tr>
      <w:tr w:rsidR="00100EB8" w:rsidRPr="00542EB9" w14:paraId="4C9B39E7" w14:textId="77777777" w:rsidTr="00100EB8">
        <w:trPr>
          <w:trHeight w:val="480"/>
        </w:trPr>
        <w:tc>
          <w:tcPr>
            <w:tcW w:w="1811" w:type="dxa"/>
            <w:vMerge/>
            <w:hideMark/>
          </w:tcPr>
          <w:p w14:paraId="1FCABB0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F75545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programme management costs, if programme-level committees are no longer needed</w:t>
            </w:r>
          </w:p>
        </w:tc>
      </w:tr>
      <w:tr w:rsidR="00100EB8" w:rsidRPr="00542EB9" w14:paraId="11B3E56B" w14:textId="77777777" w:rsidTr="00100EB8">
        <w:trPr>
          <w:trHeight w:val="480"/>
        </w:trPr>
        <w:tc>
          <w:tcPr>
            <w:tcW w:w="1811" w:type="dxa"/>
            <w:vMerge/>
            <w:hideMark/>
          </w:tcPr>
          <w:p w14:paraId="005C291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AA17959"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administrative costs due to a single set of requirements and a Common Rulebook</w:t>
            </w:r>
          </w:p>
        </w:tc>
      </w:tr>
      <w:tr w:rsidR="00100EB8" w:rsidRPr="00542EB9" w14:paraId="1BD229DF" w14:textId="77777777" w:rsidTr="00100EB8">
        <w:trPr>
          <w:trHeight w:val="480"/>
        </w:trPr>
        <w:tc>
          <w:tcPr>
            <w:tcW w:w="1811" w:type="dxa"/>
            <w:vMerge/>
            <w:hideMark/>
          </w:tcPr>
          <w:p w14:paraId="10E47A3B"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831DC0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administrative burden associated with applying for and receiving EU funds due to horizontal activities</w:t>
            </w:r>
          </w:p>
        </w:tc>
      </w:tr>
      <w:tr w:rsidR="00100EB8" w:rsidRPr="00542EB9" w14:paraId="1B014F7F" w14:textId="77777777" w:rsidTr="00100EB8">
        <w:trPr>
          <w:trHeight w:val="480"/>
        </w:trPr>
        <w:tc>
          <w:tcPr>
            <w:tcW w:w="1811" w:type="dxa"/>
            <w:vMerge/>
            <w:hideMark/>
          </w:tcPr>
          <w:p w14:paraId="689D0E20"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C33D1B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hassle associated with participating in EU-level activities due to horizontal activities</w:t>
            </w:r>
          </w:p>
        </w:tc>
      </w:tr>
      <w:tr w:rsidR="00100EB8" w:rsidRPr="00542EB9" w14:paraId="383D8255" w14:textId="77777777" w:rsidTr="00100EB8">
        <w:trPr>
          <w:trHeight w:val="480"/>
        </w:trPr>
        <w:tc>
          <w:tcPr>
            <w:tcW w:w="1811" w:type="dxa"/>
            <w:vMerge/>
            <w:hideMark/>
          </w:tcPr>
          <w:p w14:paraId="1C5371E9"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845C904"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reduction in indirect costs to the extent that services are less fragmented across policy areas</w:t>
            </w:r>
          </w:p>
        </w:tc>
      </w:tr>
      <w:tr w:rsidR="00100EB8" w:rsidRPr="00542EB9" w14:paraId="591E283C" w14:textId="77777777" w:rsidTr="00100EB8">
        <w:trPr>
          <w:trHeight w:val="315"/>
        </w:trPr>
        <w:tc>
          <w:tcPr>
            <w:tcW w:w="1811" w:type="dxa"/>
            <w:vMerge/>
            <w:hideMark/>
          </w:tcPr>
          <w:p w14:paraId="2ABDD59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FB7CC1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possible increase in hassle, depending on need to adapt to different forms of service provision.</w:t>
            </w:r>
          </w:p>
        </w:tc>
      </w:tr>
      <w:tr w:rsidR="00100EB8" w:rsidRPr="00542EB9" w14:paraId="4B644C44" w14:textId="77777777" w:rsidTr="00F71672">
        <w:trPr>
          <w:trHeight w:val="315"/>
        </w:trPr>
        <w:tc>
          <w:tcPr>
            <w:tcW w:w="1811" w:type="dxa"/>
            <w:shd w:val="clear" w:color="auto" w:fill="1F497D" w:themeFill="text2"/>
            <w:hideMark/>
          </w:tcPr>
          <w:p w14:paraId="74FA6C5F"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 </w:t>
            </w:r>
          </w:p>
        </w:tc>
        <w:tc>
          <w:tcPr>
            <w:tcW w:w="13077" w:type="dxa"/>
            <w:shd w:val="clear" w:color="auto" w:fill="1F497D" w:themeFill="text2"/>
            <w:hideMark/>
          </w:tcPr>
          <w:p w14:paraId="461C6BE7"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Costs for the European Commission</w:t>
            </w:r>
          </w:p>
        </w:tc>
      </w:tr>
      <w:tr w:rsidR="00100EB8" w:rsidRPr="00542EB9" w14:paraId="7F14A100" w14:textId="77777777" w:rsidTr="00100EB8">
        <w:trPr>
          <w:trHeight w:val="495"/>
        </w:trPr>
        <w:tc>
          <w:tcPr>
            <w:tcW w:w="1811" w:type="dxa"/>
            <w:hideMark/>
          </w:tcPr>
          <w:p w14:paraId="61CEB441"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hideMark/>
          </w:tcPr>
          <w:p w14:paraId="51E5FC8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Direct cost associated with implementing the programme (5% of SMP programme budget, 2% of UAFP programme budget; to be determined for Customs and Fiscalis Programmes)</w:t>
            </w:r>
          </w:p>
        </w:tc>
      </w:tr>
      <w:tr w:rsidR="00100EB8" w:rsidRPr="00542EB9" w14:paraId="6A90EB6F" w14:textId="77777777" w:rsidTr="00100EB8">
        <w:trPr>
          <w:trHeight w:val="300"/>
        </w:trPr>
        <w:tc>
          <w:tcPr>
            <w:tcW w:w="1811" w:type="dxa"/>
            <w:vMerge w:val="restart"/>
            <w:hideMark/>
          </w:tcPr>
          <w:p w14:paraId="5571696C"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hideMark/>
          </w:tcPr>
          <w:p w14:paraId="7AE627C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Direct cost associated with implementing the programme (5% of programme budget)</w:t>
            </w:r>
          </w:p>
        </w:tc>
      </w:tr>
      <w:tr w:rsidR="00100EB8" w:rsidRPr="00542EB9" w14:paraId="566FB9FF" w14:textId="77777777" w:rsidTr="00100EB8">
        <w:trPr>
          <w:trHeight w:val="480"/>
        </w:trPr>
        <w:tc>
          <w:tcPr>
            <w:tcW w:w="1811" w:type="dxa"/>
            <w:vMerge/>
            <w:hideMark/>
          </w:tcPr>
          <w:p w14:paraId="54A50220"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94F68A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Potential reduction in administrative burden associated with programme management and implementation of activities through:</w:t>
            </w:r>
          </w:p>
        </w:tc>
      </w:tr>
      <w:tr w:rsidR="00100EB8" w:rsidRPr="00542EB9" w14:paraId="7B319A3C" w14:textId="77777777" w:rsidTr="00100EB8">
        <w:trPr>
          <w:trHeight w:val="300"/>
        </w:trPr>
        <w:tc>
          <w:tcPr>
            <w:tcW w:w="1811" w:type="dxa"/>
            <w:vMerge/>
            <w:hideMark/>
          </w:tcPr>
          <w:p w14:paraId="173F3CDD"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00E99DD"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additional possibilities for budgetary flexibility (but likely to be limited)</w:t>
            </w:r>
          </w:p>
        </w:tc>
      </w:tr>
      <w:tr w:rsidR="00100EB8" w:rsidRPr="00542EB9" w14:paraId="6380845C" w14:textId="77777777" w:rsidTr="00100EB8">
        <w:trPr>
          <w:trHeight w:val="300"/>
        </w:trPr>
        <w:tc>
          <w:tcPr>
            <w:tcW w:w="1811" w:type="dxa"/>
            <w:vMerge/>
            <w:hideMark/>
          </w:tcPr>
          <w:p w14:paraId="38F6DFD1"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1F51DA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Risk of increased administrative burden depending on:</w:t>
            </w:r>
          </w:p>
        </w:tc>
      </w:tr>
      <w:tr w:rsidR="00100EB8" w:rsidRPr="00542EB9" w14:paraId="5F1D5C5D" w14:textId="77777777" w:rsidTr="00100EB8">
        <w:trPr>
          <w:trHeight w:val="300"/>
        </w:trPr>
        <w:tc>
          <w:tcPr>
            <w:tcW w:w="1811" w:type="dxa"/>
            <w:vMerge/>
            <w:hideMark/>
          </w:tcPr>
          <w:p w14:paraId="5462A9D8"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81A96F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New layer of programme-level co-ordination;</w:t>
            </w:r>
          </w:p>
        </w:tc>
      </w:tr>
      <w:tr w:rsidR="00100EB8" w:rsidRPr="00542EB9" w14:paraId="595202D4" w14:textId="77777777" w:rsidTr="00100EB8">
        <w:trPr>
          <w:trHeight w:val="315"/>
        </w:trPr>
        <w:tc>
          <w:tcPr>
            <w:tcW w:w="1811" w:type="dxa"/>
            <w:vMerge/>
            <w:hideMark/>
          </w:tcPr>
          <w:p w14:paraId="046D3A33"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D5E64E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Adaptation/adjustment costs</w:t>
            </w:r>
          </w:p>
        </w:tc>
      </w:tr>
      <w:tr w:rsidR="00100EB8" w:rsidRPr="00542EB9" w14:paraId="5982DF34" w14:textId="77777777" w:rsidTr="00100EB8">
        <w:trPr>
          <w:trHeight w:val="480"/>
        </w:trPr>
        <w:tc>
          <w:tcPr>
            <w:tcW w:w="1811" w:type="dxa"/>
            <w:vMerge w:val="restart"/>
            <w:hideMark/>
          </w:tcPr>
          <w:p w14:paraId="3A43643F"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hideMark/>
          </w:tcPr>
          <w:p w14:paraId="4669879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Potential reduction in administrative burden associated with programme management and implementation of activities through:</w:t>
            </w:r>
          </w:p>
        </w:tc>
      </w:tr>
      <w:tr w:rsidR="00100EB8" w:rsidRPr="00542EB9" w14:paraId="3F87C588" w14:textId="77777777" w:rsidTr="00100EB8">
        <w:trPr>
          <w:trHeight w:val="480"/>
        </w:trPr>
        <w:tc>
          <w:tcPr>
            <w:tcW w:w="1811" w:type="dxa"/>
            <w:vMerge/>
            <w:hideMark/>
          </w:tcPr>
          <w:p w14:paraId="0CB9AEB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A6FD694"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simplifications, e.g. single legislative proposal, single system for monitoring, reporting, evaluation and audit</w:t>
            </w:r>
          </w:p>
        </w:tc>
      </w:tr>
      <w:tr w:rsidR="00100EB8" w:rsidRPr="00542EB9" w14:paraId="45A9DF6D" w14:textId="77777777" w:rsidTr="00100EB8">
        <w:trPr>
          <w:trHeight w:val="300"/>
        </w:trPr>
        <w:tc>
          <w:tcPr>
            <w:tcW w:w="1811" w:type="dxa"/>
            <w:vMerge/>
            <w:hideMark/>
          </w:tcPr>
          <w:p w14:paraId="56B1BD1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BB0B8A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additional possibilities for budgetary flexibility (greater than Continuity and Integrated Scenarios)</w:t>
            </w:r>
          </w:p>
        </w:tc>
      </w:tr>
      <w:tr w:rsidR="00100EB8" w:rsidRPr="00A33E8D" w14:paraId="515BEE1E" w14:textId="77777777" w:rsidTr="00100EB8">
        <w:trPr>
          <w:trHeight w:val="300"/>
        </w:trPr>
        <w:tc>
          <w:tcPr>
            <w:tcW w:w="1811" w:type="dxa"/>
            <w:vMerge/>
            <w:hideMark/>
          </w:tcPr>
          <w:p w14:paraId="20ED27F3"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5225677" w14:textId="77777777" w:rsidR="00100EB8" w:rsidRPr="00542EB9" w:rsidRDefault="00100EB8" w:rsidP="00100EB8">
            <w:pPr>
              <w:pStyle w:val="BodyText1"/>
              <w:rPr>
                <w:rFonts w:ascii="Times New Roman" w:hAnsi="Times New Roman"/>
                <w:noProof/>
                <w:szCs w:val="22"/>
                <w:lang w:val="fr-BE"/>
              </w:rPr>
            </w:pPr>
            <w:r w:rsidRPr="00542EB9">
              <w:rPr>
                <w:rFonts w:ascii="Times New Roman" w:hAnsi="Times New Roman"/>
                <w:noProof/>
                <w:szCs w:val="22"/>
                <w:lang w:val="fr-BE"/>
              </w:rPr>
              <w:t>-       synergies, e.g. joint procurement, joint framework contracts.</w:t>
            </w:r>
          </w:p>
        </w:tc>
      </w:tr>
      <w:tr w:rsidR="00100EB8" w:rsidRPr="00542EB9" w14:paraId="2A314FCB" w14:textId="77777777" w:rsidTr="00100EB8">
        <w:trPr>
          <w:trHeight w:val="300"/>
        </w:trPr>
        <w:tc>
          <w:tcPr>
            <w:tcW w:w="1811" w:type="dxa"/>
            <w:vMerge/>
            <w:hideMark/>
          </w:tcPr>
          <w:p w14:paraId="4ECADB66" w14:textId="77777777" w:rsidR="00100EB8" w:rsidRPr="00542EB9" w:rsidRDefault="00100EB8" w:rsidP="00100EB8">
            <w:pPr>
              <w:pStyle w:val="BodyText1"/>
              <w:rPr>
                <w:rFonts w:ascii="Times New Roman" w:hAnsi="Times New Roman"/>
                <w:b/>
                <w:bCs/>
                <w:noProof/>
                <w:szCs w:val="22"/>
                <w:lang w:val="fr-BE"/>
              </w:rPr>
            </w:pPr>
          </w:p>
        </w:tc>
        <w:tc>
          <w:tcPr>
            <w:tcW w:w="13077" w:type="dxa"/>
            <w:hideMark/>
          </w:tcPr>
          <w:p w14:paraId="574FC47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Risk of increased administrative burden depending on:</w:t>
            </w:r>
          </w:p>
        </w:tc>
      </w:tr>
      <w:tr w:rsidR="00100EB8" w:rsidRPr="00542EB9" w14:paraId="0BE8512B" w14:textId="77777777" w:rsidTr="00100EB8">
        <w:trPr>
          <w:trHeight w:val="300"/>
        </w:trPr>
        <w:tc>
          <w:tcPr>
            <w:tcW w:w="1811" w:type="dxa"/>
            <w:vMerge/>
            <w:hideMark/>
          </w:tcPr>
          <w:p w14:paraId="40CEDF8F"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B634F5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adjustment/adaptation to new programme design, governance and activities</w:t>
            </w:r>
          </w:p>
        </w:tc>
      </w:tr>
      <w:tr w:rsidR="00100EB8" w:rsidRPr="00542EB9" w14:paraId="720EF51E" w14:textId="77777777" w:rsidTr="00100EB8">
        <w:trPr>
          <w:trHeight w:val="480"/>
        </w:trPr>
        <w:tc>
          <w:tcPr>
            <w:tcW w:w="1811" w:type="dxa"/>
            <w:vMerge/>
            <w:hideMark/>
          </w:tcPr>
          <w:p w14:paraId="6A7EA2CE"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7389DE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burden and transaction costs related to programme-level coordination and management of horizontal activities</w:t>
            </w:r>
          </w:p>
        </w:tc>
      </w:tr>
      <w:tr w:rsidR="00100EB8" w:rsidRPr="00542EB9" w14:paraId="1EE8BA29" w14:textId="77777777" w:rsidTr="00100EB8">
        <w:trPr>
          <w:trHeight w:val="495"/>
        </w:trPr>
        <w:tc>
          <w:tcPr>
            <w:tcW w:w="1811" w:type="dxa"/>
            <w:vMerge/>
            <w:hideMark/>
          </w:tcPr>
          <w:p w14:paraId="42DE7B4E"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C2D3F7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any inflexibilities from a single legal basis, single set of programme implementation arrangements, etc..</w:t>
            </w:r>
          </w:p>
        </w:tc>
      </w:tr>
      <w:tr w:rsidR="00100EB8" w:rsidRPr="00542EB9" w14:paraId="20B49637" w14:textId="77777777" w:rsidTr="00F71672">
        <w:trPr>
          <w:trHeight w:val="315"/>
        </w:trPr>
        <w:tc>
          <w:tcPr>
            <w:tcW w:w="1811" w:type="dxa"/>
            <w:shd w:val="clear" w:color="auto" w:fill="1F497D" w:themeFill="text2"/>
            <w:noWrap/>
            <w:hideMark/>
          </w:tcPr>
          <w:p w14:paraId="613A692B"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 </w:t>
            </w:r>
          </w:p>
        </w:tc>
        <w:tc>
          <w:tcPr>
            <w:tcW w:w="13077" w:type="dxa"/>
            <w:shd w:val="clear" w:color="auto" w:fill="1F497D" w:themeFill="text2"/>
            <w:noWrap/>
            <w:hideMark/>
          </w:tcPr>
          <w:p w14:paraId="18E19241"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Benefits for citizens, consumers and businesses</w:t>
            </w:r>
          </w:p>
        </w:tc>
      </w:tr>
      <w:tr w:rsidR="00100EB8" w:rsidRPr="00542EB9" w14:paraId="2BBC0474" w14:textId="77777777" w:rsidTr="00100EB8">
        <w:trPr>
          <w:trHeight w:val="300"/>
        </w:trPr>
        <w:tc>
          <w:tcPr>
            <w:tcW w:w="1811" w:type="dxa"/>
            <w:vMerge w:val="restart"/>
            <w:noWrap/>
            <w:hideMark/>
          </w:tcPr>
          <w:p w14:paraId="4AF38436"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noWrap/>
            <w:hideMark/>
          </w:tcPr>
          <w:p w14:paraId="7B23E959"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Access to information and services</w:t>
            </w:r>
          </w:p>
        </w:tc>
      </w:tr>
      <w:tr w:rsidR="00100EB8" w:rsidRPr="00542EB9" w14:paraId="304D4930" w14:textId="77777777" w:rsidTr="00100EB8">
        <w:trPr>
          <w:trHeight w:val="300"/>
        </w:trPr>
        <w:tc>
          <w:tcPr>
            <w:tcW w:w="1811" w:type="dxa"/>
            <w:vMerge/>
            <w:hideMark/>
          </w:tcPr>
          <w:p w14:paraId="67039933"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1019292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services related to consumer rights, e.g. ADRs</w:t>
            </w:r>
          </w:p>
        </w:tc>
      </w:tr>
      <w:tr w:rsidR="00100EB8" w:rsidRPr="00542EB9" w14:paraId="4F2CC0D1" w14:textId="77777777" w:rsidTr="00100EB8">
        <w:trPr>
          <w:trHeight w:val="480"/>
        </w:trPr>
        <w:tc>
          <w:tcPr>
            <w:tcW w:w="1811" w:type="dxa"/>
            <w:vMerge/>
            <w:hideMark/>
          </w:tcPr>
          <w:p w14:paraId="1FFD85DD"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5C05377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representation in policymaking and standardisation processes, e.g. ANEC, ETUC, Better Finance, Finance Watch</w:t>
            </w:r>
          </w:p>
        </w:tc>
      </w:tr>
      <w:tr w:rsidR="00100EB8" w:rsidRPr="00542EB9" w14:paraId="78CA56BD" w14:textId="77777777" w:rsidTr="00100EB8">
        <w:trPr>
          <w:trHeight w:val="300"/>
        </w:trPr>
        <w:tc>
          <w:tcPr>
            <w:tcW w:w="1811" w:type="dxa"/>
            <w:vMerge/>
            <w:hideMark/>
          </w:tcPr>
          <w:p w14:paraId="02EDF8CE"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7E6EB95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consumer health and safety (product safety, standards, etc.)</w:t>
            </w:r>
          </w:p>
        </w:tc>
      </w:tr>
      <w:tr w:rsidR="00100EB8" w:rsidRPr="00542EB9" w14:paraId="43F07F7C" w14:textId="77777777" w:rsidTr="00100EB8">
        <w:trPr>
          <w:trHeight w:val="315"/>
        </w:trPr>
        <w:tc>
          <w:tcPr>
            <w:tcW w:w="1811" w:type="dxa"/>
            <w:vMerge/>
            <w:hideMark/>
          </w:tcPr>
          <w:p w14:paraId="056E90B7"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7DB2804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Customer benefits from better enforcement of competition rules (cartels, mergers, trusts)</w:t>
            </w:r>
          </w:p>
        </w:tc>
      </w:tr>
      <w:tr w:rsidR="00100EB8" w:rsidRPr="00542EB9" w14:paraId="2024AF4F" w14:textId="77777777" w:rsidTr="00100EB8">
        <w:trPr>
          <w:trHeight w:val="480"/>
        </w:trPr>
        <w:tc>
          <w:tcPr>
            <w:tcW w:w="1811" w:type="dxa"/>
            <w:vMerge w:val="restart"/>
            <w:noWrap/>
            <w:hideMark/>
          </w:tcPr>
          <w:p w14:paraId="7C578166"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noWrap/>
            <w:hideMark/>
          </w:tcPr>
          <w:p w14:paraId="440C1F9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As under the Continuity Scenario, except where synergies, flexibilities and simplifications in programme design result in:</w:t>
            </w:r>
          </w:p>
        </w:tc>
      </w:tr>
      <w:tr w:rsidR="00100EB8" w:rsidRPr="00542EB9" w14:paraId="6391D925" w14:textId="77777777" w:rsidTr="00100EB8">
        <w:trPr>
          <w:trHeight w:val="300"/>
        </w:trPr>
        <w:tc>
          <w:tcPr>
            <w:tcW w:w="1811" w:type="dxa"/>
            <w:vMerge/>
            <w:hideMark/>
          </w:tcPr>
          <w:p w14:paraId="3A66402B"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7FB87C9F"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services for citizens, consumers and businesses</w:t>
            </w:r>
          </w:p>
        </w:tc>
      </w:tr>
      <w:tr w:rsidR="00100EB8" w:rsidRPr="00542EB9" w14:paraId="3F74111F" w14:textId="77777777" w:rsidTr="00100EB8">
        <w:trPr>
          <w:trHeight w:val="495"/>
        </w:trPr>
        <w:tc>
          <w:tcPr>
            <w:tcW w:w="1811" w:type="dxa"/>
            <w:vMerge/>
            <w:hideMark/>
          </w:tcPr>
          <w:p w14:paraId="6D44442B"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6EF81CC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enhancement of higher-level effects (product safety, standards, enforcement of competition rules, etc.)</w:t>
            </w:r>
          </w:p>
        </w:tc>
      </w:tr>
      <w:tr w:rsidR="00100EB8" w:rsidRPr="00542EB9" w14:paraId="4EDC539B" w14:textId="77777777" w:rsidTr="00100EB8">
        <w:trPr>
          <w:trHeight w:val="480"/>
        </w:trPr>
        <w:tc>
          <w:tcPr>
            <w:tcW w:w="1811" w:type="dxa"/>
            <w:vMerge w:val="restart"/>
            <w:noWrap/>
            <w:hideMark/>
          </w:tcPr>
          <w:p w14:paraId="62C1B996"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noWrap/>
            <w:hideMark/>
          </w:tcPr>
          <w:p w14:paraId="3CF99BD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No different from Continuity Scenario, except where better services are provided to citizens, consumers and businesses or higher-level effects are enhanced due to:</w:t>
            </w:r>
          </w:p>
        </w:tc>
      </w:tr>
      <w:tr w:rsidR="00100EB8" w:rsidRPr="00542EB9" w14:paraId="009E6C50" w14:textId="77777777" w:rsidTr="00100EB8">
        <w:trPr>
          <w:trHeight w:val="300"/>
        </w:trPr>
        <w:tc>
          <w:tcPr>
            <w:tcW w:w="1811" w:type="dxa"/>
            <w:vMerge/>
            <w:hideMark/>
          </w:tcPr>
          <w:p w14:paraId="75804C9A"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5607B45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synergies, flexibilities and simplifications in programme design</w:t>
            </w:r>
          </w:p>
        </w:tc>
      </w:tr>
      <w:tr w:rsidR="00100EB8" w:rsidRPr="00542EB9" w14:paraId="12B5E00E" w14:textId="77777777" w:rsidTr="00100EB8">
        <w:trPr>
          <w:trHeight w:val="495"/>
        </w:trPr>
        <w:tc>
          <w:tcPr>
            <w:tcW w:w="1811" w:type="dxa"/>
            <w:vMerge/>
            <w:hideMark/>
          </w:tcPr>
          <w:p w14:paraId="58ADF275" w14:textId="77777777" w:rsidR="00100EB8" w:rsidRPr="00542EB9" w:rsidRDefault="00100EB8" w:rsidP="00100EB8">
            <w:pPr>
              <w:pStyle w:val="BodyText1"/>
              <w:rPr>
                <w:rFonts w:ascii="Times New Roman" w:hAnsi="Times New Roman"/>
                <w:b/>
                <w:bCs/>
                <w:noProof/>
                <w:szCs w:val="22"/>
              </w:rPr>
            </w:pPr>
          </w:p>
        </w:tc>
        <w:tc>
          <w:tcPr>
            <w:tcW w:w="13077" w:type="dxa"/>
            <w:noWrap/>
            <w:hideMark/>
          </w:tcPr>
          <w:p w14:paraId="243B519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horizontal activities that would not take place (or not at the same level or as effectively) under other scenarios</w:t>
            </w:r>
          </w:p>
        </w:tc>
      </w:tr>
      <w:tr w:rsidR="00100EB8" w:rsidRPr="00542EB9" w14:paraId="500BDD65" w14:textId="77777777" w:rsidTr="00F71672">
        <w:trPr>
          <w:trHeight w:val="315"/>
        </w:trPr>
        <w:tc>
          <w:tcPr>
            <w:tcW w:w="1811" w:type="dxa"/>
            <w:shd w:val="clear" w:color="auto" w:fill="1F497D" w:themeFill="text2"/>
            <w:hideMark/>
          </w:tcPr>
          <w:p w14:paraId="66613686"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 </w:t>
            </w:r>
          </w:p>
        </w:tc>
        <w:tc>
          <w:tcPr>
            <w:tcW w:w="13077" w:type="dxa"/>
            <w:shd w:val="clear" w:color="auto" w:fill="1F497D" w:themeFill="text2"/>
            <w:hideMark/>
          </w:tcPr>
          <w:p w14:paraId="3A75B0C9"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Benefits for public authorities</w:t>
            </w:r>
          </w:p>
        </w:tc>
      </w:tr>
      <w:tr w:rsidR="00100EB8" w:rsidRPr="00542EB9" w14:paraId="790CB8DF" w14:textId="77777777" w:rsidTr="00100EB8">
        <w:trPr>
          <w:trHeight w:val="300"/>
        </w:trPr>
        <w:tc>
          <w:tcPr>
            <w:tcW w:w="1811" w:type="dxa"/>
            <w:vMerge w:val="restart"/>
            <w:hideMark/>
          </w:tcPr>
          <w:p w14:paraId="72394561"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hideMark/>
          </w:tcPr>
          <w:p w14:paraId="1A27845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xml:space="preserve">Direct benefits: </w:t>
            </w:r>
          </w:p>
        </w:tc>
      </w:tr>
      <w:tr w:rsidR="00100EB8" w:rsidRPr="00542EB9" w14:paraId="651A6DEA" w14:textId="77777777" w:rsidTr="00100EB8">
        <w:trPr>
          <w:trHeight w:val="300"/>
        </w:trPr>
        <w:tc>
          <w:tcPr>
            <w:tcW w:w="1811" w:type="dxa"/>
            <w:vMerge/>
            <w:hideMark/>
          </w:tcPr>
          <w:p w14:paraId="781D36D9"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3CE1C25"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capacity, skills and knowledge</w:t>
            </w:r>
          </w:p>
        </w:tc>
      </w:tr>
      <w:tr w:rsidR="00100EB8" w:rsidRPr="00542EB9" w14:paraId="1AD6724E" w14:textId="77777777" w:rsidTr="00100EB8">
        <w:trPr>
          <w:trHeight w:val="300"/>
        </w:trPr>
        <w:tc>
          <w:tcPr>
            <w:tcW w:w="1811" w:type="dxa"/>
            <w:vMerge/>
            <w:hideMark/>
          </w:tcPr>
          <w:p w14:paraId="41F785DF"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FD78A0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access to facilities, expertise, etc.</w:t>
            </w:r>
          </w:p>
        </w:tc>
      </w:tr>
      <w:tr w:rsidR="00100EB8" w:rsidRPr="00542EB9" w14:paraId="0D9B6F60" w14:textId="77777777" w:rsidTr="00100EB8">
        <w:trPr>
          <w:trHeight w:val="300"/>
        </w:trPr>
        <w:tc>
          <w:tcPr>
            <w:tcW w:w="1811" w:type="dxa"/>
            <w:vMerge/>
            <w:hideMark/>
          </w:tcPr>
          <w:p w14:paraId="2FEBCC50"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409F8D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digitalisation of public administration and law enforcement</w:t>
            </w:r>
          </w:p>
        </w:tc>
      </w:tr>
      <w:tr w:rsidR="00100EB8" w:rsidRPr="00542EB9" w14:paraId="71310470" w14:textId="77777777" w:rsidTr="00100EB8">
        <w:trPr>
          <w:trHeight w:val="300"/>
        </w:trPr>
        <w:tc>
          <w:tcPr>
            <w:tcW w:w="1811" w:type="dxa"/>
            <w:vMerge/>
            <w:hideMark/>
          </w:tcPr>
          <w:p w14:paraId="1F0C7C9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D15322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Enhanced co-operation with other authorities</w:t>
            </w:r>
          </w:p>
        </w:tc>
      </w:tr>
      <w:tr w:rsidR="00100EB8" w:rsidRPr="00542EB9" w14:paraId="5D0FA027" w14:textId="77777777" w:rsidTr="00100EB8">
        <w:trPr>
          <w:trHeight w:val="300"/>
        </w:trPr>
        <w:tc>
          <w:tcPr>
            <w:tcW w:w="1811" w:type="dxa"/>
            <w:vMerge/>
            <w:hideMark/>
          </w:tcPr>
          <w:p w14:paraId="00841E79"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791BD14"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Secure and effective exchange of confidential information with the Commission</w:t>
            </w:r>
          </w:p>
        </w:tc>
      </w:tr>
      <w:tr w:rsidR="00100EB8" w:rsidRPr="00542EB9" w14:paraId="57FFC8B5" w14:textId="77777777" w:rsidTr="00100EB8">
        <w:trPr>
          <w:trHeight w:val="480"/>
        </w:trPr>
        <w:tc>
          <w:tcPr>
            <w:tcW w:w="1811" w:type="dxa"/>
            <w:vMerge/>
            <w:hideMark/>
          </w:tcPr>
          <w:p w14:paraId="3B7FCF16"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1384D7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Reduced burden (e.g. better case management; easier and more secure transfer of documents and exchange of information)</w:t>
            </w:r>
          </w:p>
        </w:tc>
      </w:tr>
      <w:tr w:rsidR="00100EB8" w:rsidRPr="00542EB9" w14:paraId="08B2A782" w14:textId="77777777" w:rsidTr="00100EB8">
        <w:trPr>
          <w:trHeight w:val="300"/>
        </w:trPr>
        <w:tc>
          <w:tcPr>
            <w:tcW w:w="1811" w:type="dxa"/>
            <w:vMerge/>
            <w:hideMark/>
          </w:tcPr>
          <w:p w14:paraId="0AC3ADB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FECC0F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Indirect benefits:</w:t>
            </w:r>
          </w:p>
        </w:tc>
      </w:tr>
      <w:tr w:rsidR="00100EB8" w:rsidRPr="00542EB9" w14:paraId="3D2A8591" w14:textId="77777777" w:rsidTr="00100EB8">
        <w:trPr>
          <w:trHeight w:val="300"/>
        </w:trPr>
        <w:tc>
          <w:tcPr>
            <w:tcW w:w="1811" w:type="dxa"/>
            <w:vMerge/>
            <w:hideMark/>
          </w:tcPr>
          <w:p w14:paraId="48D0E46B"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0D7AD9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implementation and enforcement of Union law</w:t>
            </w:r>
          </w:p>
        </w:tc>
      </w:tr>
      <w:tr w:rsidR="00100EB8" w:rsidRPr="00542EB9" w14:paraId="440D1044" w14:textId="77777777" w:rsidTr="00100EB8">
        <w:trPr>
          <w:trHeight w:val="300"/>
        </w:trPr>
        <w:tc>
          <w:tcPr>
            <w:tcW w:w="1811" w:type="dxa"/>
            <w:vMerge/>
            <w:hideMark/>
          </w:tcPr>
          <w:p w14:paraId="2352E91D"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EC5C46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Reduced cost of implementation and enforcement of Union law</w:t>
            </w:r>
          </w:p>
        </w:tc>
      </w:tr>
      <w:tr w:rsidR="00100EB8" w:rsidRPr="00542EB9" w14:paraId="088BEBB8" w14:textId="77777777" w:rsidTr="00100EB8">
        <w:trPr>
          <w:trHeight w:val="300"/>
        </w:trPr>
        <w:tc>
          <w:tcPr>
            <w:tcW w:w="1811" w:type="dxa"/>
            <w:vMerge/>
            <w:hideMark/>
          </w:tcPr>
          <w:p w14:paraId="4435E0E9"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2022D2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tax and customs revenues</w:t>
            </w:r>
          </w:p>
        </w:tc>
      </w:tr>
      <w:tr w:rsidR="00100EB8" w:rsidRPr="00542EB9" w14:paraId="6F2392BC" w14:textId="77777777" w:rsidTr="00100EB8">
        <w:trPr>
          <w:trHeight w:val="315"/>
        </w:trPr>
        <w:tc>
          <w:tcPr>
            <w:tcW w:w="1811" w:type="dxa"/>
            <w:vMerge/>
            <w:hideMark/>
          </w:tcPr>
          <w:p w14:paraId="7ADEB98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D81298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Reduction in tax fraud, evasion and avoidance</w:t>
            </w:r>
          </w:p>
        </w:tc>
      </w:tr>
      <w:tr w:rsidR="00100EB8" w:rsidRPr="00542EB9" w14:paraId="2A7F8A67" w14:textId="77777777" w:rsidTr="00100EB8">
        <w:trPr>
          <w:trHeight w:val="300"/>
        </w:trPr>
        <w:tc>
          <w:tcPr>
            <w:tcW w:w="1811" w:type="dxa"/>
            <w:vMerge w:val="restart"/>
            <w:hideMark/>
          </w:tcPr>
          <w:p w14:paraId="42C11CF3"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hideMark/>
          </w:tcPr>
          <w:p w14:paraId="05806A6D"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As under the Continuity Scenario, except where:</w:t>
            </w:r>
          </w:p>
        </w:tc>
      </w:tr>
      <w:tr w:rsidR="00100EB8" w:rsidRPr="00542EB9" w14:paraId="364BF926" w14:textId="77777777" w:rsidTr="00100EB8">
        <w:trPr>
          <w:trHeight w:val="480"/>
        </w:trPr>
        <w:tc>
          <w:tcPr>
            <w:tcW w:w="1811" w:type="dxa"/>
            <w:vMerge/>
            <w:hideMark/>
          </w:tcPr>
          <w:p w14:paraId="79ED4AB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F590CC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more/better activities are implemented to support national authorities (to build capacity, enhance co-operation, etc.) due to synergies, flexibilities and simplifications in programme design</w:t>
            </w:r>
          </w:p>
        </w:tc>
      </w:tr>
      <w:tr w:rsidR="00100EB8" w:rsidRPr="00542EB9" w14:paraId="046B4BB7" w14:textId="77777777" w:rsidTr="00100EB8">
        <w:trPr>
          <w:trHeight w:val="495"/>
        </w:trPr>
        <w:tc>
          <w:tcPr>
            <w:tcW w:w="1811" w:type="dxa"/>
            <w:vMerge/>
            <w:hideMark/>
          </w:tcPr>
          <w:p w14:paraId="1BA1EBE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DE34F7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participation in grant-funded projects is easier and more effective due to streamlined conditions (single set of requirements, Common Rulebook, etc.)</w:t>
            </w:r>
          </w:p>
        </w:tc>
      </w:tr>
      <w:tr w:rsidR="00100EB8" w:rsidRPr="00542EB9" w14:paraId="694F54AC" w14:textId="77777777" w:rsidTr="00100EB8">
        <w:trPr>
          <w:trHeight w:val="300"/>
        </w:trPr>
        <w:tc>
          <w:tcPr>
            <w:tcW w:w="1811" w:type="dxa"/>
            <w:vMerge w:val="restart"/>
            <w:hideMark/>
          </w:tcPr>
          <w:p w14:paraId="23445EA9"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hideMark/>
          </w:tcPr>
          <w:p w14:paraId="10F02F3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As under the Continuity Scenario, except where:</w:t>
            </w:r>
          </w:p>
        </w:tc>
      </w:tr>
      <w:tr w:rsidR="00100EB8" w:rsidRPr="00542EB9" w14:paraId="5750BE32" w14:textId="77777777" w:rsidTr="00100EB8">
        <w:trPr>
          <w:trHeight w:val="480"/>
        </w:trPr>
        <w:tc>
          <w:tcPr>
            <w:tcW w:w="1811" w:type="dxa"/>
            <w:vMerge/>
            <w:hideMark/>
          </w:tcPr>
          <w:p w14:paraId="23703D9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3F70A3E"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more/better activities are implemented to support national authorities (to build capacity, enhance co-operation, etc.) due to synergies, flexibilities and simplifications in programme design</w:t>
            </w:r>
          </w:p>
        </w:tc>
      </w:tr>
      <w:tr w:rsidR="00100EB8" w:rsidRPr="00542EB9" w14:paraId="18E29D51" w14:textId="77777777" w:rsidTr="00100EB8">
        <w:trPr>
          <w:trHeight w:val="480"/>
        </w:trPr>
        <w:tc>
          <w:tcPr>
            <w:tcW w:w="1811" w:type="dxa"/>
            <w:vMerge/>
            <w:hideMark/>
          </w:tcPr>
          <w:p w14:paraId="4F9D5D8E"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31ADECF"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participation in grant-funded projects is easier and more effective due to streamlined conditions (single set of requirements, Common Rulebook, etc.)</w:t>
            </w:r>
          </w:p>
        </w:tc>
      </w:tr>
      <w:tr w:rsidR="00100EB8" w:rsidRPr="00542EB9" w14:paraId="165D267F" w14:textId="77777777" w:rsidTr="00100EB8">
        <w:trPr>
          <w:trHeight w:val="480"/>
        </w:trPr>
        <w:tc>
          <w:tcPr>
            <w:tcW w:w="1811" w:type="dxa"/>
            <w:vMerge/>
            <w:hideMark/>
          </w:tcPr>
          <w:p w14:paraId="48B9F86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17B684D"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 effective/relevant horizontal activities are implemented to support national authorities (to build capacity, enhance co-operation, etc.)</w:t>
            </w:r>
          </w:p>
        </w:tc>
      </w:tr>
      <w:tr w:rsidR="00100EB8" w:rsidRPr="00542EB9" w14:paraId="027F5845" w14:textId="77777777" w:rsidTr="00100EB8">
        <w:trPr>
          <w:trHeight w:val="300"/>
        </w:trPr>
        <w:tc>
          <w:tcPr>
            <w:tcW w:w="1811" w:type="dxa"/>
            <w:vMerge/>
            <w:hideMark/>
          </w:tcPr>
          <w:p w14:paraId="0E9A856B"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8FD24F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But risks of reduced benefit, depending on:</w:t>
            </w:r>
          </w:p>
        </w:tc>
      </w:tr>
      <w:tr w:rsidR="00100EB8" w:rsidRPr="00542EB9" w14:paraId="6ED41B98" w14:textId="77777777" w:rsidTr="00100EB8">
        <w:trPr>
          <w:trHeight w:val="300"/>
        </w:trPr>
        <w:tc>
          <w:tcPr>
            <w:tcW w:w="1811" w:type="dxa"/>
            <w:vMerge/>
            <w:hideMark/>
          </w:tcPr>
          <w:p w14:paraId="6A6A084F"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0CDB63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Adjustment/adaptation costs/time</w:t>
            </w:r>
          </w:p>
        </w:tc>
      </w:tr>
      <w:tr w:rsidR="00100EB8" w:rsidRPr="00542EB9" w14:paraId="7DD95DD0" w14:textId="77777777" w:rsidTr="00100EB8">
        <w:trPr>
          <w:trHeight w:val="300"/>
        </w:trPr>
        <w:tc>
          <w:tcPr>
            <w:tcW w:w="1811" w:type="dxa"/>
            <w:vMerge/>
            <w:hideMark/>
          </w:tcPr>
          <w:p w14:paraId="5A33783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3981E9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Disruption to the implementation of long-established and essential activities</w:t>
            </w:r>
          </w:p>
        </w:tc>
      </w:tr>
      <w:tr w:rsidR="00100EB8" w:rsidRPr="00542EB9" w14:paraId="6EC6A263" w14:textId="77777777" w:rsidTr="00100EB8">
        <w:trPr>
          <w:trHeight w:val="300"/>
        </w:trPr>
        <w:tc>
          <w:tcPr>
            <w:tcW w:w="1811" w:type="dxa"/>
            <w:vMerge/>
            <w:hideMark/>
          </w:tcPr>
          <w:p w14:paraId="16F0FD29"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62CC67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Low take-up or use of horizontal activities</w:t>
            </w:r>
          </w:p>
        </w:tc>
      </w:tr>
      <w:tr w:rsidR="00100EB8" w:rsidRPr="00542EB9" w14:paraId="62C77B38" w14:textId="77777777" w:rsidTr="00100EB8">
        <w:trPr>
          <w:trHeight w:val="300"/>
        </w:trPr>
        <w:tc>
          <w:tcPr>
            <w:tcW w:w="1811" w:type="dxa"/>
            <w:vMerge/>
            <w:hideMark/>
          </w:tcPr>
          <w:p w14:paraId="5550A40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1B18852"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Weak relevance of horizontal activities</w:t>
            </w:r>
          </w:p>
        </w:tc>
      </w:tr>
      <w:tr w:rsidR="00100EB8" w:rsidRPr="00542EB9" w14:paraId="78932156" w14:textId="77777777" w:rsidTr="00100EB8">
        <w:trPr>
          <w:trHeight w:val="300"/>
        </w:trPr>
        <w:tc>
          <w:tcPr>
            <w:tcW w:w="1811" w:type="dxa"/>
            <w:vMerge/>
            <w:hideMark/>
          </w:tcPr>
          <w:p w14:paraId="19CEED7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279753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Inflexibility of horizontal activities</w:t>
            </w:r>
          </w:p>
        </w:tc>
      </w:tr>
      <w:tr w:rsidR="00100EB8" w:rsidRPr="00542EB9" w14:paraId="7EA71923" w14:textId="77777777" w:rsidTr="00100EB8">
        <w:trPr>
          <w:trHeight w:val="315"/>
        </w:trPr>
        <w:tc>
          <w:tcPr>
            <w:tcW w:w="1811" w:type="dxa"/>
            <w:vMerge/>
            <w:hideMark/>
          </w:tcPr>
          <w:p w14:paraId="3F72D65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395388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Duplication/confusion betwee horizontal and policy-specific activities</w:t>
            </w:r>
          </w:p>
        </w:tc>
      </w:tr>
      <w:tr w:rsidR="00100EB8" w:rsidRPr="00542EB9" w14:paraId="491B0E1F" w14:textId="77777777" w:rsidTr="00F71672">
        <w:trPr>
          <w:trHeight w:val="315"/>
        </w:trPr>
        <w:tc>
          <w:tcPr>
            <w:tcW w:w="1811" w:type="dxa"/>
            <w:shd w:val="clear" w:color="auto" w:fill="1F497D" w:themeFill="text2"/>
            <w:hideMark/>
          </w:tcPr>
          <w:p w14:paraId="6B7C6273"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 </w:t>
            </w:r>
          </w:p>
        </w:tc>
        <w:tc>
          <w:tcPr>
            <w:tcW w:w="13077" w:type="dxa"/>
            <w:shd w:val="clear" w:color="auto" w:fill="1F497D" w:themeFill="text2"/>
            <w:hideMark/>
          </w:tcPr>
          <w:p w14:paraId="1DD9D708" w14:textId="77777777" w:rsidR="00100EB8" w:rsidRPr="00F71672" w:rsidRDefault="00100EB8" w:rsidP="00100EB8">
            <w:pPr>
              <w:pStyle w:val="BodyText1"/>
              <w:rPr>
                <w:rFonts w:ascii="Times New Roman" w:hAnsi="Times New Roman"/>
                <w:b/>
                <w:bCs/>
                <w:noProof/>
                <w:color w:val="FFFFFF" w:themeColor="background1"/>
                <w:szCs w:val="22"/>
              </w:rPr>
            </w:pPr>
            <w:r w:rsidRPr="00F71672">
              <w:rPr>
                <w:rFonts w:ascii="Times New Roman" w:hAnsi="Times New Roman"/>
                <w:b/>
                <w:bCs/>
                <w:noProof/>
                <w:color w:val="FFFFFF" w:themeColor="background1"/>
                <w:szCs w:val="22"/>
              </w:rPr>
              <w:t>Benefits for the European Commission</w:t>
            </w:r>
          </w:p>
        </w:tc>
      </w:tr>
      <w:tr w:rsidR="00100EB8" w:rsidRPr="00542EB9" w14:paraId="493C14FC" w14:textId="77777777" w:rsidTr="00100EB8">
        <w:trPr>
          <w:trHeight w:val="300"/>
        </w:trPr>
        <w:tc>
          <w:tcPr>
            <w:tcW w:w="1811" w:type="dxa"/>
            <w:vMerge w:val="restart"/>
            <w:hideMark/>
          </w:tcPr>
          <w:p w14:paraId="2DF9884A"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Continuity (baseline)</w:t>
            </w:r>
          </w:p>
        </w:tc>
        <w:tc>
          <w:tcPr>
            <w:tcW w:w="13077" w:type="dxa"/>
            <w:hideMark/>
          </w:tcPr>
          <w:p w14:paraId="58EE4E3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xml:space="preserve">Direct benefits: </w:t>
            </w:r>
          </w:p>
        </w:tc>
      </w:tr>
      <w:tr w:rsidR="00100EB8" w:rsidRPr="00542EB9" w14:paraId="4C476513" w14:textId="77777777" w:rsidTr="00100EB8">
        <w:trPr>
          <w:trHeight w:val="300"/>
        </w:trPr>
        <w:tc>
          <w:tcPr>
            <w:tcW w:w="1811" w:type="dxa"/>
            <w:vMerge/>
            <w:hideMark/>
          </w:tcPr>
          <w:p w14:paraId="20FDE270"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6E4A2D3"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capacity, skills and knowledge</w:t>
            </w:r>
          </w:p>
        </w:tc>
      </w:tr>
      <w:tr w:rsidR="00100EB8" w:rsidRPr="00542EB9" w14:paraId="23CBFA59" w14:textId="77777777" w:rsidTr="00100EB8">
        <w:trPr>
          <w:trHeight w:val="300"/>
        </w:trPr>
        <w:tc>
          <w:tcPr>
            <w:tcW w:w="1811" w:type="dxa"/>
            <w:vMerge/>
            <w:hideMark/>
          </w:tcPr>
          <w:p w14:paraId="69FD5D5F"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7F3ECB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access to facilities, expertise, etc.</w:t>
            </w:r>
          </w:p>
        </w:tc>
      </w:tr>
      <w:tr w:rsidR="00100EB8" w:rsidRPr="00542EB9" w14:paraId="11609CDC" w14:textId="77777777" w:rsidTr="00100EB8">
        <w:trPr>
          <w:trHeight w:val="300"/>
        </w:trPr>
        <w:tc>
          <w:tcPr>
            <w:tcW w:w="1811" w:type="dxa"/>
            <w:vMerge/>
            <w:hideMark/>
          </w:tcPr>
          <w:p w14:paraId="634FFD13"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EACAC74"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digitalisation of public administration and law enforcement</w:t>
            </w:r>
          </w:p>
        </w:tc>
      </w:tr>
      <w:tr w:rsidR="00100EB8" w:rsidRPr="00542EB9" w14:paraId="7AC48219" w14:textId="77777777" w:rsidTr="00100EB8">
        <w:trPr>
          <w:trHeight w:val="300"/>
        </w:trPr>
        <w:tc>
          <w:tcPr>
            <w:tcW w:w="1811" w:type="dxa"/>
            <w:vMerge/>
            <w:hideMark/>
          </w:tcPr>
          <w:p w14:paraId="426E58AC"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E4C938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Enhanced co-operation with other authorities</w:t>
            </w:r>
          </w:p>
        </w:tc>
      </w:tr>
      <w:tr w:rsidR="00100EB8" w:rsidRPr="00542EB9" w14:paraId="01D317B8" w14:textId="77777777" w:rsidTr="00100EB8">
        <w:trPr>
          <w:trHeight w:val="300"/>
        </w:trPr>
        <w:tc>
          <w:tcPr>
            <w:tcW w:w="1811" w:type="dxa"/>
            <w:vMerge/>
            <w:hideMark/>
          </w:tcPr>
          <w:p w14:paraId="5FBFF40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2020051"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Secure and effective exchange of confidential information with 3rd parties</w:t>
            </w:r>
          </w:p>
        </w:tc>
      </w:tr>
      <w:tr w:rsidR="00100EB8" w:rsidRPr="00542EB9" w14:paraId="306FFC82" w14:textId="77777777" w:rsidTr="00100EB8">
        <w:trPr>
          <w:trHeight w:val="480"/>
        </w:trPr>
        <w:tc>
          <w:tcPr>
            <w:tcW w:w="1811" w:type="dxa"/>
            <w:vMerge/>
            <w:hideMark/>
          </w:tcPr>
          <w:p w14:paraId="1A419DB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624C9EA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Reduced burden (e.g. better case management; easier and more secure transfer of documents and exchange of information)</w:t>
            </w:r>
          </w:p>
        </w:tc>
      </w:tr>
      <w:tr w:rsidR="00100EB8" w:rsidRPr="00542EB9" w14:paraId="37AA28A9" w14:textId="77777777" w:rsidTr="00100EB8">
        <w:trPr>
          <w:trHeight w:val="300"/>
        </w:trPr>
        <w:tc>
          <w:tcPr>
            <w:tcW w:w="1811" w:type="dxa"/>
            <w:vMerge/>
            <w:hideMark/>
          </w:tcPr>
          <w:p w14:paraId="5336E0C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B599B5D"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Indirect benefits:</w:t>
            </w:r>
          </w:p>
        </w:tc>
      </w:tr>
      <w:tr w:rsidR="00100EB8" w:rsidRPr="00542EB9" w14:paraId="4BAE2C02" w14:textId="77777777" w:rsidTr="00100EB8">
        <w:trPr>
          <w:trHeight w:val="300"/>
        </w:trPr>
        <w:tc>
          <w:tcPr>
            <w:tcW w:w="1811" w:type="dxa"/>
            <w:vMerge/>
            <w:hideMark/>
          </w:tcPr>
          <w:p w14:paraId="15E6A833" w14:textId="77777777" w:rsidR="00100EB8" w:rsidRPr="00542EB9" w:rsidRDefault="00100EB8" w:rsidP="00100EB8">
            <w:pPr>
              <w:pStyle w:val="BodyText1"/>
              <w:rPr>
                <w:rFonts w:ascii="Times New Roman" w:hAnsi="Times New Roman"/>
                <w:b/>
                <w:bCs/>
                <w:noProof/>
                <w:szCs w:val="22"/>
              </w:rPr>
            </w:pPr>
          </w:p>
        </w:tc>
        <w:tc>
          <w:tcPr>
            <w:tcW w:w="13077" w:type="dxa"/>
            <w:hideMark/>
          </w:tcPr>
          <w:p w14:paraId="4CCF66F9"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Better implementation and enforcement of Union law</w:t>
            </w:r>
          </w:p>
        </w:tc>
      </w:tr>
      <w:tr w:rsidR="00100EB8" w:rsidRPr="00542EB9" w14:paraId="465053E8" w14:textId="77777777" w:rsidTr="00100EB8">
        <w:trPr>
          <w:trHeight w:val="300"/>
        </w:trPr>
        <w:tc>
          <w:tcPr>
            <w:tcW w:w="1811" w:type="dxa"/>
            <w:vMerge/>
            <w:hideMark/>
          </w:tcPr>
          <w:p w14:paraId="73DB227D"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8C7067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Reduced cost of implementation and enforcement of Union law</w:t>
            </w:r>
          </w:p>
        </w:tc>
      </w:tr>
      <w:tr w:rsidR="00100EB8" w:rsidRPr="00542EB9" w14:paraId="17117E8B" w14:textId="77777777" w:rsidTr="00100EB8">
        <w:trPr>
          <w:trHeight w:val="300"/>
        </w:trPr>
        <w:tc>
          <w:tcPr>
            <w:tcW w:w="1811" w:type="dxa"/>
            <w:vMerge/>
            <w:hideMark/>
          </w:tcPr>
          <w:p w14:paraId="12AFC01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B69709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Increased tax and customs revenues</w:t>
            </w:r>
          </w:p>
        </w:tc>
      </w:tr>
      <w:tr w:rsidR="00100EB8" w:rsidRPr="00542EB9" w14:paraId="02B387C2" w14:textId="77777777" w:rsidTr="00100EB8">
        <w:trPr>
          <w:trHeight w:val="315"/>
        </w:trPr>
        <w:tc>
          <w:tcPr>
            <w:tcW w:w="1811" w:type="dxa"/>
            <w:vMerge/>
            <w:hideMark/>
          </w:tcPr>
          <w:p w14:paraId="15304FC6"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9711806"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Reduction in tax fraud, evasion and avoidance</w:t>
            </w:r>
          </w:p>
        </w:tc>
      </w:tr>
      <w:tr w:rsidR="00100EB8" w:rsidRPr="00542EB9" w14:paraId="6471C72C" w14:textId="77777777" w:rsidTr="00100EB8">
        <w:trPr>
          <w:trHeight w:val="300"/>
        </w:trPr>
        <w:tc>
          <w:tcPr>
            <w:tcW w:w="1811" w:type="dxa"/>
            <w:vMerge w:val="restart"/>
            <w:hideMark/>
          </w:tcPr>
          <w:p w14:paraId="3C6BCE68"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Integrated</w:t>
            </w:r>
          </w:p>
        </w:tc>
        <w:tc>
          <w:tcPr>
            <w:tcW w:w="13077" w:type="dxa"/>
            <w:hideMark/>
          </w:tcPr>
          <w:p w14:paraId="0EDA36B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As under the Continuity Scenario, except where:</w:t>
            </w:r>
          </w:p>
        </w:tc>
      </w:tr>
      <w:tr w:rsidR="00100EB8" w:rsidRPr="00542EB9" w14:paraId="4B66E253" w14:textId="77777777" w:rsidTr="00100EB8">
        <w:trPr>
          <w:trHeight w:val="720"/>
        </w:trPr>
        <w:tc>
          <w:tcPr>
            <w:tcW w:w="1811" w:type="dxa"/>
            <w:vMerge/>
            <w:hideMark/>
          </w:tcPr>
          <w:p w14:paraId="7BF2C1C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B0073C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more/better activities to support the Commission’s policymaking and law enforcement role are implemented due to synergies, flexibilities and simplifications in programme design (e.g., joint procurement)</w:t>
            </w:r>
          </w:p>
        </w:tc>
      </w:tr>
      <w:tr w:rsidR="00100EB8" w:rsidRPr="00542EB9" w14:paraId="7486F82B" w14:textId="77777777" w:rsidTr="00100EB8">
        <w:trPr>
          <w:trHeight w:val="495"/>
        </w:trPr>
        <w:tc>
          <w:tcPr>
            <w:tcW w:w="1811" w:type="dxa"/>
            <w:vMerge/>
            <w:hideMark/>
          </w:tcPr>
          <w:p w14:paraId="4505711B" w14:textId="77777777" w:rsidR="00100EB8" w:rsidRPr="00542EB9" w:rsidRDefault="00100EB8" w:rsidP="00100EB8">
            <w:pPr>
              <w:pStyle w:val="BodyText1"/>
              <w:rPr>
                <w:rFonts w:ascii="Times New Roman" w:hAnsi="Times New Roman"/>
                <w:b/>
                <w:bCs/>
                <w:noProof/>
                <w:szCs w:val="22"/>
              </w:rPr>
            </w:pPr>
          </w:p>
        </w:tc>
        <w:tc>
          <w:tcPr>
            <w:tcW w:w="13077" w:type="dxa"/>
            <w:hideMark/>
          </w:tcPr>
          <w:p w14:paraId="7CD0E24F"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programme management is less burdensome (harmonised, legal provisions, common reporting templates, single set of requirements, Common Rulebook, etc.)</w:t>
            </w:r>
          </w:p>
        </w:tc>
      </w:tr>
      <w:tr w:rsidR="00100EB8" w:rsidRPr="00542EB9" w14:paraId="2B56ABBA" w14:textId="77777777" w:rsidTr="00100EB8">
        <w:trPr>
          <w:trHeight w:val="300"/>
        </w:trPr>
        <w:tc>
          <w:tcPr>
            <w:tcW w:w="1811" w:type="dxa"/>
            <w:vMerge w:val="restart"/>
            <w:hideMark/>
          </w:tcPr>
          <w:p w14:paraId="78EB730B" w14:textId="77777777" w:rsidR="00100EB8" w:rsidRPr="00542EB9" w:rsidRDefault="00100EB8" w:rsidP="00100EB8">
            <w:pPr>
              <w:pStyle w:val="BodyText1"/>
              <w:rPr>
                <w:rFonts w:ascii="Times New Roman" w:hAnsi="Times New Roman"/>
                <w:b/>
                <w:bCs/>
                <w:noProof/>
                <w:szCs w:val="22"/>
              </w:rPr>
            </w:pPr>
            <w:r w:rsidRPr="00542EB9">
              <w:rPr>
                <w:rFonts w:ascii="Times New Roman" w:hAnsi="Times New Roman"/>
                <w:b/>
                <w:bCs/>
                <w:noProof/>
                <w:szCs w:val="22"/>
              </w:rPr>
              <w:t>Unified</w:t>
            </w:r>
          </w:p>
        </w:tc>
        <w:tc>
          <w:tcPr>
            <w:tcW w:w="13077" w:type="dxa"/>
            <w:hideMark/>
          </w:tcPr>
          <w:p w14:paraId="7BA95CB6"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As under the Continuity Scenario, except where:</w:t>
            </w:r>
          </w:p>
        </w:tc>
      </w:tr>
      <w:tr w:rsidR="00100EB8" w:rsidRPr="00542EB9" w14:paraId="07CF9F41" w14:textId="77777777" w:rsidTr="00100EB8">
        <w:trPr>
          <w:trHeight w:val="480"/>
        </w:trPr>
        <w:tc>
          <w:tcPr>
            <w:tcW w:w="1811" w:type="dxa"/>
            <w:vMerge/>
            <w:hideMark/>
          </w:tcPr>
          <w:p w14:paraId="3706D0EB"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B8992C0"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more/better activities to support the Commission’s policymaking and law enforcement role are implemented due to synergies, flexibilities and simplifications in programme design</w:t>
            </w:r>
          </w:p>
        </w:tc>
      </w:tr>
      <w:tr w:rsidR="00100EB8" w:rsidRPr="00542EB9" w14:paraId="4E0B4791" w14:textId="77777777" w:rsidTr="00100EB8">
        <w:trPr>
          <w:trHeight w:val="480"/>
        </w:trPr>
        <w:tc>
          <w:tcPr>
            <w:tcW w:w="1811" w:type="dxa"/>
            <w:vMerge/>
            <w:hideMark/>
          </w:tcPr>
          <w:p w14:paraId="431D2960"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0C91A85"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programme management is less burdensome (harmonised, legal provisions, common reporting templates, single set of requirements, Common Rulebook, etc.)</w:t>
            </w:r>
          </w:p>
        </w:tc>
      </w:tr>
      <w:tr w:rsidR="00100EB8" w:rsidRPr="00542EB9" w14:paraId="3F28B2AD" w14:textId="77777777" w:rsidTr="00100EB8">
        <w:trPr>
          <w:trHeight w:val="480"/>
        </w:trPr>
        <w:tc>
          <w:tcPr>
            <w:tcW w:w="1811" w:type="dxa"/>
            <w:vMerge/>
            <w:hideMark/>
          </w:tcPr>
          <w:p w14:paraId="21C56B0E"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DA8C8B6"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more effective/relevant horizontal activities are implemented to support the Commission’s policymaking and law enforcement role</w:t>
            </w:r>
          </w:p>
        </w:tc>
      </w:tr>
      <w:tr w:rsidR="00100EB8" w:rsidRPr="00542EB9" w14:paraId="107691CE" w14:textId="77777777" w:rsidTr="00100EB8">
        <w:trPr>
          <w:trHeight w:val="300"/>
        </w:trPr>
        <w:tc>
          <w:tcPr>
            <w:tcW w:w="1811" w:type="dxa"/>
            <w:vMerge/>
            <w:hideMark/>
          </w:tcPr>
          <w:p w14:paraId="175B7868" w14:textId="77777777" w:rsidR="00100EB8" w:rsidRPr="00542EB9" w:rsidRDefault="00100EB8" w:rsidP="00100EB8">
            <w:pPr>
              <w:pStyle w:val="BodyText1"/>
              <w:rPr>
                <w:rFonts w:ascii="Times New Roman" w:hAnsi="Times New Roman"/>
                <w:b/>
                <w:bCs/>
                <w:noProof/>
                <w:szCs w:val="22"/>
              </w:rPr>
            </w:pPr>
          </w:p>
        </w:tc>
        <w:tc>
          <w:tcPr>
            <w:tcW w:w="13077" w:type="dxa"/>
            <w:hideMark/>
          </w:tcPr>
          <w:p w14:paraId="2B26F44A"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But risks of reduced benefit, depending on:</w:t>
            </w:r>
          </w:p>
        </w:tc>
      </w:tr>
      <w:tr w:rsidR="00100EB8" w:rsidRPr="00542EB9" w14:paraId="0C89734F" w14:textId="77777777" w:rsidTr="00100EB8">
        <w:trPr>
          <w:trHeight w:val="300"/>
        </w:trPr>
        <w:tc>
          <w:tcPr>
            <w:tcW w:w="1811" w:type="dxa"/>
            <w:vMerge/>
            <w:hideMark/>
          </w:tcPr>
          <w:p w14:paraId="2FC433ED" w14:textId="77777777" w:rsidR="00100EB8" w:rsidRPr="00542EB9" w:rsidRDefault="00100EB8" w:rsidP="00100EB8">
            <w:pPr>
              <w:pStyle w:val="BodyText1"/>
              <w:rPr>
                <w:rFonts w:ascii="Times New Roman" w:hAnsi="Times New Roman"/>
                <w:b/>
                <w:bCs/>
                <w:noProof/>
                <w:szCs w:val="22"/>
              </w:rPr>
            </w:pPr>
          </w:p>
        </w:tc>
        <w:tc>
          <w:tcPr>
            <w:tcW w:w="13077" w:type="dxa"/>
            <w:hideMark/>
          </w:tcPr>
          <w:p w14:paraId="1508C565"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Adjustment/adaptation costs/time</w:t>
            </w:r>
          </w:p>
        </w:tc>
      </w:tr>
      <w:tr w:rsidR="00100EB8" w:rsidRPr="00542EB9" w14:paraId="1031984B" w14:textId="77777777" w:rsidTr="00100EB8">
        <w:trPr>
          <w:trHeight w:val="300"/>
        </w:trPr>
        <w:tc>
          <w:tcPr>
            <w:tcW w:w="1811" w:type="dxa"/>
            <w:vMerge/>
            <w:hideMark/>
          </w:tcPr>
          <w:p w14:paraId="10195958"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7854EEC"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Disruption to the implementation of long-established and essential activities</w:t>
            </w:r>
          </w:p>
        </w:tc>
      </w:tr>
      <w:tr w:rsidR="00100EB8" w:rsidRPr="00542EB9" w14:paraId="4989A477" w14:textId="77777777" w:rsidTr="00100EB8">
        <w:trPr>
          <w:trHeight w:val="300"/>
        </w:trPr>
        <w:tc>
          <w:tcPr>
            <w:tcW w:w="1811" w:type="dxa"/>
            <w:vMerge/>
            <w:hideMark/>
          </w:tcPr>
          <w:p w14:paraId="59AC1F94"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B4462A8"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Low take-up or use of horizontal activities</w:t>
            </w:r>
          </w:p>
        </w:tc>
      </w:tr>
      <w:tr w:rsidR="00100EB8" w:rsidRPr="00542EB9" w14:paraId="75A7A1AF" w14:textId="77777777" w:rsidTr="00100EB8">
        <w:trPr>
          <w:trHeight w:val="300"/>
        </w:trPr>
        <w:tc>
          <w:tcPr>
            <w:tcW w:w="1811" w:type="dxa"/>
            <w:vMerge/>
            <w:hideMark/>
          </w:tcPr>
          <w:p w14:paraId="4077567A" w14:textId="77777777" w:rsidR="00100EB8" w:rsidRPr="00542EB9" w:rsidRDefault="00100EB8" w:rsidP="00100EB8">
            <w:pPr>
              <w:pStyle w:val="BodyText1"/>
              <w:rPr>
                <w:rFonts w:ascii="Times New Roman" w:hAnsi="Times New Roman"/>
                <w:b/>
                <w:bCs/>
                <w:noProof/>
                <w:szCs w:val="22"/>
              </w:rPr>
            </w:pPr>
          </w:p>
        </w:tc>
        <w:tc>
          <w:tcPr>
            <w:tcW w:w="13077" w:type="dxa"/>
            <w:hideMark/>
          </w:tcPr>
          <w:p w14:paraId="3D3D59B7"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Weak relevance of horizontal activities</w:t>
            </w:r>
          </w:p>
        </w:tc>
      </w:tr>
      <w:tr w:rsidR="00100EB8" w:rsidRPr="00542EB9" w14:paraId="08BAD550" w14:textId="77777777" w:rsidTr="00100EB8">
        <w:trPr>
          <w:trHeight w:val="300"/>
        </w:trPr>
        <w:tc>
          <w:tcPr>
            <w:tcW w:w="1811" w:type="dxa"/>
            <w:vMerge/>
            <w:hideMark/>
          </w:tcPr>
          <w:p w14:paraId="3AF2BF78" w14:textId="77777777" w:rsidR="00100EB8" w:rsidRPr="00542EB9" w:rsidRDefault="00100EB8" w:rsidP="00100EB8">
            <w:pPr>
              <w:pStyle w:val="BodyText1"/>
              <w:rPr>
                <w:rFonts w:ascii="Times New Roman" w:hAnsi="Times New Roman"/>
                <w:b/>
                <w:bCs/>
                <w:noProof/>
                <w:szCs w:val="22"/>
              </w:rPr>
            </w:pPr>
          </w:p>
        </w:tc>
        <w:tc>
          <w:tcPr>
            <w:tcW w:w="13077" w:type="dxa"/>
            <w:hideMark/>
          </w:tcPr>
          <w:p w14:paraId="0DA8330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Inflexibility of horizontal activities</w:t>
            </w:r>
          </w:p>
        </w:tc>
      </w:tr>
      <w:tr w:rsidR="00100EB8" w:rsidRPr="00542EB9" w14:paraId="458277C1" w14:textId="77777777" w:rsidTr="00100EB8">
        <w:trPr>
          <w:trHeight w:val="315"/>
        </w:trPr>
        <w:tc>
          <w:tcPr>
            <w:tcW w:w="1811" w:type="dxa"/>
            <w:vMerge/>
            <w:hideMark/>
          </w:tcPr>
          <w:p w14:paraId="029606E7" w14:textId="77777777" w:rsidR="00100EB8" w:rsidRPr="00542EB9" w:rsidRDefault="00100EB8" w:rsidP="00100EB8">
            <w:pPr>
              <w:pStyle w:val="BodyText1"/>
              <w:rPr>
                <w:rFonts w:ascii="Times New Roman" w:hAnsi="Times New Roman"/>
                <w:b/>
                <w:bCs/>
                <w:noProof/>
                <w:szCs w:val="22"/>
              </w:rPr>
            </w:pPr>
          </w:p>
        </w:tc>
        <w:tc>
          <w:tcPr>
            <w:tcW w:w="13077" w:type="dxa"/>
            <w:hideMark/>
          </w:tcPr>
          <w:p w14:paraId="50937F2B" w14:textId="77777777" w:rsidR="00100EB8" w:rsidRPr="00542EB9" w:rsidRDefault="00100EB8" w:rsidP="00100EB8">
            <w:pPr>
              <w:pStyle w:val="BodyText1"/>
              <w:rPr>
                <w:rFonts w:ascii="Times New Roman" w:hAnsi="Times New Roman"/>
                <w:noProof/>
                <w:szCs w:val="22"/>
              </w:rPr>
            </w:pPr>
            <w:r w:rsidRPr="00542EB9">
              <w:rPr>
                <w:rFonts w:ascii="Times New Roman" w:hAnsi="Times New Roman"/>
                <w:noProof/>
                <w:szCs w:val="22"/>
              </w:rPr>
              <w:t>-       Duplication/confusion between horizontal and policy-specific activities</w:t>
            </w:r>
          </w:p>
        </w:tc>
      </w:tr>
    </w:tbl>
    <w:p w14:paraId="556E4C77" w14:textId="77777777" w:rsidR="003D5C3C" w:rsidRPr="00542EB9" w:rsidRDefault="003D5C3C" w:rsidP="00F36CE0">
      <w:pPr>
        <w:pStyle w:val="BodyText1"/>
        <w:rPr>
          <w:noProof/>
        </w:rPr>
      </w:pPr>
    </w:p>
    <w:p w14:paraId="23879855" w14:textId="77777777" w:rsidR="003D5C3C" w:rsidRPr="00542EB9" w:rsidRDefault="003D5C3C" w:rsidP="00F36CE0">
      <w:pPr>
        <w:pStyle w:val="BodyText1"/>
        <w:rPr>
          <w:noProof/>
        </w:rPr>
      </w:pPr>
    </w:p>
    <w:p w14:paraId="0CBA952A" w14:textId="77777777" w:rsidR="006B087E" w:rsidRPr="00542EB9" w:rsidRDefault="006B087E" w:rsidP="5DD21FD3">
      <w:pPr>
        <w:pStyle w:val="Heading1"/>
        <w:rPr>
          <w:noProof/>
        </w:rPr>
      </w:pPr>
      <w:bookmarkStart w:id="97" w:name="_Toc198549076"/>
      <w:bookmarkEnd w:id="95"/>
      <w:r w:rsidRPr="00542EB9">
        <w:rPr>
          <w:noProof/>
        </w:rPr>
        <w:t>Summary of costs and benefits</w:t>
      </w:r>
      <w:bookmarkEnd w:id="96"/>
      <w:bookmarkEnd w:id="97"/>
    </w:p>
    <w:p w14:paraId="4844CEAB" w14:textId="6A1206A6" w:rsidR="00D446D3" w:rsidRPr="00542EB9" w:rsidRDefault="00252869" w:rsidP="00B26F84">
      <w:pPr>
        <w:pStyle w:val="Text1"/>
        <w:rPr>
          <w:noProof/>
        </w:rPr>
      </w:pPr>
      <w:r w:rsidRPr="00542EB9">
        <w:rPr>
          <w:noProof/>
        </w:rPr>
        <w:t xml:space="preserve">Unfortunately costs and benefits quantification was not </w:t>
      </w:r>
      <w:r w:rsidR="00DE3306" w:rsidRPr="00542EB9">
        <w:rPr>
          <w:noProof/>
        </w:rPr>
        <w:t>available, due to the difficulties to estimate</w:t>
      </w:r>
      <w:r w:rsidR="00423291" w:rsidRPr="00542EB9">
        <w:rPr>
          <w:noProof/>
        </w:rPr>
        <w:t xml:space="preserve"> as the result of the programme character focusing on </w:t>
      </w:r>
      <w:r w:rsidR="005330CC" w:rsidRPr="00542EB9">
        <w:rPr>
          <w:noProof/>
        </w:rPr>
        <w:t>the support</w:t>
      </w:r>
      <w:r w:rsidR="00B81386" w:rsidRPr="00542EB9">
        <w:rPr>
          <w:noProof/>
        </w:rPr>
        <w:t xml:space="preserve"> for the well-functioning single market</w:t>
      </w:r>
      <w:r w:rsidR="00DE3306" w:rsidRPr="00542EB9">
        <w:rPr>
          <w:noProof/>
        </w:rPr>
        <w:t>. The qualitative appreciation</w:t>
      </w:r>
      <w:r w:rsidR="006A26D7" w:rsidRPr="00542EB9">
        <w:rPr>
          <w:noProof/>
        </w:rPr>
        <w:t>s</w:t>
      </w:r>
      <w:r w:rsidR="00DE3306" w:rsidRPr="00542EB9">
        <w:rPr>
          <w:noProof/>
        </w:rPr>
        <w:t xml:space="preserve"> reflect </w:t>
      </w:r>
      <w:r w:rsidR="00362F42" w:rsidRPr="00542EB9">
        <w:rPr>
          <w:noProof/>
        </w:rPr>
        <w:t>the evidence gathered through the evaluations</w:t>
      </w:r>
      <w:r w:rsidR="006A26D7" w:rsidRPr="00542EB9">
        <w:rPr>
          <w:noProof/>
        </w:rPr>
        <w:t xml:space="preserve"> and the analysis</w:t>
      </w:r>
      <w:r w:rsidR="00B30B16" w:rsidRPr="00542EB9">
        <w:rPr>
          <w:noProof/>
        </w:rPr>
        <w:t xml:space="preserve">. </w:t>
      </w:r>
    </w:p>
    <w:p w14:paraId="6CF91DC8" w14:textId="77777777" w:rsidR="006B087E" w:rsidRPr="00542EB9" w:rsidRDefault="006B087E" w:rsidP="5DD21FD3">
      <w:pPr>
        <w:rPr>
          <w:noProof/>
        </w:rPr>
      </w:pPr>
    </w:p>
    <w:tbl>
      <w:tblPr>
        <w:tblStyle w:val="CV12"/>
        <w:tblW w:w="10206"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12"/>
        <w:gridCol w:w="4043"/>
        <w:gridCol w:w="3651"/>
      </w:tblGrid>
      <w:tr w:rsidR="00BA069C" w:rsidRPr="00542EB9" w14:paraId="77F98253" w14:textId="77777777" w:rsidTr="5DD21FD3">
        <w:tc>
          <w:tcPr>
            <w:tcW w:w="10206" w:type="dxa"/>
            <w:gridSpan w:val="3"/>
            <w:tcBorders>
              <w:top w:val="double" w:sz="4" w:space="0" w:color="auto"/>
              <w:bottom w:val="single" w:sz="4" w:space="0" w:color="auto"/>
            </w:tcBorders>
            <w:shd w:val="clear" w:color="auto" w:fill="C6D9F1" w:themeFill="text2" w:themeFillTint="33"/>
          </w:tcPr>
          <w:p w14:paraId="2BF88455" w14:textId="77777777" w:rsidR="00801268" w:rsidRPr="00542EB9" w:rsidRDefault="00801268" w:rsidP="5DD21FD3">
            <w:pPr>
              <w:spacing w:after="0"/>
              <w:rPr>
                <w:b/>
                <w:bCs/>
                <w:noProof/>
                <w:sz w:val="20"/>
                <w:szCs w:val="20"/>
              </w:rPr>
            </w:pPr>
            <w:r w:rsidRPr="00542EB9">
              <w:rPr>
                <w:b/>
                <w:bCs/>
                <w:noProof/>
                <w:sz w:val="20"/>
                <w:szCs w:val="20"/>
              </w:rPr>
              <w:t>I. Overview of Benefits (total for all provisions) – Preferred Option</w:t>
            </w:r>
          </w:p>
        </w:tc>
      </w:tr>
      <w:tr w:rsidR="00841B56" w:rsidRPr="00542EB9" w14:paraId="630D315E" w14:textId="77777777" w:rsidTr="5DD21FD3">
        <w:tc>
          <w:tcPr>
            <w:tcW w:w="2512" w:type="dxa"/>
            <w:tcBorders>
              <w:top w:val="single" w:sz="4" w:space="0" w:color="auto"/>
            </w:tcBorders>
            <w:shd w:val="clear" w:color="auto" w:fill="C6D9F1" w:themeFill="text2" w:themeFillTint="33"/>
          </w:tcPr>
          <w:p w14:paraId="3A099500" w14:textId="77777777" w:rsidR="00801268" w:rsidRPr="00542EB9" w:rsidRDefault="00801268" w:rsidP="5DD21FD3">
            <w:pPr>
              <w:spacing w:after="0"/>
              <w:jc w:val="center"/>
              <w:rPr>
                <w:b/>
                <w:bCs/>
                <w:i/>
                <w:iCs/>
                <w:noProof/>
                <w:sz w:val="20"/>
                <w:szCs w:val="20"/>
              </w:rPr>
            </w:pPr>
            <w:r w:rsidRPr="00542EB9">
              <w:rPr>
                <w:b/>
                <w:bCs/>
                <w:i/>
                <w:iCs/>
                <w:noProof/>
                <w:sz w:val="20"/>
                <w:szCs w:val="20"/>
              </w:rPr>
              <w:t>Description</w:t>
            </w:r>
          </w:p>
        </w:tc>
        <w:tc>
          <w:tcPr>
            <w:tcW w:w="4043" w:type="dxa"/>
            <w:tcBorders>
              <w:top w:val="single" w:sz="4" w:space="0" w:color="auto"/>
            </w:tcBorders>
            <w:shd w:val="clear" w:color="auto" w:fill="C6D9F1" w:themeFill="text2" w:themeFillTint="33"/>
          </w:tcPr>
          <w:p w14:paraId="1CA5FBBE" w14:textId="77777777" w:rsidR="00801268" w:rsidRPr="00542EB9" w:rsidRDefault="00801268" w:rsidP="5DD21FD3">
            <w:pPr>
              <w:spacing w:after="0"/>
              <w:jc w:val="center"/>
              <w:rPr>
                <w:b/>
                <w:bCs/>
                <w:i/>
                <w:iCs/>
                <w:noProof/>
                <w:sz w:val="20"/>
                <w:szCs w:val="20"/>
              </w:rPr>
            </w:pPr>
            <w:r w:rsidRPr="00542EB9">
              <w:rPr>
                <w:b/>
                <w:bCs/>
                <w:i/>
                <w:iCs/>
                <w:noProof/>
                <w:sz w:val="20"/>
                <w:szCs w:val="20"/>
              </w:rPr>
              <w:t>Amount</w:t>
            </w:r>
          </w:p>
        </w:tc>
        <w:tc>
          <w:tcPr>
            <w:tcW w:w="3651" w:type="dxa"/>
            <w:tcBorders>
              <w:top w:val="single" w:sz="4" w:space="0" w:color="auto"/>
            </w:tcBorders>
            <w:shd w:val="clear" w:color="auto" w:fill="C6D9F1" w:themeFill="text2" w:themeFillTint="33"/>
            <w:tcMar>
              <w:top w:w="57" w:type="dxa"/>
              <w:left w:w="57" w:type="dxa"/>
              <w:bottom w:w="57" w:type="dxa"/>
              <w:right w:w="57" w:type="dxa"/>
            </w:tcMar>
          </w:tcPr>
          <w:p w14:paraId="26B75A3A" w14:textId="77777777" w:rsidR="00801268" w:rsidRPr="00542EB9" w:rsidRDefault="00801268" w:rsidP="5DD21FD3">
            <w:pPr>
              <w:spacing w:after="0"/>
              <w:jc w:val="center"/>
              <w:rPr>
                <w:b/>
                <w:bCs/>
                <w:i/>
                <w:iCs/>
                <w:noProof/>
                <w:sz w:val="20"/>
                <w:szCs w:val="20"/>
              </w:rPr>
            </w:pPr>
            <w:r w:rsidRPr="00542EB9">
              <w:rPr>
                <w:b/>
                <w:bCs/>
                <w:i/>
                <w:iCs/>
                <w:noProof/>
                <w:sz w:val="20"/>
                <w:szCs w:val="20"/>
              </w:rPr>
              <w:t>Comments</w:t>
            </w:r>
          </w:p>
        </w:tc>
      </w:tr>
      <w:tr w:rsidR="00BA069C" w:rsidRPr="00542EB9" w14:paraId="09ACB1A8" w14:textId="77777777" w:rsidTr="5DD21FD3">
        <w:tc>
          <w:tcPr>
            <w:tcW w:w="10206" w:type="dxa"/>
            <w:gridSpan w:val="3"/>
            <w:tcBorders>
              <w:top w:val="double" w:sz="4" w:space="0" w:color="auto"/>
            </w:tcBorders>
            <w:shd w:val="clear" w:color="auto" w:fill="F2F2F2" w:themeFill="background1" w:themeFillShade="F2"/>
          </w:tcPr>
          <w:p w14:paraId="0C2BDC3C" w14:textId="77777777" w:rsidR="00801268" w:rsidRPr="00542EB9" w:rsidRDefault="00801268" w:rsidP="5DD21FD3">
            <w:pPr>
              <w:spacing w:after="0"/>
              <w:jc w:val="center"/>
              <w:rPr>
                <w:b/>
                <w:bCs/>
                <w:i/>
                <w:iCs/>
                <w:noProof/>
                <w:sz w:val="20"/>
                <w:szCs w:val="20"/>
              </w:rPr>
            </w:pPr>
            <w:r w:rsidRPr="00542EB9">
              <w:rPr>
                <w:b/>
                <w:bCs/>
                <w:i/>
                <w:iCs/>
                <w:noProof/>
                <w:sz w:val="20"/>
                <w:szCs w:val="20"/>
              </w:rPr>
              <w:t>Direct benefits</w:t>
            </w:r>
          </w:p>
        </w:tc>
      </w:tr>
      <w:tr w:rsidR="00841B56" w:rsidRPr="00542EB9" w14:paraId="602CB336" w14:textId="77777777" w:rsidTr="5DD21FD3">
        <w:tc>
          <w:tcPr>
            <w:tcW w:w="2512" w:type="dxa"/>
            <w:tcBorders>
              <w:top w:val="double" w:sz="4" w:space="0" w:color="auto"/>
            </w:tcBorders>
          </w:tcPr>
          <w:p w14:paraId="412834ED" w14:textId="700B69ED" w:rsidR="00801268" w:rsidRPr="00542EB9" w:rsidRDefault="00801268" w:rsidP="5DD21FD3">
            <w:pPr>
              <w:spacing w:after="0"/>
              <w:rPr>
                <w:noProof/>
                <w:sz w:val="20"/>
                <w:szCs w:val="20"/>
              </w:rPr>
            </w:pPr>
            <w:r w:rsidRPr="00542EB9">
              <w:rPr>
                <w:noProof/>
                <w:sz w:val="20"/>
                <w:szCs w:val="20"/>
              </w:rPr>
              <w:t>Compliance cost reductions</w:t>
            </w:r>
          </w:p>
        </w:tc>
        <w:tc>
          <w:tcPr>
            <w:tcW w:w="4043" w:type="dxa"/>
            <w:tcBorders>
              <w:top w:val="double" w:sz="4" w:space="0" w:color="auto"/>
            </w:tcBorders>
            <w:tcMar>
              <w:top w:w="57" w:type="dxa"/>
              <w:left w:w="57" w:type="dxa"/>
              <w:bottom w:w="57" w:type="dxa"/>
              <w:right w:w="57" w:type="dxa"/>
            </w:tcMar>
          </w:tcPr>
          <w:p w14:paraId="17497645" w14:textId="21066143" w:rsidR="00E5124B" w:rsidRPr="00542EB9" w:rsidRDefault="007C0984" w:rsidP="5DD21FD3">
            <w:pPr>
              <w:spacing w:after="0"/>
              <w:rPr>
                <w:noProof/>
                <w:sz w:val="20"/>
                <w:szCs w:val="20"/>
              </w:rPr>
            </w:pPr>
            <w:r w:rsidRPr="00542EB9">
              <w:rPr>
                <w:noProof/>
                <w:sz w:val="20"/>
                <w:szCs w:val="20"/>
              </w:rPr>
              <w:t>Reduced</w:t>
            </w:r>
            <w:r w:rsidR="00705BAB" w:rsidRPr="00542EB9">
              <w:rPr>
                <w:noProof/>
                <w:sz w:val="20"/>
                <w:szCs w:val="20"/>
              </w:rPr>
              <w:t xml:space="preserve"> cost</w:t>
            </w:r>
            <w:r w:rsidR="003A0FE5" w:rsidRPr="00542EB9">
              <w:rPr>
                <w:noProof/>
                <w:sz w:val="20"/>
                <w:szCs w:val="20"/>
              </w:rPr>
              <w:t>s</w:t>
            </w:r>
            <w:r w:rsidR="00705BAB" w:rsidRPr="00542EB9">
              <w:rPr>
                <w:noProof/>
                <w:sz w:val="20"/>
                <w:szCs w:val="20"/>
              </w:rPr>
              <w:t xml:space="preserve"> </w:t>
            </w:r>
            <w:r w:rsidR="009B3B2A" w:rsidRPr="00542EB9">
              <w:rPr>
                <w:noProof/>
                <w:sz w:val="20"/>
                <w:szCs w:val="20"/>
              </w:rPr>
              <w:t>for the Commission</w:t>
            </w:r>
            <w:r w:rsidR="00705BAB" w:rsidRPr="00542EB9">
              <w:rPr>
                <w:noProof/>
                <w:sz w:val="20"/>
                <w:szCs w:val="20"/>
              </w:rPr>
              <w:t xml:space="preserve"> </w:t>
            </w:r>
            <w:r w:rsidR="001A7523" w:rsidRPr="00542EB9">
              <w:rPr>
                <w:noProof/>
                <w:sz w:val="20"/>
                <w:szCs w:val="20"/>
              </w:rPr>
              <w:t xml:space="preserve">through </w:t>
            </w:r>
            <w:r w:rsidR="004C745C" w:rsidRPr="00542EB9">
              <w:rPr>
                <w:noProof/>
                <w:sz w:val="20"/>
                <w:szCs w:val="20"/>
              </w:rPr>
              <w:t>joint procurement</w:t>
            </w:r>
            <w:r w:rsidR="00B17E72" w:rsidRPr="00542EB9">
              <w:rPr>
                <w:noProof/>
                <w:sz w:val="20"/>
                <w:szCs w:val="20"/>
              </w:rPr>
              <w:t xml:space="preserve"> </w:t>
            </w:r>
            <w:r w:rsidR="00AB77FE" w:rsidRPr="00542EB9">
              <w:rPr>
                <w:noProof/>
                <w:sz w:val="20"/>
                <w:szCs w:val="20"/>
              </w:rPr>
              <w:t>for</w:t>
            </w:r>
            <w:r w:rsidR="00B17E72" w:rsidRPr="00542EB9">
              <w:rPr>
                <w:noProof/>
                <w:sz w:val="20"/>
                <w:szCs w:val="20"/>
              </w:rPr>
              <w:t xml:space="preserve"> </w:t>
            </w:r>
            <w:r w:rsidR="00222216" w:rsidRPr="00542EB9">
              <w:rPr>
                <w:noProof/>
                <w:sz w:val="20"/>
                <w:szCs w:val="20"/>
              </w:rPr>
              <w:t>product and services</w:t>
            </w:r>
            <w:r w:rsidR="00AB77FE" w:rsidRPr="00542EB9">
              <w:rPr>
                <w:noProof/>
                <w:sz w:val="20"/>
                <w:szCs w:val="20"/>
              </w:rPr>
              <w:t xml:space="preserve"> (i.e.,</w:t>
            </w:r>
            <w:r w:rsidR="00222216" w:rsidRPr="00542EB9">
              <w:rPr>
                <w:noProof/>
                <w:sz w:val="20"/>
                <w:szCs w:val="20"/>
              </w:rPr>
              <w:t xml:space="preserve"> database</w:t>
            </w:r>
            <w:r w:rsidR="00AB77FE" w:rsidRPr="00542EB9">
              <w:rPr>
                <w:noProof/>
                <w:sz w:val="20"/>
                <w:szCs w:val="20"/>
              </w:rPr>
              <w:t>, Eurobarometer, survey, communication campaign, etc..)</w:t>
            </w:r>
            <w:r w:rsidR="00994A9B" w:rsidRPr="00542EB9">
              <w:rPr>
                <w:noProof/>
                <w:sz w:val="20"/>
                <w:szCs w:val="20"/>
              </w:rPr>
              <w:t>.</w:t>
            </w:r>
          </w:p>
          <w:p w14:paraId="26077AC6" w14:textId="53AD78DE" w:rsidR="00801268" w:rsidRPr="00542EB9" w:rsidRDefault="00E5124B" w:rsidP="5DD21FD3">
            <w:pPr>
              <w:spacing w:after="0"/>
              <w:rPr>
                <w:noProof/>
                <w:sz w:val="20"/>
                <w:szCs w:val="20"/>
              </w:rPr>
            </w:pPr>
            <w:r w:rsidRPr="00542EB9">
              <w:rPr>
                <w:noProof/>
                <w:sz w:val="20"/>
                <w:szCs w:val="20"/>
              </w:rPr>
              <w:t>Costs savings f</w:t>
            </w:r>
            <w:r w:rsidR="00994A9B" w:rsidRPr="00542EB9">
              <w:rPr>
                <w:noProof/>
                <w:sz w:val="20"/>
                <w:szCs w:val="20"/>
              </w:rPr>
              <w:t>rom</w:t>
            </w:r>
            <w:r w:rsidRPr="00542EB9">
              <w:rPr>
                <w:noProof/>
                <w:sz w:val="20"/>
                <w:szCs w:val="20"/>
              </w:rPr>
              <w:t xml:space="preserve"> </w:t>
            </w:r>
            <w:r w:rsidR="00A22CDA" w:rsidRPr="00542EB9">
              <w:rPr>
                <w:noProof/>
                <w:sz w:val="20"/>
                <w:szCs w:val="20"/>
              </w:rPr>
              <w:t>single</w:t>
            </w:r>
            <w:r w:rsidR="00783F70" w:rsidRPr="00542EB9">
              <w:rPr>
                <w:noProof/>
                <w:sz w:val="20"/>
                <w:szCs w:val="20"/>
              </w:rPr>
              <w:t xml:space="preserve"> legislative procedure</w:t>
            </w:r>
            <w:r w:rsidR="00994A9B" w:rsidRPr="00542EB9">
              <w:rPr>
                <w:noProof/>
                <w:sz w:val="20"/>
                <w:szCs w:val="20"/>
              </w:rPr>
              <w:t xml:space="preserve"> (including Commission decision)</w:t>
            </w:r>
            <w:r w:rsidR="007359A0" w:rsidRPr="00542EB9">
              <w:rPr>
                <w:noProof/>
                <w:sz w:val="20"/>
                <w:szCs w:val="20"/>
              </w:rPr>
              <w:t xml:space="preserve"> and budget line</w:t>
            </w:r>
            <w:r w:rsidR="00A22CDA" w:rsidRPr="00542EB9">
              <w:rPr>
                <w:noProof/>
                <w:sz w:val="20"/>
                <w:szCs w:val="20"/>
              </w:rPr>
              <w:t xml:space="preserve">; </w:t>
            </w:r>
            <w:r w:rsidR="007359A0" w:rsidRPr="00542EB9">
              <w:rPr>
                <w:noProof/>
                <w:sz w:val="20"/>
                <w:szCs w:val="20"/>
              </w:rPr>
              <w:t>streamline</w:t>
            </w:r>
            <w:r w:rsidR="00783F70" w:rsidRPr="00542EB9">
              <w:rPr>
                <w:noProof/>
                <w:sz w:val="20"/>
                <w:szCs w:val="20"/>
              </w:rPr>
              <w:t xml:space="preserve"> </w:t>
            </w:r>
            <w:r w:rsidR="006675B5" w:rsidRPr="00542EB9">
              <w:rPr>
                <w:noProof/>
                <w:sz w:val="20"/>
                <w:szCs w:val="20"/>
              </w:rPr>
              <w:t>audit,</w:t>
            </w:r>
            <w:r w:rsidR="0075393E" w:rsidRPr="00542EB9">
              <w:rPr>
                <w:noProof/>
                <w:sz w:val="20"/>
                <w:szCs w:val="20"/>
              </w:rPr>
              <w:t xml:space="preserve"> evaluations and other process</w:t>
            </w:r>
          </w:p>
          <w:p w14:paraId="5539862C" w14:textId="7A040EF2" w:rsidR="003C7E5D" w:rsidRPr="00542EB9" w:rsidRDefault="003C7E5D" w:rsidP="5DD21FD3">
            <w:pPr>
              <w:spacing w:after="0"/>
              <w:rPr>
                <w:noProof/>
                <w:sz w:val="20"/>
                <w:szCs w:val="20"/>
              </w:rPr>
            </w:pPr>
            <w:r w:rsidRPr="00542EB9">
              <w:rPr>
                <w:noProof/>
                <w:sz w:val="20"/>
                <w:szCs w:val="20"/>
              </w:rPr>
              <w:t xml:space="preserve">Administrative costs savings </w:t>
            </w:r>
            <w:r w:rsidR="00831726" w:rsidRPr="00542EB9">
              <w:rPr>
                <w:noProof/>
                <w:sz w:val="20"/>
                <w:szCs w:val="20"/>
              </w:rPr>
              <w:t>deriving from common template</w:t>
            </w:r>
            <w:r w:rsidR="00027546" w:rsidRPr="00542EB9">
              <w:rPr>
                <w:noProof/>
                <w:sz w:val="20"/>
                <w:szCs w:val="20"/>
              </w:rPr>
              <w:t xml:space="preserve">s; </w:t>
            </w:r>
            <w:r w:rsidR="008866CE" w:rsidRPr="00542EB9">
              <w:rPr>
                <w:noProof/>
                <w:sz w:val="20"/>
                <w:szCs w:val="20"/>
              </w:rPr>
              <w:t>streamline</w:t>
            </w:r>
            <w:r w:rsidR="003C12EA" w:rsidRPr="00542EB9">
              <w:rPr>
                <w:noProof/>
                <w:sz w:val="20"/>
                <w:szCs w:val="20"/>
              </w:rPr>
              <w:t xml:space="preserve"> </w:t>
            </w:r>
            <w:r w:rsidR="00994A9B" w:rsidRPr="00542EB9">
              <w:rPr>
                <w:noProof/>
                <w:sz w:val="20"/>
                <w:szCs w:val="20"/>
              </w:rPr>
              <w:t xml:space="preserve">requirements </w:t>
            </w:r>
            <w:r w:rsidR="003C12EA" w:rsidRPr="00542EB9">
              <w:rPr>
                <w:noProof/>
                <w:sz w:val="20"/>
                <w:szCs w:val="20"/>
              </w:rPr>
              <w:t xml:space="preserve">for work programme, annual management plans, annual </w:t>
            </w:r>
            <w:r w:rsidR="00994A9B" w:rsidRPr="00542EB9">
              <w:rPr>
                <w:noProof/>
                <w:sz w:val="20"/>
                <w:szCs w:val="20"/>
              </w:rPr>
              <w:t>activities</w:t>
            </w:r>
            <w:r w:rsidR="003C12EA" w:rsidRPr="00542EB9">
              <w:rPr>
                <w:noProof/>
                <w:sz w:val="20"/>
                <w:szCs w:val="20"/>
              </w:rPr>
              <w:t xml:space="preserve"> reports, </w:t>
            </w:r>
          </w:p>
          <w:p w14:paraId="7C8FF6E0" w14:textId="0605C21F" w:rsidR="00E370CB" w:rsidRPr="00542EB9" w:rsidRDefault="00E370CB" w:rsidP="5DD21FD3">
            <w:pPr>
              <w:spacing w:after="0"/>
              <w:rPr>
                <w:noProof/>
                <w:sz w:val="20"/>
                <w:szCs w:val="20"/>
              </w:rPr>
            </w:pPr>
            <w:r w:rsidRPr="00542EB9">
              <w:rPr>
                <w:noProof/>
                <w:sz w:val="20"/>
                <w:szCs w:val="20"/>
              </w:rPr>
              <w:t xml:space="preserve">Administrative costs saving for </w:t>
            </w:r>
            <w:r w:rsidR="001D495E" w:rsidRPr="00542EB9">
              <w:rPr>
                <w:noProof/>
                <w:sz w:val="20"/>
                <w:szCs w:val="20"/>
              </w:rPr>
              <w:t>beneficiaries</w:t>
            </w:r>
            <w:r w:rsidRPr="00542EB9">
              <w:rPr>
                <w:noProof/>
                <w:sz w:val="20"/>
                <w:szCs w:val="20"/>
              </w:rPr>
              <w:t xml:space="preserve"> </w:t>
            </w:r>
            <w:r w:rsidR="001003B5" w:rsidRPr="00542EB9">
              <w:rPr>
                <w:noProof/>
                <w:sz w:val="20"/>
                <w:szCs w:val="20"/>
              </w:rPr>
              <w:t xml:space="preserve">from </w:t>
            </w:r>
            <w:r w:rsidR="00AD61E5" w:rsidRPr="00542EB9">
              <w:rPr>
                <w:noProof/>
                <w:sz w:val="20"/>
                <w:szCs w:val="20"/>
              </w:rPr>
              <w:t xml:space="preserve">common rules and procedures </w:t>
            </w:r>
          </w:p>
          <w:p w14:paraId="3E833918" w14:textId="15F925C4" w:rsidR="00801268" w:rsidRPr="00542EB9" w:rsidRDefault="00801268" w:rsidP="5DD21FD3">
            <w:pPr>
              <w:spacing w:after="0"/>
              <w:rPr>
                <w:noProof/>
                <w:sz w:val="20"/>
                <w:szCs w:val="20"/>
              </w:rPr>
            </w:pPr>
          </w:p>
        </w:tc>
        <w:tc>
          <w:tcPr>
            <w:tcW w:w="3651" w:type="dxa"/>
            <w:tcBorders>
              <w:top w:val="double" w:sz="4" w:space="0" w:color="auto"/>
            </w:tcBorders>
            <w:tcMar>
              <w:top w:w="57" w:type="dxa"/>
              <w:left w:w="57" w:type="dxa"/>
              <w:bottom w:w="57" w:type="dxa"/>
              <w:right w:w="57" w:type="dxa"/>
            </w:tcMar>
          </w:tcPr>
          <w:p w14:paraId="4B32351F" w14:textId="77777777" w:rsidR="00801268" w:rsidRPr="00542EB9" w:rsidRDefault="00801268" w:rsidP="5DD21FD3">
            <w:pPr>
              <w:spacing w:after="0"/>
              <w:rPr>
                <w:noProof/>
                <w:sz w:val="20"/>
                <w:szCs w:val="20"/>
              </w:rPr>
            </w:pPr>
          </w:p>
        </w:tc>
      </w:tr>
      <w:tr w:rsidR="00841B56" w:rsidRPr="00542EB9" w14:paraId="3256E675" w14:textId="77777777" w:rsidTr="5DD21FD3">
        <w:tc>
          <w:tcPr>
            <w:tcW w:w="2512" w:type="dxa"/>
            <w:tcBorders>
              <w:bottom w:val="double" w:sz="4" w:space="0" w:color="auto"/>
            </w:tcBorders>
          </w:tcPr>
          <w:p w14:paraId="2DE40D5D" w14:textId="3D2E566C" w:rsidR="00801268" w:rsidRPr="00542EB9" w:rsidRDefault="00014409" w:rsidP="5DD21FD3">
            <w:pPr>
              <w:spacing w:after="0"/>
              <w:rPr>
                <w:noProof/>
                <w:sz w:val="20"/>
                <w:szCs w:val="20"/>
              </w:rPr>
            </w:pPr>
            <w:r w:rsidRPr="00542EB9">
              <w:rPr>
                <w:noProof/>
                <w:sz w:val="20"/>
                <w:szCs w:val="20"/>
              </w:rPr>
              <w:t xml:space="preserve">Improve the efficiency of resources allocations </w:t>
            </w:r>
          </w:p>
        </w:tc>
        <w:tc>
          <w:tcPr>
            <w:tcW w:w="4043" w:type="dxa"/>
            <w:tcBorders>
              <w:bottom w:val="double" w:sz="4" w:space="0" w:color="auto"/>
            </w:tcBorders>
            <w:tcMar>
              <w:top w:w="57" w:type="dxa"/>
              <w:left w:w="57" w:type="dxa"/>
              <w:bottom w:w="57" w:type="dxa"/>
              <w:right w:w="57" w:type="dxa"/>
            </w:tcMar>
          </w:tcPr>
          <w:p w14:paraId="4397CE64" w14:textId="2DCF14E6" w:rsidR="0091284B" w:rsidRPr="00542EB9" w:rsidRDefault="0091284B" w:rsidP="5DD21FD3">
            <w:pPr>
              <w:spacing w:after="0"/>
              <w:rPr>
                <w:noProof/>
                <w:sz w:val="20"/>
                <w:szCs w:val="20"/>
              </w:rPr>
            </w:pPr>
            <w:r w:rsidRPr="00542EB9">
              <w:rPr>
                <w:noProof/>
                <w:sz w:val="20"/>
                <w:szCs w:val="20"/>
              </w:rPr>
              <w:t>-</w:t>
            </w:r>
            <w:r w:rsidR="005F4FD7" w:rsidRPr="00542EB9">
              <w:rPr>
                <w:noProof/>
                <w:sz w:val="20"/>
                <w:szCs w:val="20"/>
              </w:rPr>
              <w:t xml:space="preserve">The flexibility to allocate </w:t>
            </w:r>
            <w:r w:rsidRPr="00542EB9">
              <w:rPr>
                <w:noProof/>
                <w:sz w:val="20"/>
                <w:szCs w:val="20"/>
              </w:rPr>
              <w:t>resources</w:t>
            </w:r>
            <w:r w:rsidR="005F4FD7" w:rsidRPr="00542EB9">
              <w:rPr>
                <w:noProof/>
                <w:sz w:val="20"/>
                <w:szCs w:val="20"/>
              </w:rPr>
              <w:t xml:space="preserve"> where necessary will improve the overall efficiency of </w:t>
            </w:r>
            <w:r w:rsidRPr="00542EB9">
              <w:rPr>
                <w:noProof/>
                <w:sz w:val="20"/>
                <w:szCs w:val="20"/>
              </w:rPr>
              <w:t>resource allocation.</w:t>
            </w:r>
          </w:p>
          <w:p w14:paraId="20E16E19" w14:textId="48230C1B" w:rsidR="00801268" w:rsidRPr="00542EB9" w:rsidRDefault="0091284B" w:rsidP="5DD21FD3">
            <w:pPr>
              <w:spacing w:after="0"/>
              <w:rPr>
                <w:noProof/>
                <w:sz w:val="20"/>
                <w:szCs w:val="20"/>
              </w:rPr>
            </w:pPr>
            <w:r w:rsidRPr="00542EB9">
              <w:rPr>
                <w:noProof/>
                <w:sz w:val="20"/>
                <w:szCs w:val="20"/>
              </w:rPr>
              <w:t xml:space="preserve">- </w:t>
            </w:r>
            <w:r w:rsidR="00D00ECD" w:rsidRPr="00542EB9">
              <w:rPr>
                <w:noProof/>
                <w:sz w:val="20"/>
                <w:szCs w:val="20"/>
              </w:rPr>
              <w:t xml:space="preserve">Costs saving </w:t>
            </w:r>
            <w:r w:rsidR="00323229" w:rsidRPr="00542EB9">
              <w:rPr>
                <w:noProof/>
                <w:sz w:val="20"/>
                <w:szCs w:val="20"/>
              </w:rPr>
              <w:t>for</w:t>
            </w:r>
            <w:r w:rsidR="00014409" w:rsidRPr="00542EB9">
              <w:rPr>
                <w:noProof/>
                <w:sz w:val="20"/>
                <w:szCs w:val="20"/>
              </w:rPr>
              <w:t xml:space="preserve"> Joint activities financed by a dedicated budget line</w:t>
            </w:r>
            <w:r w:rsidR="3DEA52EA" w:rsidRPr="00542EB9">
              <w:rPr>
                <w:noProof/>
                <w:sz w:val="20"/>
                <w:szCs w:val="20"/>
              </w:rPr>
              <w:t>.</w:t>
            </w:r>
            <w:r w:rsidR="00014409" w:rsidRPr="00542EB9">
              <w:rPr>
                <w:noProof/>
                <w:sz w:val="20"/>
                <w:szCs w:val="20"/>
              </w:rPr>
              <w:t xml:space="preserve"> </w:t>
            </w:r>
          </w:p>
        </w:tc>
        <w:tc>
          <w:tcPr>
            <w:tcW w:w="3651" w:type="dxa"/>
            <w:tcBorders>
              <w:bottom w:val="double" w:sz="4" w:space="0" w:color="auto"/>
            </w:tcBorders>
            <w:tcMar>
              <w:top w:w="57" w:type="dxa"/>
              <w:left w:w="57" w:type="dxa"/>
              <w:bottom w:w="57" w:type="dxa"/>
              <w:right w:w="57" w:type="dxa"/>
            </w:tcMar>
          </w:tcPr>
          <w:p w14:paraId="0349693C" w14:textId="77777777" w:rsidR="00801268" w:rsidRPr="00542EB9" w:rsidRDefault="00801268" w:rsidP="5DD21FD3">
            <w:pPr>
              <w:spacing w:after="0"/>
              <w:rPr>
                <w:noProof/>
                <w:sz w:val="20"/>
                <w:szCs w:val="20"/>
              </w:rPr>
            </w:pPr>
          </w:p>
        </w:tc>
      </w:tr>
      <w:tr w:rsidR="00A6628A" w:rsidRPr="00542EB9" w14:paraId="3FD7E739" w14:textId="77777777" w:rsidTr="5DD21FD3">
        <w:tc>
          <w:tcPr>
            <w:tcW w:w="10206" w:type="dxa"/>
            <w:gridSpan w:val="3"/>
            <w:shd w:val="clear" w:color="auto" w:fill="F2F2F2" w:themeFill="background1" w:themeFillShade="F2"/>
          </w:tcPr>
          <w:p w14:paraId="4AD3F12B" w14:textId="77777777" w:rsidR="00801268" w:rsidRPr="00542EB9" w:rsidRDefault="00801268" w:rsidP="5DD21FD3">
            <w:pPr>
              <w:spacing w:after="0"/>
              <w:jc w:val="center"/>
              <w:rPr>
                <w:b/>
                <w:bCs/>
                <w:i/>
                <w:iCs/>
                <w:noProof/>
                <w:sz w:val="20"/>
                <w:szCs w:val="20"/>
              </w:rPr>
            </w:pPr>
            <w:r w:rsidRPr="00542EB9">
              <w:rPr>
                <w:b/>
                <w:bCs/>
                <w:i/>
                <w:iCs/>
                <w:noProof/>
                <w:sz w:val="20"/>
                <w:szCs w:val="20"/>
              </w:rPr>
              <w:t>Indirect benefits</w:t>
            </w:r>
          </w:p>
        </w:tc>
      </w:tr>
      <w:tr w:rsidR="00841B56" w:rsidRPr="00542EB9" w14:paraId="0B293CCE" w14:textId="77777777" w:rsidTr="5DD21FD3">
        <w:tc>
          <w:tcPr>
            <w:tcW w:w="2512" w:type="dxa"/>
            <w:tcBorders>
              <w:top w:val="double" w:sz="4" w:space="0" w:color="auto"/>
            </w:tcBorders>
          </w:tcPr>
          <w:p w14:paraId="58CE3F10" w14:textId="77777777" w:rsidR="00801268" w:rsidRPr="00542EB9" w:rsidRDefault="00801268" w:rsidP="5DD21FD3">
            <w:pPr>
              <w:spacing w:after="0"/>
              <w:rPr>
                <w:noProof/>
                <w:sz w:val="20"/>
                <w:szCs w:val="20"/>
              </w:rPr>
            </w:pPr>
          </w:p>
        </w:tc>
        <w:tc>
          <w:tcPr>
            <w:tcW w:w="4043" w:type="dxa"/>
            <w:tcBorders>
              <w:top w:val="double" w:sz="4" w:space="0" w:color="auto"/>
            </w:tcBorders>
            <w:tcMar>
              <w:top w:w="57" w:type="dxa"/>
              <w:left w:w="57" w:type="dxa"/>
              <w:bottom w:w="57" w:type="dxa"/>
              <w:right w:w="57" w:type="dxa"/>
            </w:tcMar>
          </w:tcPr>
          <w:p w14:paraId="7B561BFB" w14:textId="77777777" w:rsidR="00801268" w:rsidRPr="00542EB9" w:rsidRDefault="00801268" w:rsidP="5DD21FD3">
            <w:pPr>
              <w:spacing w:after="0"/>
              <w:rPr>
                <w:noProof/>
                <w:sz w:val="20"/>
                <w:szCs w:val="20"/>
              </w:rPr>
            </w:pPr>
          </w:p>
        </w:tc>
        <w:tc>
          <w:tcPr>
            <w:tcW w:w="3651" w:type="dxa"/>
            <w:tcBorders>
              <w:top w:val="double" w:sz="4" w:space="0" w:color="auto"/>
            </w:tcBorders>
            <w:tcMar>
              <w:top w:w="57" w:type="dxa"/>
              <w:left w:w="57" w:type="dxa"/>
              <w:bottom w:w="57" w:type="dxa"/>
              <w:right w:w="57" w:type="dxa"/>
            </w:tcMar>
          </w:tcPr>
          <w:p w14:paraId="317C5DDA" w14:textId="77777777" w:rsidR="00801268" w:rsidRPr="00542EB9" w:rsidRDefault="00801268" w:rsidP="5DD21FD3">
            <w:pPr>
              <w:spacing w:after="0"/>
              <w:rPr>
                <w:noProof/>
                <w:sz w:val="20"/>
                <w:szCs w:val="20"/>
              </w:rPr>
            </w:pPr>
          </w:p>
        </w:tc>
      </w:tr>
      <w:tr w:rsidR="006B2B51" w:rsidRPr="00542EB9" w14:paraId="0491242E" w14:textId="77777777" w:rsidTr="5DD21FD3">
        <w:tc>
          <w:tcPr>
            <w:tcW w:w="2512" w:type="dxa"/>
          </w:tcPr>
          <w:p w14:paraId="480E5EB0" w14:textId="77777777" w:rsidR="00801268" w:rsidRPr="00542EB9" w:rsidRDefault="00801268" w:rsidP="5DD21FD3">
            <w:pPr>
              <w:spacing w:after="0"/>
              <w:rPr>
                <w:noProof/>
                <w:sz w:val="20"/>
                <w:szCs w:val="20"/>
              </w:rPr>
            </w:pPr>
          </w:p>
        </w:tc>
        <w:tc>
          <w:tcPr>
            <w:tcW w:w="4043" w:type="dxa"/>
            <w:tcMar>
              <w:top w:w="57" w:type="dxa"/>
              <w:left w:w="57" w:type="dxa"/>
              <w:bottom w:w="57" w:type="dxa"/>
              <w:right w:w="57" w:type="dxa"/>
            </w:tcMar>
          </w:tcPr>
          <w:p w14:paraId="6A535416" w14:textId="77777777" w:rsidR="00801268" w:rsidRPr="00542EB9" w:rsidRDefault="00801268" w:rsidP="5DD21FD3">
            <w:pPr>
              <w:spacing w:after="0"/>
              <w:rPr>
                <w:noProof/>
                <w:sz w:val="20"/>
                <w:szCs w:val="20"/>
              </w:rPr>
            </w:pPr>
          </w:p>
        </w:tc>
        <w:tc>
          <w:tcPr>
            <w:tcW w:w="3651" w:type="dxa"/>
            <w:tcMar>
              <w:top w:w="57" w:type="dxa"/>
              <w:left w:w="57" w:type="dxa"/>
              <w:bottom w:w="57" w:type="dxa"/>
              <w:right w:w="57" w:type="dxa"/>
            </w:tcMar>
          </w:tcPr>
          <w:p w14:paraId="19CDBB24" w14:textId="77777777" w:rsidR="00801268" w:rsidRPr="00542EB9" w:rsidRDefault="00801268" w:rsidP="5DD21FD3">
            <w:pPr>
              <w:spacing w:after="0"/>
              <w:rPr>
                <w:noProof/>
                <w:sz w:val="20"/>
                <w:szCs w:val="20"/>
              </w:rPr>
            </w:pPr>
          </w:p>
        </w:tc>
      </w:tr>
      <w:tr w:rsidR="00841B56" w:rsidRPr="00542EB9" w14:paraId="2186FABC" w14:textId="77777777" w:rsidTr="5DD21FD3">
        <w:tc>
          <w:tcPr>
            <w:tcW w:w="2512" w:type="dxa"/>
            <w:tcBorders>
              <w:bottom w:val="double" w:sz="4" w:space="0" w:color="auto"/>
            </w:tcBorders>
          </w:tcPr>
          <w:p w14:paraId="4F25B2DB" w14:textId="77777777" w:rsidR="00801268" w:rsidRPr="00542EB9" w:rsidRDefault="00801268" w:rsidP="5DD21FD3">
            <w:pPr>
              <w:spacing w:after="0"/>
              <w:rPr>
                <w:noProof/>
                <w:sz w:val="20"/>
                <w:szCs w:val="20"/>
              </w:rPr>
            </w:pPr>
          </w:p>
        </w:tc>
        <w:tc>
          <w:tcPr>
            <w:tcW w:w="4043" w:type="dxa"/>
            <w:tcBorders>
              <w:bottom w:val="double" w:sz="4" w:space="0" w:color="auto"/>
            </w:tcBorders>
            <w:tcMar>
              <w:top w:w="57" w:type="dxa"/>
              <w:left w:w="57" w:type="dxa"/>
              <w:bottom w:w="57" w:type="dxa"/>
              <w:right w:w="57" w:type="dxa"/>
            </w:tcMar>
          </w:tcPr>
          <w:p w14:paraId="744B5399" w14:textId="77777777" w:rsidR="00801268" w:rsidRPr="00542EB9" w:rsidRDefault="00801268" w:rsidP="5DD21FD3">
            <w:pPr>
              <w:spacing w:after="0"/>
              <w:rPr>
                <w:noProof/>
                <w:sz w:val="20"/>
                <w:szCs w:val="20"/>
              </w:rPr>
            </w:pPr>
          </w:p>
        </w:tc>
        <w:tc>
          <w:tcPr>
            <w:tcW w:w="3651" w:type="dxa"/>
            <w:tcBorders>
              <w:bottom w:val="double" w:sz="4" w:space="0" w:color="auto"/>
            </w:tcBorders>
            <w:tcMar>
              <w:top w:w="57" w:type="dxa"/>
              <w:left w:w="57" w:type="dxa"/>
              <w:bottom w:w="57" w:type="dxa"/>
              <w:right w:w="57" w:type="dxa"/>
            </w:tcMar>
          </w:tcPr>
          <w:p w14:paraId="08D2FED6" w14:textId="77777777" w:rsidR="00801268" w:rsidRPr="00542EB9" w:rsidRDefault="00801268" w:rsidP="5DD21FD3">
            <w:pPr>
              <w:spacing w:after="0"/>
              <w:rPr>
                <w:noProof/>
                <w:sz w:val="20"/>
                <w:szCs w:val="20"/>
              </w:rPr>
            </w:pPr>
          </w:p>
        </w:tc>
      </w:tr>
    </w:tbl>
    <w:p w14:paraId="3B762D38" w14:textId="70EF3E1D" w:rsidR="00801268" w:rsidRPr="00542EB9" w:rsidRDefault="00801268" w:rsidP="5DD21FD3">
      <w:pPr>
        <w:rPr>
          <w:i/>
          <w:iCs/>
          <w:noProof/>
          <w:sz w:val="20"/>
          <w:szCs w:val="20"/>
        </w:rPr>
      </w:pPr>
      <w:r w:rsidRPr="00542EB9">
        <w:rPr>
          <w:i/>
          <w:iCs/>
          <w:noProof/>
          <w:sz w:val="20"/>
          <w:szCs w:val="20"/>
        </w:rPr>
        <w:t xml:space="preserve">(1) Estimates are </w:t>
      </w:r>
      <w:r w:rsidR="00866FDC" w:rsidRPr="00542EB9">
        <w:rPr>
          <w:i/>
          <w:iCs/>
          <w:noProof/>
          <w:sz w:val="20"/>
          <w:szCs w:val="20"/>
        </w:rPr>
        <w:t xml:space="preserve">gross values </w:t>
      </w:r>
      <w:r w:rsidRPr="00542EB9">
        <w:rPr>
          <w:i/>
          <w:iCs/>
          <w:noProof/>
          <w:sz w:val="20"/>
          <w:szCs w:val="20"/>
        </w:rPr>
        <w:t xml:space="preserve">relative to the baseline for the preferred option as a whole (i.e. the impact of individual actions/obligations of the </w:t>
      </w:r>
      <w:r w:rsidRPr="00542EB9">
        <w:rPr>
          <w:i/>
          <w:iCs/>
          <w:noProof/>
          <w:sz w:val="20"/>
          <w:szCs w:val="20"/>
          <w:u w:val="single"/>
        </w:rPr>
        <w:t>preferred</w:t>
      </w:r>
      <w:r w:rsidRPr="00542EB9">
        <w:rPr>
          <w:i/>
          <w:iCs/>
          <w:noProof/>
          <w:sz w:val="20"/>
          <w:szCs w:val="20"/>
        </w:rPr>
        <w:t xml:space="preserve"> option are aggregated together); (2) Please indicate </w:t>
      </w:r>
      <w:r w:rsidR="000E345B" w:rsidRPr="00542EB9">
        <w:rPr>
          <w:i/>
          <w:iCs/>
          <w:noProof/>
          <w:sz w:val="20"/>
          <w:szCs w:val="20"/>
        </w:rPr>
        <w:t xml:space="preserve">in the comments column </w:t>
      </w:r>
      <w:r w:rsidRPr="00542EB9">
        <w:rPr>
          <w:i/>
          <w:iCs/>
          <w:noProof/>
          <w:sz w:val="20"/>
          <w:szCs w:val="20"/>
        </w:rPr>
        <w:t xml:space="preserve">which stakeholder group is the main recipient of the benefit;(3) For reductions in regulatory costs, please describe </w:t>
      </w:r>
      <w:r w:rsidR="000E345B" w:rsidRPr="00542EB9">
        <w:rPr>
          <w:i/>
          <w:iCs/>
          <w:noProof/>
          <w:sz w:val="20"/>
          <w:szCs w:val="20"/>
        </w:rPr>
        <w:t xml:space="preserve">in the comments column the </w:t>
      </w:r>
      <w:r w:rsidRPr="00542EB9">
        <w:rPr>
          <w:i/>
          <w:iCs/>
          <w:noProof/>
          <w:sz w:val="20"/>
          <w:szCs w:val="20"/>
        </w:rPr>
        <w:t xml:space="preserve">details as to how the saving arises (e.g. reductions in adjustment costs, administrative costs, regulatory charges, enforcement costs, etc.;);. </w:t>
      </w:r>
    </w:p>
    <w:p w14:paraId="3FB17E4F" w14:textId="77777777" w:rsidR="00801268" w:rsidRPr="00542EB9" w:rsidRDefault="00801268" w:rsidP="5DD21FD3">
      <w:pPr>
        <w:rPr>
          <w:noProof/>
        </w:rPr>
      </w:pPr>
    </w:p>
    <w:tbl>
      <w:tblPr>
        <w:tblStyle w:val="CV11"/>
        <w:tblW w:w="10206"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2"/>
        <w:gridCol w:w="1575"/>
        <w:gridCol w:w="1110"/>
        <w:gridCol w:w="1415"/>
        <w:gridCol w:w="1388"/>
        <w:gridCol w:w="1387"/>
        <w:gridCol w:w="1110"/>
        <w:gridCol w:w="1249"/>
      </w:tblGrid>
      <w:tr w:rsidR="00A6628A" w:rsidRPr="00542EB9" w14:paraId="2754D2CB" w14:textId="77777777" w:rsidTr="5DD21FD3">
        <w:tc>
          <w:tcPr>
            <w:tcW w:w="10206" w:type="dxa"/>
            <w:gridSpan w:val="8"/>
            <w:shd w:val="clear" w:color="auto" w:fill="C6D9F1" w:themeFill="text2" w:themeFillTint="33"/>
            <w:tcMar>
              <w:top w:w="57" w:type="dxa"/>
              <w:left w:w="57" w:type="dxa"/>
              <w:bottom w:w="57" w:type="dxa"/>
              <w:right w:w="57" w:type="dxa"/>
            </w:tcMar>
          </w:tcPr>
          <w:p w14:paraId="0F82C88F" w14:textId="77777777" w:rsidR="00801268" w:rsidRPr="00542EB9" w:rsidRDefault="00801268" w:rsidP="5DD21FD3">
            <w:pPr>
              <w:spacing w:after="0"/>
              <w:rPr>
                <w:b/>
                <w:bCs/>
                <w:noProof/>
                <w:sz w:val="20"/>
                <w:szCs w:val="20"/>
              </w:rPr>
            </w:pPr>
            <w:r w:rsidRPr="00542EB9">
              <w:rPr>
                <w:b/>
                <w:bCs/>
                <w:noProof/>
                <w:sz w:val="20"/>
                <w:szCs w:val="20"/>
              </w:rPr>
              <w:t>II. Overview of costs – Preferred option</w:t>
            </w:r>
          </w:p>
        </w:tc>
      </w:tr>
      <w:tr w:rsidR="00394A56" w:rsidRPr="00542EB9" w14:paraId="5657FA00" w14:textId="77777777" w:rsidTr="5DD21FD3">
        <w:tc>
          <w:tcPr>
            <w:tcW w:w="2547" w:type="dxa"/>
            <w:gridSpan w:val="2"/>
            <w:vMerge w:val="restart"/>
            <w:tcBorders>
              <w:top w:val="double" w:sz="4" w:space="0" w:color="auto"/>
              <w:right w:val="double" w:sz="4" w:space="0" w:color="auto"/>
              <w:tl2br w:val="double" w:sz="4" w:space="0" w:color="auto"/>
            </w:tcBorders>
            <w:tcMar>
              <w:top w:w="57" w:type="dxa"/>
              <w:left w:w="57" w:type="dxa"/>
              <w:bottom w:w="57" w:type="dxa"/>
              <w:right w:w="57" w:type="dxa"/>
            </w:tcMar>
          </w:tcPr>
          <w:p w14:paraId="7C277C1A" w14:textId="77777777" w:rsidR="00801268" w:rsidRPr="00542EB9" w:rsidRDefault="00801268" w:rsidP="5DD21FD3">
            <w:pPr>
              <w:spacing w:after="0"/>
              <w:rPr>
                <w:b/>
                <w:bCs/>
                <w:noProof/>
                <w:sz w:val="20"/>
                <w:szCs w:val="20"/>
              </w:rPr>
            </w:pPr>
          </w:p>
        </w:tc>
        <w:tc>
          <w:tcPr>
            <w:tcW w:w="2525" w:type="dxa"/>
            <w:gridSpan w:val="2"/>
            <w:tcBorders>
              <w:left w:val="double" w:sz="4" w:space="0" w:color="auto"/>
            </w:tcBorders>
            <w:tcMar>
              <w:top w:w="57" w:type="dxa"/>
              <w:left w:w="57" w:type="dxa"/>
              <w:bottom w:w="57" w:type="dxa"/>
              <w:right w:w="57" w:type="dxa"/>
            </w:tcMar>
          </w:tcPr>
          <w:p w14:paraId="11D0E0CB" w14:textId="77777777" w:rsidR="00801268" w:rsidRPr="00542EB9" w:rsidRDefault="00801268" w:rsidP="5DD21FD3">
            <w:pPr>
              <w:spacing w:after="0"/>
              <w:jc w:val="center"/>
              <w:rPr>
                <w:b/>
                <w:bCs/>
                <w:noProof/>
                <w:sz w:val="20"/>
                <w:szCs w:val="20"/>
              </w:rPr>
            </w:pPr>
            <w:r w:rsidRPr="00542EB9">
              <w:rPr>
                <w:b/>
                <w:bCs/>
                <w:noProof/>
                <w:sz w:val="20"/>
                <w:szCs w:val="20"/>
              </w:rPr>
              <w:t>Citizens/Consumers</w:t>
            </w:r>
          </w:p>
        </w:tc>
        <w:tc>
          <w:tcPr>
            <w:tcW w:w="2775" w:type="dxa"/>
            <w:gridSpan w:val="2"/>
            <w:tcMar>
              <w:top w:w="57" w:type="dxa"/>
              <w:left w:w="57" w:type="dxa"/>
              <w:bottom w:w="57" w:type="dxa"/>
              <w:right w:w="57" w:type="dxa"/>
            </w:tcMar>
          </w:tcPr>
          <w:p w14:paraId="154C7C3A" w14:textId="77777777" w:rsidR="00801268" w:rsidRPr="00542EB9" w:rsidRDefault="00801268" w:rsidP="5DD21FD3">
            <w:pPr>
              <w:spacing w:after="0"/>
              <w:jc w:val="center"/>
              <w:rPr>
                <w:b/>
                <w:bCs/>
                <w:noProof/>
                <w:sz w:val="20"/>
                <w:szCs w:val="20"/>
              </w:rPr>
            </w:pPr>
            <w:r w:rsidRPr="00542EB9">
              <w:rPr>
                <w:b/>
                <w:bCs/>
                <w:noProof/>
                <w:sz w:val="20"/>
                <w:szCs w:val="20"/>
              </w:rPr>
              <w:t>Businesses</w:t>
            </w:r>
          </w:p>
        </w:tc>
        <w:tc>
          <w:tcPr>
            <w:tcW w:w="2359" w:type="dxa"/>
            <w:gridSpan w:val="2"/>
            <w:tcMar>
              <w:top w:w="57" w:type="dxa"/>
              <w:left w:w="57" w:type="dxa"/>
              <w:bottom w:w="57" w:type="dxa"/>
              <w:right w:w="57" w:type="dxa"/>
            </w:tcMar>
          </w:tcPr>
          <w:p w14:paraId="3246848E" w14:textId="77777777" w:rsidR="00801268" w:rsidRPr="00542EB9" w:rsidRDefault="00801268" w:rsidP="5DD21FD3">
            <w:pPr>
              <w:spacing w:after="0"/>
              <w:jc w:val="center"/>
              <w:rPr>
                <w:b/>
                <w:bCs/>
                <w:noProof/>
                <w:sz w:val="20"/>
                <w:szCs w:val="20"/>
              </w:rPr>
            </w:pPr>
            <w:r w:rsidRPr="00542EB9">
              <w:rPr>
                <w:b/>
                <w:bCs/>
                <w:noProof/>
                <w:sz w:val="20"/>
                <w:szCs w:val="20"/>
              </w:rPr>
              <w:t>Administrations</w:t>
            </w:r>
          </w:p>
        </w:tc>
      </w:tr>
      <w:tr w:rsidR="00394A56" w:rsidRPr="00542EB9" w14:paraId="5E98ABF8" w14:textId="77777777" w:rsidTr="5DD21FD3">
        <w:tc>
          <w:tcPr>
            <w:tcW w:w="2547" w:type="dxa"/>
            <w:gridSpan w:val="2"/>
            <w:vMerge/>
            <w:tcBorders>
              <w:tl2br w:val="double" w:sz="4" w:space="0" w:color="auto"/>
            </w:tcBorders>
            <w:tcMar>
              <w:top w:w="57" w:type="dxa"/>
              <w:left w:w="57" w:type="dxa"/>
              <w:bottom w:w="57" w:type="dxa"/>
              <w:right w:w="57" w:type="dxa"/>
            </w:tcMar>
          </w:tcPr>
          <w:p w14:paraId="081EB79B" w14:textId="77777777" w:rsidR="00801268" w:rsidRPr="00542EB9" w:rsidRDefault="00801268" w:rsidP="009D4C15">
            <w:pPr>
              <w:spacing w:after="0"/>
              <w:rPr>
                <w:b/>
                <w:noProof/>
                <w:sz w:val="20"/>
                <w:szCs w:val="20"/>
              </w:rPr>
            </w:pPr>
          </w:p>
        </w:tc>
        <w:tc>
          <w:tcPr>
            <w:tcW w:w="1110" w:type="dxa"/>
            <w:tcBorders>
              <w:left w:val="double" w:sz="4" w:space="0" w:color="auto"/>
              <w:bottom w:val="double" w:sz="4" w:space="0" w:color="auto"/>
            </w:tcBorders>
            <w:tcMar>
              <w:top w:w="57" w:type="dxa"/>
              <w:left w:w="57" w:type="dxa"/>
              <w:bottom w:w="57" w:type="dxa"/>
              <w:right w:w="57" w:type="dxa"/>
            </w:tcMar>
          </w:tcPr>
          <w:p w14:paraId="1D76747A" w14:textId="77777777" w:rsidR="00801268" w:rsidRPr="00542EB9" w:rsidRDefault="00801268" w:rsidP="5DD21FD3">
            <w:pPr>
              <w:spacing w:after="0"/>
              <w:jc w:val="center"/>
              <w:rPr>
                <w:b/>
                <w:bCs/>
                <w:noProof/>
                <w:sz w:val="20"/>
                <w:szCs w:val="20"/>
              </w:rPr>
            </w:pPr>
            <w:r w:rsidRPr="00542EB9">
              <w:rPr>
                <w:b/>
                <w:bCs/>
                <w:noProof/>
                <w:sz w:val="20"/>
                <w:szCs w:val="20"/>
              </w:rPr>
              <w:t>One-off</w:t>
            </w:r>
          </w:p>
        </w:tc>
        <w:tc>
          <w:tcPr>
            <w:tcW w:w="1415" w:type="dxa"/>
            <w:tcBorders>
              <w:bottom w:val="double" w:sz="4" w:space="0" w:color="auto"/>
            </w:tcBorders>
            <w:tcMar>
              <w:top w:w="57" w:type="dxa"/>
              <w:left w:w="57" w:type="dxa"/>
              <w:bottom w:w="57" w:type="dxa"/>
              <w:right w:w="57" w:type="dxa"/>
            </w:tcMar>
          </w:tcPr>
          <w:p w14:paraId="645F2484" w14:textId="77777777" w:rsidR="00801268" w:rsidRPr="00542EB9" w:rsidRDefault="00801268" w:rsidP="5DD21FD3">
            <w:pPr>
              <w:spacing w:after="0"/>
              <w:jc w:val="center"/>
              <w:rPr>
                <w:b/>
                <w:bCs/>
                <w:noProof/>
                <w:sz w:val="20"/>
                <w:szCs w:val="20"/>
              </w:rPr>
            </w:pPr>
            <w:r w:rsidRPr="00542EB9">
              <w:rPr>
                <w:b/>
                <w:bCs/>
                <w:noProof/>
                <w:sz w:val="20"/>
                <w:szCs w:val="20"/>
              </w:rPr>
              <w:t>Recurrent</w:t>
            </w:r>
          </w:p>
        </w:tc>
        <w:tc>
          <w:tcPr>
            <w:tcW w:w="1388" w:type="dxa"/>
            <w:tcBorders>
              <w:bottom w:val="double" w:sz="4" w:space="0" w:color="auto"/>
            </w:tcBorders>
            <w:tcMar>
              <w:top w:w="57" w:type="dxa"/>
              <w:left w:w="57" w:type="dxa"/>
              <w:bottom w:w="57" w:type="dxa"/>
              <w:right w:w="57" w:type="dxa"/>
            </w:tcMar>
          </w:tcPr>
          <w:p w14:paraId="3108BEA3" w14:textId="77777777" w:rsidR="00801268" w:rsidRPr="00542EB9" w:rsidRDefault="00801268" w:rsidP="5DD21FD3">
            <w:pPr>
              <w:spacing w:after="0"/>
              <w:jc w:val="center"/>
              <w:rPr>
                <w:b/>
                <w:bCs/>
                <w:noProof/>
                <w:sz w:val="20"/>
                <w:szCs w:val="20"/>
              </w:rPr>
            </w:pPr>
            <w:r w:rsidRPr="00542EB9">
              <w:rPr>
                <w:b/>
                <w:bCs/>
                <w:noProof/>
                <w:sz w:val="20"/>
                <w:szCs w:val="20"/>
              </w:rPr>
              <w:t>One-off</w:t>
            </w:r>
          </w:p>
        </w:tc>
        <w:tc>
          <w:tcPr>
            <w:tcW w:w="1387" w:type="dxa"/>
            <w:tcBorders>
              <w:bottom w:val="double" w:sz="4" w:space="0" w:color="auto"/>
            </w:tcBorders>
            <w:tcMar>
              <w:top w:w="57" w:type="dxa"/>
              <w:left w:w="57" w:type="dxa"/>
              <w:bottom w:w="57" w:type="dxa"/>
              <w:right w:w="57" w:type="dxa"/>
            </w:tcMar>
          </w:tcPr>
          <w:p w14:paraId="37862F29" w14:textId="77777777" w:rsidR="00801268" w:rsidRPr="00542EB9" w:rsidRDefault="00801268" w:rsidP="5DD21FD3">
            <w:pPr>
              <w:spacing w:after="0"/>
              <w:jc w:val="center"/>
              <w:rPr>
                <w:b/>
                <w:bCs/>
                <w:noProof/>
                <w:sz w:val="20"/>
                <w:szCs w:val="20"/>
              </w:rPr>
            </w:pPr>
            <w:r w:rsidRPr="00542EB9">
              <w:rPr>
                <w:b/>
                <w:bCs/>
                <w:noProof/>
                <w:sz w:val="20"/>
                <w:szCs w:val="20"/>
              </w:rPr>
              <w:t>Recurrent</w:t>
            </w:r>
          </w:p>
        </w:tc>
        <w:tc>
          <w:tcPr>
            <w:tcW w:w="1110" w:type="dxa"/>
            <w:tcBorders>
              <w:bottom w:val="double" w:sz="4" w:space="0" w:color="auto"/>
            </w:tcBorders>
            <w:tcMar>
              <w:top w:w="57" w:type="dxa"/>
              <w:left w:w="57" w:type="dxa"/>
              <w:bottom w:w="57" w:type="dxa"/>
              <w:right w:w="57" w:type="dxa"/>
            </w:tcMar>
          </w:tcPr>
          <w:p w14:paraId="31CBF75C" w14:textId="77777777" w:rsidR="00801268" w:rsidRPr="00542EB9" w:rsidRDefault="00801268" w:rsidP="5DD21FD3">
            <w:pPr>
              <w:spacing w:after="0"/>
              <w:jc w:val="center"/>
              <w:rPr>
                <w:b/>
                <w:bCs/>
                <w:noProof/>
                <w:sz w:val="20"/>
                <w:szCs w:val="20"/>
              </w:rPr>
            </w:pPr>
            <w:r w:rsidRPr="00542EB9">
              <w:rPr>
                <w:b/>
                <w:bCs/>
                <w:noProof/>
                <w:sz w:val="20"/>
                <w:szCs w:val="20"/>
              </w:rPr>
              <w:t>One-off</w:t>
            </w:r>
          </w:p>
        </w:tc>
        <w:tc>
          <w:tcPr>
            <w:tcW w:w="1249" w:type="dxa"/>
            <w:tcBorders>
              <w:bottom w:val="double" w:sz="4" w:space="0" w:color="auto"/>
            </w:tcBorders>
            <w:tcMar>
              <w:top w:w="57" w:type="dxa"/>
              <w:left w:w="57" w:type="dxa"/>
              <w:bottom w:w="57" w:type="dxa"/>
              <w:right w:w="57" w:type="dxa"/>
            </w:tcMar>
          </w:tcPr>
          <w:p w14:paraId="78DD587D" w14:textId="77777777" w:rsidR="00801268" w:rsidRPr="00542EB9" w:rsidRDefault="00801268" w:rsidP="5DD21FD3">
            <w:pPr>
              <w:spacing w:after="0"/>
              <w:jc w:val="center"/>
              <w:rPr>
                <w:b/>
                <w:bCs/>
                <w:noProof/>
                <w:sz w:val="20"/>
                <w:szCs w:val="20"/>
              </w:rPr>
            </w:pPr>
            <w:r w:rsidRPr="00542EB9">
              <w:rPr>
                <w:b/>
                <w:bCs/>
                <w:noProof/>
                <w:sz w:val="20"/>
                <w:szCs w:val="20"/>
              </w:rPr>
              <w:t>Recurrent</w:t>
            </w:r>
          </w:p>
        </w:tc>
      </w:tr>
      <w:tr w:rsidR="00A6628A" w:rsidRPr="00542EB9" w14:paraId="09A2C7EC" w14:textId="77777777" w:rsidTr="5DD21FD3">
        <w:trPr>
          <w:trHeight w:val="307"/>
        </w:trPr>
        <w:tc>
          <w:tcPr>
            <w:tcW w:w="972" w:type="dxa"/>
            <w:vMerge w:val="restart"/>
            <w:tcMar>
              <w:top w:w="57" w:type="dxa"/>
              <w:left w:w="57" w:type="dxa"/>
              <w:bottom w:w="57" w:type="dxa"/>
              <w:right w:w="57" w:type="dxa"/>
            </w:tcMar>
            <w:vAlign w:val="center"/>
          </w:tcPr>
          <w:p w14:paraId="220A2CFA" w14:textId="77777777" w:rsidR="00801268" w:rsidRPr="00542EB9" w:rsidRDefault="00801268" w:rsidP="5DD21FD3">
            <w:pPr>
              <w:spacing w:after="0"/>
              <w:rPr>
                <w:noProof/>
                <w:sz w:val="20"/>
                <w:szCs w:val="20"/>
              </w:rPr>
            </w:pPr>
            <w:r w:rsidRPr="00542EB9">
              <w:rPr>
                <w:noProof/>
                <w:sz w:val="20"/>
                <w:szCs w:val="20"/>
              </w:rPr>
              <w:t xml:space="preserve">Action (a)  </w:t>
            </w:r>
          </w:p>
        </w:tc>
        <w:tc>
          <w:tcPr>
            <w:tcW w:w="1575" w:type="dxa"/>
            <w:tcBorders>
              <w:right w:val="double" w:sz="4" w:space="0" w:color="auto"/>
            </w:tcBorders>
            <w:tcMar>
              <w:top w:w="57" w:type="dxa"/>
              <w:left w:w="57" w:type="dxa"/>
              <w:bottom w:w="57" w:type="dxa"/>
              <w:right w:w="57" w:type="dxa"/>
            </w:tcMar>
            <w:vAlign w:val="center"/>
          </w:tcPr>
          <w:p w14:paraId="7B6C2B2A" w14:textId="77777777" w:rsidR="00801268" w:rsidRPr="00542EB9" w:rsidRDefault="00801268" w:rsidP="5DD21FD3">
            <w:pPr>
              <w:spacing w:after="0"/>
              <w:jc w:val="left"/>
              <w:rPr>
                <w:noProof/>
                <w:sz w:val="20"/>
                <w:szCs w:val="20"/>
              </w:rPr>
            </w:pPr>
            <w:r w:rsidRPr="00542EB9">
              <w:rPr>
                <w:noProof/>
                <w:sz w:val="20"/>
                <w:szCs w:val="20"/>
              </w:rPr>
              <w:t>Direct adjustment costs</w:t>
            </w:r>
          </w:p>
        </w:tc>
        <w:tc>
          <w:tcPr>
            <w:tcW w:w="1110" w:type="dxa"/>
            <w:tcBorders>
              <w:left w:val="double" w:sz="4" w:space="0" w:color="auto"/>
            </w:tcBorders>
            <w:tcMar>
              <w:top w:w="57" w:type="dxa"/>
              <w:left w:w="57" w:type="dxa"/>
              <w:bottom w:w="57" w:type="dxa"/>
              <w:right w:w="57" w:type="dxa"/>
            </w:tcMar>
            <w:vAlign w:val="center"/>
          </w:tcPr>
          <w:p w14:paraId="7FC0DADF" w14:textId="78FEBBCC" w:rsidR="00801268" w:rsidRPr="00542EB9" w:rsidRDefault="001F7FA7" w:rsidP="5DD21FD3">
            <w:pPr>
              <w:spacing w:after="0"/>
              <w:rPr>
                <w:noProof/>
                <w:sz w:val="20"/>
                <w:szCs w:val="20"/>
              </w:rPr>
            </w:pPr>
            <w:r w:rsidRPr="00542EB9">
              <w:rPr>
                <w:noProof/>
                <w:sz w:val="20"/>
                <w:szCs w:val="20"/>
              </w:rPr>
              <w:t>None</w:t>
            </w:r>
          </w:p>
        </w:tc>
        <w:tc>
          <w:tcPr>
            <w:tcW w:w="1415" w:type="dxa"/>
            <w:tcMar>
              <w:top w:w="57" w:type="dxa"/>
              <w:left w:w="57" w:type="dxa"/>
              <w:bottom w:w="57" w:type="dxa"/>
              <w:right w:w="57" w:type="dxa"/>
            </w:tcMar>
            <w:vAlign w:val="center"/>
          </w:tcPr>
          <w:p w14:paraId="24999D84" w14:textId="77E5BE8A" w:rsidR="00801268" w:rsidRPr="00542EB9" w:rsidRDefault="001F7FA7" w:rsidP="5DD21FD3">
            <w:pPr>
              <w:spacing w:after="0"/>
              <w:rPr>
                <w:noProof/>
                <w:sz w:val="20"/>
                <w:szCs w:val="20"/>
              </w:rPr>
            </w:pPr>
            <w:r w:rsidRPr="00542EB9">
              <w:rPr>
                <w:noProof/>
                <w:sz w:val="20"/>
                <w:szCs w:val="20"/>
              </w:rPr>
              <w:t>None</w:t>
            </w:r>
          </w:p>
        </w:tc>
        <w:tc>
          <w:tcPr>
            <w:tcW w:w="1388" w:type="dxa"/>
            <w:tcMar>
              <w:top w:w="57" w:type="dxa"/>
              <w:left w:w="57" w:type="dxa"/>
              <w:bottom w:w="57" w:type="dxa"/>
              <w:right w:w="57" w:type="dxa"/>
            </w:tcMar>
            <w:vAlign w:val="center"/>
          </w:tcPr>
          <w:p w14:paraId="343C9836" w14:textId="36773A6E" w:rsidR="00801268" w:rsidRPr="00542EB9" w:rsidRDefault="001F7FA7" w:rsidP="5DD21FD3">
            <w:pPr>
              <w:spacing w:after="0"/>
              <w:rPr>
                <w:noProof/>
                <w:sz w:val="20"/>
                <w:szCs w:val="20"/>
              </w:rPr>
            </w:pPr>
            <w:r w:rsidRPr="00542EB9">
              <w:rPr>
                <w:noProof/>
                <w:sz w:val="20"/>
                <w:szCs w:val="20"/>
              </w:rPr>
              <w:t>None</w:t>
            </w:r>
          </w:p>
        </w:tc>
        <w:tc>
          <w:tcPr>
            <w:tcW w:w="1387" w:type="dxa"/>
            <w:tcMar>
              <w:top w:w="57" w:type="dxa"/>
              <w:left w:w="57" w:type="dxa"/>
              <w:bottom w:w="57" w:type="dxa"/>
              <w:right w:w="57" w:type="dxa"/>
            </w:tcMar>
            <w:vAlign w:val="center"/>
          </w:tcPr>
          <w:p w14:paraId="13A81F7E" w14:textId="41453E77" w:rsidR="00801268" w:rsidRPr="00542EB9" w:rsidRDefault="00981D67" w:rsidP="5DD21FD3">
            <w:pPr>
              <w:spacing w:after="0"/>
              <w:rPr>
                <w:noProof/>
                <w:sz w:val="20"/>
                <w:szCs w:val="20"/>
              </w:rPr>
            </w:pPr>
            <w:r w:rsidRPr="00542EB9">
              <w:rPr>
                <w:noProof/>
                <w:sz w:val="20"/>
                <w:szCs w:val="20"/>
              </w:rPr>
              <w:t>None</w:t>
            </w:r>
          </w:p>
        </w:tc>
        <w:tc>
          <w:tcPr>
            <w:tcW w:w="1110" w:type="dxa"/>
            <w:tcMar>
              <w:top w:w="57" w:type="dxa"/>
              <w:left w:w="57" w:type="dxa"/>
              <w:bottom w:w="57" w:type="dxa"/>
              <w:right w:w="57" w:type="dxa"/>
            </w:tcMar>
            <w:vAlign w:val="center"/>
          </w:tcPr>
          <w:p w14:paraId="54BCE598" w14:textId="77777777" w:rsidR="00801268" w:rsidRPr="00542EB9" w:rsidRDefault="0014699A" w:rsidP="5DD21FD3">
            <w:pPr>
              <w:spacing w:after="0"/>
              <w:rPr>
                <w:noProof/>
                <w:sz w:val="20"/>
                <w:szCs w:val="20"/>
              </w:rPr>
            </w:pPr>
            <w:r w:rsidRPr="00542EB9">
              <w:rPr>
                <w:noProof/>
                <w:sz w:val="20"/>
                <w:szCs w:val="20"/>
              </w:rPr>
              <w:t>5% of SMP programme</w:t>
            </w:r>
          </w:p>
          <w:p w14:paraId="33CCF061" w14:textId="2749279E" w:rsidR="00801268" w:rsidRPr="00542EB9" w:rsidRDefault="002544BC" w:rsidP="5DD21FD3">
            <w:pPr>
              <w:spacing w:after="0"/>
              <w:rPr>
                <w:noProof/>
                <w:sz w:val="20"/>
                <w:szCs w:val="20"/>
              </w:rPr>
            </w:pPr>
            <w:r w:rsidRPr="00542EB9">
              <w:rPr>
                <w:noProof/>
                <w:sz w:val="20"/>
                <w:szCs w:val="20"/>
              </w:rPr>
              <w:t>2% for UAFP</w:t>
            </w:r>
          </w:p>
        </w:tc>
        <w:tc>
          <w:tcPr>
            <w:tcW w:w="1249" w:type="dxa"/>
            <w:tcMar>
              <w:top w:w="57" w:type="dxa"/>
              <w:left w:w="57" w:type="dxa"/>
              <w:bottom w:w="57" w:type="dxa"/>
              <w:right w:w="57" w:type="dxa"/>
            </w:tcMar>
            <w:vAlign w:val="center"/>
          </w:tcPr>
          <w:p w14:paraId="582E7747" w14:textId="651F01CB" w:rsidR="00801268" w:rsidRPr="00542EB9" w:rsidRDefault="00981D67" w:rsidP="5DD21FD3">
            <w:pPr>
              <w:spacing w:after="0"/>
              <w:rPr>
                <w:noProof/>
                <w:sz w:val="20"/>
                <w:szCs w:val="20"/>
              </w:rPr>
            </w:pPr>
            <w:r w:rsidRPr="00542EB9">
              <w:rPr>
                <w:noProof/>
                <w:sz w:val="20"/>
                <w:szCs w:val="20"/>
              </w:rPr>
              <w:t>None</w:t>
            </w:r>
          </w:p>
        </w:tc>
      </w:tr>
      <w:tr w:rsidR="00A6628A" w:rsidRPr="00542EB9" w14:paraId="0DCF9CD7" w14:textId="77777777" w:rsidTr="5DD21FD3">
        <w:trPr>
          <w:trHeight w:val="307"/>
        </w:trPr>
        <w:tc>
          <w:tcPr>
            <w:tcW w:w="972" w:type="dxa"/>
            <w:vMerge/>
            <w:tcMar>
              <w:top w:w="57" w:type="dxa"/>
              <w:left w:w="57" w:type="dxa"/>
              <w:bottom w:w="57" w:type="dxa"/>
              <w:right w:w="57" w:type="dxa"/>
            </w:tcMar>
            <w:vAlign w:val="center"/>
          </w:tcPr>
          <w:p w14:paraId="44DC5624" w14:textId="77777777" w:rsidR="00801268" w:rsidRPr="00542EB9" w:rsidRDefault="00801268" w:rsidP="009D4C15">
            <w:pPr>
              <w:spacing w:after="0"/>
              <w:rPr>
                <w:noProof/>
                <w:sz w:val="20"/>
                <w:szCs w:val="20"/>
              </w:rPr>
            </w:pPr>
          </w:p>
        </w:tc>
        <w:tc>
          <w:tcPr>
            <w:tcW w:w="1575" w:type="dxa"/>
            <w:tcBorders>
              <w:right w:val="double" w:sz="4" w:space="0" w:color="auto"/>
            </w:tcBorders>
            <w:tcMar>
              <w:top w:w="57" w:type="dxa"/>
              <w:left w:w="57" w:type="dxa"/>
              <w:bottom w:w="57" w:type="dxa"/>
              <w:right w:w="57" w:type="dxa"/>
            </w:tcMar>
            <w:vAlign w:val="center"/>
          </w:tcPr>
          <w:p w14:paraId="53E17FC3" w14:textId="77777777" w:rsidR="00801268" w:rsidRPr="00542EB9" w:rsidRDefault="00801268" w:rsidP="5DD21FD3">
            <w:pPr>
              <w:spacing w:after="0"/>
              <w:jc w:val="left"/>
              <w:rPr>
                <w:noProof/>
                <w:sz w:val="20"/>
                <w:szCs w:val="20"/>
              </w:rPr>
            </w:pPr>
            <w:r w:rsidRPr="00542EB9">
              <w:rPr>
                <w:noProof/>
                <w:sz w:val="20"/>
                <w:szCs w:val="20"/>
              </w:rPr>
              <w:t>Direct administrative costs</w:t>
            </w:r>
          </w:p>
        </w:tc>
        <w:tc>
          <w:tcPr>
            <w:tcW w:w="1110" w:type="dxa"/>
            <w:tcBorders>
              <w:left w:val="double" w:sz="4" w:space="0" w:color="auto"/>
            </w:tcBorders>
            <w:tcMar>
              <w:top w:w="57" w:type="dxa"/>
              <w:left w:w="57" w:type="dxa"/>
              <w:bottom w:w="57" w:type="dxa"/>
              <w:right w:w="57" w:type="dxa"/>
            </w:tcMar>
            <w:vAlign w:val="center"/>
          </w:tcPr>
          <w:p w14:paraId="0CEF5022" w14:textId="05263B59" w:rsidR="00801268" w:rsidRPr="00542EB9" w:rsidRDefault="00981D67" w:rsidP="5DD21FD3">
            <w:pPr>
              <w:spacing w:after="0"/>
              <w:rPr>
                <w:noProof/>
                <w:sz w:val="20"/>
                <w:szCs w:val="20"/>
              </w:rPr>
            </w:pPr>
            <w:r w:rsidRPr="00542EB9">
              <w:rPr>
                <w:noProof/>
                <w:sz w:val="20"/>
                <w:szCs w:val="20"/>
              </w:rPr>
              <w:t>None</w:t>
            </w:r>
          </w:p>
        </w:tc>
        <w:tc>
          <w:tcPr>
            <w:tcW w:w="1415" w:type="dxa"/>
            <w:tcMar>
              <w:top w:w="57" w:type="dxa"/>
              <w:left w:w="57" w:type="dxa"/>
              <w:bottom w:w="57" w:type="dxa"/>
              <w:right w:w="57" w:type="dxa"/>
            </w:tcMar>
            <w:vAlign w:val="center"/>
          </w:tcPr>
          <w:p w14:paraId="53E1D83B" w14:textId="26BF760A" w:rsidR="00801268" w:rsidRPr="00542EB9" w:rsidRDefault="00981D67" w:rsidP="5DD21FD3">
            <w:pPr>
              <w:spacing w:after="0"/>
              <w:rPr>
                <w:noProof/>
                <w:sz w:val="20"/>
                <w:szCs w:val="20"/>
              </w:rPr>
            </w:pPr>
            <w:r w:rsidRPr="00542EB9">
              <w:rPr>
                <w:noProof/>
                <w:sz w:val="20"/>
                <w:szCs w:val="20"/>
              </w:rPr>
              <w:t>None</w:t>
            </w:r>
          </w:p>
        </w:tc>
        <w:tc>
          <w:tcPr>
            <w:tcW w:w="1388" w:type="dxa"/>
            <w:tcMar>
              <w:top w:w="57" w:type="dxa"/>
              <w:left w:w="57" w:type="dxa"/>
              <w:bottom w:w="57" w:type="dxa"/>
              <w:right w:w="57" w:type="dxa"/>
            </w:tcMar>
            <w:vAlign w:val="center"/>
          </w:tcPr>
          <w:p w14:paraId="1A312BE6" w14:textId="1A2013A9" w:rsidR="00801268" w:rsidRPr="00542EB9" w:rsidRDefault="00981D67" w:rsidP="5DD21FD3">
            <w:pPr>
              <w:spacing w:after="0"/>
              <w:rPr>
                <w:noProof/>
                <w:sz w:val="20"/>
                <w:szCs w:val="20"/>
              </w:rPr>
            </w:pPr>
            <w:r w:rsidRPr="00542EB9">
              <w:rPr>
                <w:noProof/>
                <w:sz w:val="20"/>
                <w:szCs w:val="20"/>
              </w:rPr>
              <w:t>None</w:t>
            </w:r>
          </w:p>
        </w:tc>
        <w:tc>
          <w:tcPr>
            <w:tcW w:w="1387" w:type="dxa"/>
            <w:tcMar>
              <w:top w:w="57" w:type="dxa"/>
              <w:left w:w="57" w:type="dxa"/>
              <w:bottom w:w="57" w:type="dxa"/>
              <w:right w:w="57" w:type="dxa"/>
            </w:tcMar>
            <w:vAlign w:val="center"/>
          </w:tcPr>
          <w:p w14:paraId="6B6DCF93" w14:textId="68E7C745" w:rsidR="00801268" w:rsidRPr="00542EB9" w:rsidRDefault="00981D67" w:rsidP="5DD21FD3">
            <w:pPr>
              <w:spacing w:after="0"/>
              <w:rPr>
                <w:noProof/>
                <w:sz w:val="20"/>
                <w:szCs w:val="20"/>
              </w:rPr>
            </w:pPr>
            <w:r w:rsidRPr="00542EB9">
              <w:rPr>
                <w:noProof/>
                <w:sz w:val="20"/>
                <w:szCs w:val="20"/>
              </w:rPr>
              <w:t>None</w:t>
            </w:r>
          </w:p>
        </w:tc>
        <w:tc>
          <w:tcPr>
            <w:tcW w:w="1110" w:type="dxa"/>
            <w:tcMar>
              <w:top w:w="57" w:type="dxa"/>
              <w:left w:w="57" w:type="dxa"/>
              <w:bottom w:w="57" w:type="dxa"/>
              <w:right w:w="57" w:type="dxa"/>
            </w:tcMar>
            <w:vAlign w:val="center"/>
          </w:tcPr>
          <w:p w14:paraId="6EC11D01" w14:textId="681DB6F1" w:rsidR="00801268" w:rsidRPr="00542EB9" w:rsidRDefault="00A93FB9" w:rsidP="5DD21FD3">
            <w:pPr>
              <w:spacing w:after="0"/>
              <w:rPr>
                <w:noProof/>
                <w:sz w:val="20"/>
                <w:szCs w:val="20"/>
              </w:rPr>
            </w:pPr>
            <w:r w:rsidRPr="00542EB9">
              <w:rPr>
                <w:noProof/>
                <w:sz w:val="20"/>
                <w:szCs w:val="20"/>
              </w:rPr>
              <w:t>Need to adapt</w:t>
            </w:r>
            <w:r w:rsidR="00706C18" w:rsidRPr="00542EB9">
              <w:rPr>
                <w:noProof/>
                <w:sz w:val="20"/>
                <w:szCs w:val="20"/>
              </w:rPr>
              <w:t xml:space="preserve"> to new form</w:t>
            </w:r>
            <w:r w:rsidR="00BA4E24" w:rsidRPr="00542EB9">
              <w:rPr>
                <w:noProof/>
                <w:sz w:val="20"/>
                <w:szCs w:val="20"/>
              </w:rPr>
              <w:t>s of service provisions</w:t>
            </w:r>
          </w:p>
        </w:tc>
        <w:tc>
          <w:tcPr>
            <w:tcW w:w="1249" w:type="dxa"/>
            <w:tcMar>
              <w:top w:w="57" w:type="dxa"/>
              <w:left w:w="57" w:type="dxa"/>
              <w:bottom w:w="57" w:type="dxa"/>
              <w:right w:w="57" w:type="dxa"/>
            </w:tcMar>
            <w:vAlign w:val="center"/>
          </w:tcPr>
          <w:p w14:paraId="0182B111" w14:textId="65CCF821" w:rsidR="00801268" w:rsidRPr="00542EB9" w:rsidRDefault="00AD61E5" w:rsidP="5DD21FD3">
            <w:pPr>
              <w:spacing w:after="0"/>
              <w:rPr>
                <w:noProof/>
                <w:sz w:val="20"/>
                <w:szCs w:val="20"/>
              </w:rPr>
            </w:pPr>
            <w:r w:rsidRPr="00542EB9">
              <w:rPr>
                <w:noProof/>
                <w:sz w:val="20"/>
                <w:szCs w:val="20"/>
              </w:rPr>
              <w:t>None</w:t>
            </w:r>
          </w:p>
        </w:tc>
      </w:tr>
      <w:tr w:rsidR="00A6628A" w:rsidRPr="00542EB9" w14:paraId="1B6000D7" w14:textId="77777777" w:rsidTr="5DD21FD3">
        <w:trPr>
          <w:trHeight w:val="307"/>
        </w:trPr>
        <w:tc>
          <w:tcPr>
            <w:tcW w:w="972" w:type="dxa"/>
            <w:vMerge/>
            <w:tcMar>
              <w:top w:w="57" w:type="dxa"/>
              <w:left w:w="57" w:type="dxa"/>
              <w:bottom w:w="57" w:type="dxa"/>
              <w:right w:w="57" w:type="dxa"/>
            </w:tcMar>
            <w:vAlign w:val="center"/>
          </w:tcPr>
          <w:p w14:paraId="70C09867" w14:textId="77777777" w:rsidR="00801268" w:rsidRPr="00542EB9" w:rsidRDefault="00801268" w:rsidP="009D4C15">
            <w:pPr>
              <w:spacing w:after="0"/>
              <w:rPr>
                <w:noProof/>
                <w:sz w:val="20"/>
                <w:szCs w:val="20"/>
              </w:rPr>
            </w:pPr>
          </w:p>
        </w:tc>
        <w:tc>
          <w:tcPr>
            <w:tcW w:w="1575" w:type="dxa"/>
            <w:tcBorders>
              <w:right w:val="double" w:sz="4" w:space="0" w:color="auto"/>
            </w:tcBorders>
            <w:tcMar>
              <w:top w:w="57" w:type="dxa"/>
              <w:left w:w="57" w:type="dxa"/>
              <w:bottom w:w="57" w:type="dxa"/>
              <w:right w:w="57" w:type="dxa"/>
            </w:tcMar>
            <w:vAlign w:val="center"/>
          </w:tcPr>
          <w:p w14:paraId="27A3AAE2" w14:textId="77777777" w:rsidR="00801268" w:rsidRPr="00542EB9" w:rsidRDefault="00801268" w:rsidP="5DD21FD3">
            <w:pPr>
              <w:spacing w:after="0"/>
              <w:jc w:val="left"/>
              <w:rPr>
                <w:noProof/>
                <w:sz w:val="20"/>
                <w:szCs w:val="20"/>
              </w:rPr>
            </w:pPr>
            <w:r w:rsidRPr="00542EB9">
              <w:rPr>
                <w:noProof/>
                <w:sz w:val="20"/>
                <w:szCs w:val="20"/>
              </w:rPr>
              <w:t>Direct regulatory fees and charges</w:t>
            </w:r>
          </w:p>
        </w:tc>
        <w:tc>
          <w:tcPr>
            <w:tcW w:w="1110" w:type="dxa"/>
            <w:tcBorders>
              <w:left w:val="double" w:sz="4" w:space="0" w:color="auto"/>
            </w:tcBorders>
            <w:tcMar>
              <w:top w:w="57" w:type="dxa"/>
              <w:left w:w="57" w:type="dxa"/>
              <w:bottom w:w="57" w:type="dxa"/>
              <w:right w:w="57" w:type="dxa"/>
            </w:tcMar>
            <w:vAlign w:val="center"/>
          </w:tcPr>
          <w:p w14:paraId="4CDF5AEB" w14:textId="38079FBC" w:rsidR="00801268" w:rsidRPr="00542EB9" w:rsidRDefault="00981D67" w:rsidP="5DD21FD3">
            <w:pPr>
              <w:spacing w:after="0"/>
              <w:rPr>
                <w:noProof/>
                <w:sz w:val="20"/>
                <w:szCs w:val="20"/>
              </w:rPr>
            </w:pPr>
            <w:r w:rsidRPr="00542EB9">
              <w:rPr>
                <w:noProof/>
                <w:sz w:val="20"/>
                <w:szCs w:val="20"/>
              </w:rPr>
              <w:t>None</w:t>
            </w:r>
          </w:p>
        </w:tc>
        <w:tc>
          <w:tcPr>
            <w:tcW w:w="1415" w:type="dxa"/>
            <w:tcMar>
              <w:top w:w="57" w:type="dxa"/>
              <w:left w:w="57" w:type="dxa"/>
              <w:bottom w:w="57" w:type="dxa"/>
              <w:right w:w="57" w:type="dxa"/>
            </w:tcMar>
            <w:vAlign w:val="center"/>
          </w:tcPr>
          <w:p w14:paraId="2FAFD9C4" w14:textId="1787BEE0" w:rsidR="00801268" w:rsidRPr="00542EB9" w:rsidRDefault="00981D67" w:rsidP="5DD21FD3">
            <w:pPr>
              <w:spacing w:after="0"/>
              <w:rPr>
                <w:noProof/>
                <w:sz w:val="20"/>
                <w:szCs w:val="20"/>
              </w:rPr>
            </w:pPr>
            <w:r w:rsidRPr="00542EB9">
              <w:rPr>
                <w:noProof/>
                <w:sz w:val="20"/>
                <w:szCs w:val="20"/>
              </w:rPr>
              <w:t>None</w:t>
            </w:r>
          </w:p>
        </w:tc>
        <w:tc>
          <w:tcPr>
            <w:tcW w:w="1388" w:type="dxa"/>
            <w:tcMar>
              <w:top w:w="57" w:type="dxa"/>
              <w:left w:w="57" w:type="dxa"/>
              <w:bottom w:w="57" w:type="dxa"/>
              <w:right w:w="57" w:type="dxa"/>
            </w:tcMar>
            <w:vAlign w:val="center"/>
          </w:tcPr>
          <w:p w14:paraId="0841F95E" w14:textId="4DB2471B" w:rsidR="00801268" w:rsidRPr="00542EB9" w:rsidRDefault="00981D67" w:rsidP="5DD21FD3">
            <w:pPr>
              <w:spacing w:after="0"/>
              <w:rPr>
                <w:noProof/>
                <w:sz w:val="20"/>
                <w:szCs w:val="20"/>
              </w:rPr>
            </w:pPr>
            <w:r w:rsidRPr="00542EB9">
              <w:rPr>
                <w:noProof/>
                <w:sz w:val="20"/>
                <w:szCs w:val="20"/>
              </w:rPr>
              <w:t>None</w:t>
            </w:r>
          </w:p>
        </w:tc>
        <w:tc>
          <w:tcPr>
            <w:tcW w:w="1387" w:type="dxa"/>
            <w:tcMar>
              <w:top w:w="57" w:type="dxa"/>
              <w:left w:w="57" w:type="dxa"/>
              <w:bottom w:w="57" w:type="dxa"/>
              <w:right w:w="57" w:type="dxa"/>
            </w:tcMar>
            <w:vAlign w:val="center"/>
          </w:tcPr>
          <w:p w14:paraId="6608315C" w14:textId="6D194407" w:rsidR="00801268" w:rsidRPr="00542EB9" w:rsidRDefault="00981D67" w:rsidP="5DD21FD3">
            <w:pPr>
              <w:spacing w:after="0"/>
              <w:rPr>
                <w:noProof/>
                <w:sz w:val="20"/>
                <w:szCs w:val="20"/>
              </w:rPr>
            </w:pPr>
            <w:r w:rsidRPr="00542EB9">
              <w:rPr>
                <w:noProof/>
                <w:sz w:val="20"/>
                <w:szCs w:val="20"/>
              </w:rPr>
              <w:t>None</w:t>
            </w:r>
          </w:p>
        </w:tc>
        <w:tc>
          <w:tcPr>
            <w:tcW w:w="1110" w:type="dxa"/>
            <w:tcMar>
              <w:top w:w="57" w:type="dxa"/>
              <w:left w:w="57" w:type="dxa"/>
              <w:bottom w:w="57" w:type="dxa"/>
              <w:right w:w="57" w:type="dxa"/>
            </w:tcMar>
            <w:vAlign w:val="center"/>
          </w:tcPr>
          <w:p w14:paraId="635A88B0" w14:textId="41C75208" w:rsidR="00801268" w:rsidRPr="00542EB9" w:rsidRDefault="00981D67" w:rsidP="5DD21FD3">
            <w:pPr>
              <w:spacing w:after="0"/>
              <w:rPr>
                <w:noProof/>
                <w:sz w:val="20"/>
                <w:szCs w:val="20"/>
              </w:rPr>
            </w:pPr>
            <w:r w:rsidRPr="00542EB9">
              <w:rPr>
                <w:noProof/>
                <w:sz w:val="20"/>
                <w:szCs w:val="20"/>
              </w:rPr>
              <w:t>None</w:t>
            </w:r>
          </w:p>
        </w:tc>
        <w:tc>
          <w:tcPr>
            <w:tcW w:w="1249" w:type="dxa"/>
            <w:tcMar>
              <w:top w:w="57" w:type="dxa"/>
              <w:left w:w="57" w:type="dxa"/>
              <w:bottom w:w="57" w:type="dxa"/>
              <w:right w:w="57" w:type="dxa"/>
            </w:tcMar>
            <w:vAlign w:val="center"/>
          </w:tcPr>
          <w:p w14:paraId="233AA1DB" w14:textId="16A2C97C" w:rsidR="00801268" w:rsidRPr="00542EB9" w:rsidRDefault="00981D67" w:rsidP="5DD21FD3">
            <w:pPr>
              <w:spacing w:after="0"/>
              <w:rPr>
                <w:noProof/>
                <w:sz w:val="20"/>
                <w:szCs w:val="20"/>
              </w:rPr>
            </w:pPr>
            <w:r w:rsidRPr="00542EB9">
              <w:rPr>
                <w:noProof/>
                <w:sz w:val="20"/>
                <w:szCs w:val="20"/>
              </w:rPr>
              <w:t>None</w:t>
            </w:r>
          </w:p>
        </w:tc>
      </w:tr>
      <w:tr w:rsidR="00A6628A" w:rsidRPr="00542EB9" w14:paraId="607D29BE" w14:textId="77777777" w:rsidTr="5DD21FD3">
        <w:trPr>
          <w:trHeight w:val="307"/>
        </w:trPr>
        <w:tc>
          <w:tcPr>
            <w:tcW w:w="972" w:type="dxa"/>
            <w:vMerge/>
            <w:tcMar>
              <w:top w:w="57" w:type="dxa"/>
              <w:left w:w="57" w:type="dxa"/>
              <w:bottom w:w="57" w:type="dxa"/>
              <w:right w:w="57" w:type="dxa"/>
            </w:tcMar>
            <w:vAlign w:val="center"/>
          </w:tcPr>
          <w:p w14:paraId="4D0CE703" w14:textId="77777777" w:rsidR="00801268" w:rsidRPr="00542EB9" w:rsidRDefault="00801268" w:rsidP="009D4C15">
            <w:pPr>
              <w:spacing w:after="0"/>
              <w:rPr>
                <w:noProof/>
                <w:sz w:val="20"/>
                <w:szCs w:val="20"/>
              </w:rPr>
            </w:pPr>
          </w:p>
        </w:tc>
        <w:tc>
          <w:tcPr>
            <w:tcW w:w="1575" w:type="dxa"/>
            <w:tcBorders>
              <w:right w:val="double" w:sz="4" w:space="0" w:color="auto"/>
            </w:tcBorders>
            <w:tcMar>
              <w:top w:w="57" w:type="dxa"/>
              <w:left w:w="57" w:type="dxa"/>
              <w:bottom w:w="57" w:type="dxa"/>
              <w:right w:w="57" w:type="dxa"/>
            </w:tcMar>
            <w:vAlign w:val="center"/>
          </w:tcPr>
          <w:p w14:paraId="03072CB2" w14:textId="77777777" w:rsidR="00801268" w:rsidRPr="00542EB9" w:rsidRDefault="00801268" w:rsidP="5DD21FD3">
            <w:pPr>
              <w:spacing w:after="0"/>
              <w:jc w:val="left"/>
              <w:rPr>
                <w:noProof/>
                <w:sz w:val="20"/>
                <w:szCs w:val="20"/>
              </w:rPr>
            </w:pPr>
            <w:r w:rsidRPr="00542EB9">
              <w:rPr>
                <w:noProof/>
                <w:sz w:val="20"/>
                <w:szCs w:val="20"/>
              </w:rPr>
              <w:t>Direct enforcement costs</w:t>
            </w:r>
          </w:p>
        </w:tc>
        <w:tc>
          <w:tcPr>
            <w:tcW w:w="1110" w:type="dxa"/>
            <w:tcBorders>
              <w:left w:val="double" w:sz="4" w:space="0" w:color="auto"/>
            </w:tcBorders>
            <w:tcMar>
              <w:top w:w="57" w:type="dxa"/>
              <w:left w:w="57" w:type="dxa"/>
              <w:bottom w:w="57" w:type="dxa"/>
              <w:right w:w="57" w:type="dxa"/>
            </w:tcMar>
            <w:vAlign w:val="center"/>
          </w:tcPr>
          <w:p w14:paraId="454A4A88" w14:textId="52CC42BA" w:rsidR="00801268" w:rsidRPr="00542EB9" w:rsidRDefault="00981D67" w:rsidP="5DD21FD3">
            <w:pPr>
              <w:spacing w:after="0"/>
              <w:rPr>
                <w:noProof/>
                <w:sz w:val="20"/>
                <w:szCs w:val="20"/>
              </w:rPr>
            </w:pPr>
            <w:r w:rsidRPr="00542EB9">
              <w:rPr>
                <w:noProof/>
                <w:sz w:val="20"/>
                <w:szCs w:val="20"/>
              </w:rPr>
              <w:t>None</w:t>
            </w:r>
          </w:p>
        </w:tc>
        <w:tc>
          <w:tcPr>
            <w:tcW w:w="1415" w:type="dxa"/>
            <w:tcMar>
              <w:top w:w="57" w:type="dxa"/>
              <w:left w:w="57" w:type="dxa"/>
              <w:bottom w:w="57" w:type="dxa"/>
              <w:right w:w="57" w:type="dxa"/>
            </w:tcMar>
            <w:vAlign w:val="center"/>
          </w:tcPr>
          <w:p w14:paraId="4E1A2125" w14:textId="0128C3AC" w:rsidR="00801268" w:rsidRPr="00542EB9" w:rsidRDefault="00981D67" w:rsidP="5DD21FD3">
            <w:pPr>
              <w:spacing w:after="0"/>
              <w:rPr>
                <w:noProof/>
                <w:sz w:val="20"/>
                <w:szCs w:val="20"/>
              </w:rPr>
            </w:pPr>
            <w:r w:rsidRPr="00542EB9">
              <w:rPr>
                <w:noProof/>
                <w:sz w:val="20"/>
                <w:szCs w:val="20"/>
              </w:rPr>
              <w:t>None</w:t>
            </w:r>
          </w:p>
        </w:tc>
        <w:tc>
          <w:tcPr>
            <w:tcW w:w="1388" w:type="dxa"/>
            <w:tcMar>
              <w:top w:w="57" w:type="dxa"/>
              <w:left w:w="57" w:type="dxa"/>
              <w:bottom w:w="57" w:type="dxa"/>
              <w:right w:w="57" w:type="dxa"/>
            </w:tcMar>
            <w:vAlign w:val="center"/>
          </w:tcPr>
          <w:p w14:paraId="5B765BD6" w14:textId="13E758C1" w:rsidR="00801268" w:rsidRPr="00542EB9" w:rsidRDefault="00981D67" w:rsidP="5DD21FD3">
            <w:pPr>
              <w:spacing w:after="0"/>
              <w:rPr>
                <w:noProof/>
                <w:sz w:val="20"/>
                <w:szCs w:val="20"/>
              </w:rPr>
            </w:pPr>
            <w:r w:rsidRPr="00542EB9">
              <w:rPr>
                <w:noProof/>
                <w:sz w:val="20"/>
                <w:szCs w:val="20"/>
              </w:rPr>
              <w:t>None</w:t>
            </w:r>
          </w:p>
        </w:tc>
        <w:tc>
          <w:tcPr>
            <w:tcW w:w="1387" w:type="dxa"/>
            <w:tcMar>
              <w:top w:w="57" w:type="dxa"/>
              <w:left w:w="57" w:type="dxa"/>
              <w:bottom w:w="57" w:type="dxa"/>
              <w:right w:w="57" w:type="dxa"/>
            </w:tcMar>
            <w:vAlign w:val="center"/>
          </w:tcPr>
          <w:p w14:paraId="66AE00F3" w14:textId="2D44B197" w:rsidR="00801268" w:rsidRPr="00542EB9" w:rsidRDefault="00981D67" w:rsidP="5DD21FD3">
            <w:pPr>
              <w:spacing w:after="0"/>
              <w:rPr>
                <w:noProof/>
                <w:sz w:val="20"/>
                <w:szCs w:val="20"/>
              </w:rPr>
            </w:pPr>
            <w:r w:rsidRPr="00542EB9">
              <w:rPr>
                <w:noProof/>
                <w:sz w:val="20"/>
                <w:szCs w:val="20"/>
              </w:rPr>
              <w:t>None</w:t>
            </w:r>
          </w:p>
        </w:tc>
        <w:tc>
          <w:tcPr>
            <w:tcW w:w="1110" w:type="dxa"/>
            <w:tcMar>
              <w:top w:w="57" w:type="dxa"/>
              <w:left w:w="57" w:type="dxa"/>
              <w:bottom w:w="57" w:type="dxa"/>
              <w:right w:w="57" w:type="dxa"/>
            </w:tcMar>
            <w:vAlign w:val="center"/>
          </w:tcPr>
          <w:p w14:paraId="3C674CCF" w14:textId="3F5DCC27" w:rsidR="00801268" w:rsidRPr="00542EB9" w:rsidRDefault="00981D67" w:rsidP="5DD21FD3">
            <w:pPr>
              <w:spacing w:after="0"/>
              <w:rPr>
                <w:noProof/>
                <w:sz w:val="20"/>
                <w:szCs w:val="20"/>
              </w:rPr>
            </w:pPr>
            <w:r w:rsidRPr="00542EB9">
              <w:rPr>
                <w:noProof/>
                <w:sz w:val="20"/>
                <w:szCs w:val="20"/>
              </w:rPr>
              <w:t>None</w:t>
            </w:r>
          </w:p>
        </w:tc>
        <w:tc>
          <w:tcPr>
            <w:tcW w:w="1249" w:type="dxa"/>
            <w:tcMar>
              <w:top w:w="57" w:type="dxa"/>
              <w:left w:w="57" w:type="dxa"/>
              <w:bottom w:w="57" w:type="dxa"/>
              <w:right w:w="57" w:type="dxa"/>
            </w:tcMar>
            <w:vAlign w:val="center"/>
          </w:tcPr>
          <w:p w14:paraId="61FA7591" w14:textId="0C6DD1A5" w:rsidR="00801268" w:rsidRPr="00542EB9" w:rsidRDefault="00981D67" w:rsidP="5DD21FD3">
            <w:pPr>
              <w:spacing w:after="0"/>
              <w:rPr>
                <w:noProof/>
                <w:sz w:val="20"/>
                <w:szCs w:val="20"/>
              </w:rPr>
            </w:pPr>
            <w:r w:rsidRPr="00542EB9">
              <w:rPr>
                <w:noProof/>
                <w:sz w:val="20"/>
                <w:szCs w:val="20"/>
              </w:rPr>
              <w:t>None</w:t>
            </w:r>
          </w:p>
        </w:tc>
      </w:tr>
      <w:tr w:rsidR="00394A56" w:rsidRPr="00542EB9" w14:paraId="5575DE90" w14:textId="77777777" w:rsidTr="00B26F84">
        <w:tc>
          <w:tcPr>
            <w:tcW w:w="972" w:type="dxa"/>
            <w:vMerge/>
            <w:tcMar>
              <w:top w:w="57" w:type="dxa"/>
              <w:left w:w="57" w:type="dxa"/>
              <w:bottom w:w="57" w:type="dxa"/>
              <w:right w:w="57" w:type="dxa"/>
            </w:tcMar>
          </w:tcPr>
          <w:p w14:paraId="3CB757B5" w14:textId="77777777" w:rsidR="00801268" w:rsidRPr="00542EB9" w:rsidRDefault="00801268" w:rsidP="009D4C15">
            <w:pPr>
              <w:spacing w:after="0"/>
              <w:rPr>
                <w:noProof/>
                <w:sz w:val="20"/>
                <w:szCs w:val="20"/>
              </w:rPr>
            </w:pPr>
          </w:p>
        </w:tc>
        <w:tc>
          <w:tcPr>
            <w:tcW w:w="1575" w:type="dxa"/>
            <w:tcBorders>
              <w:bottom w:val="double" w:sz="4" w:space="0" w:color="auto"/>
              <w:right w:val="double" w:sz="4" w:space="0" w:color="auto"/>
            </w:tcBorders>
            <w:tcMar>
              <w:top w:w="57" w:type="dxa"/>
              <w:left w:w="57" w:type="dxa"/>
              <w:bottom w:w="57" w:type="dxa"/>
              <w:right w:w="57" w:type="dxa"/>
            </w:tcMar>
          </w:tcPr>
          <w:p w14:paraId="60AC93FE" w14:textId="77777777" w:rsidR="00801268" w:rsidRPr="00542EB9" w:rsidRDefault="00801268" w:rsidP="5DD21FD3">
            <w:pPr>
              <w:spacing w:after="0"/>
              <w:jc w:val="left"/>
              <w:rPr>
                <w:noProof/>
                <w:sz w:val="20"/>
                <w:szCs w:val="20"/>
              </w:rPr>
            </w:pPr>
            <w:r w:rsidRPr="00542EB9">
              <w:rPr>
                <w:noProof/>
                <w:sz w:val="20"/>
                <w:szCs w:val="20"/>
              </w:rPr>
              <w:t>Indirect costs</w:t>
            </w:r>
          </w:p>
        </w:tc>
        <w:tc>
          <w:tcPr>
            <w:tcW w:w="1110" w:type="dxa"/>
            <w:tcBorders>
              <w:left w:val="double" w:sz="4" w:space="0" w:color="auto"/>
              <w:bottom w:val="double" w:sz="4" w:space="0" w:color="auto"/>
            </w:tcBorders>
            <w:tcMar>
              <w:top w:w="57" w:type="dxa"/>
              <w:left w:w="57" w:type="dxa"/>
              <w:bottom w:w="57" w:type="dxa"/>
              <w:right w:w="57" w:type="dxa"/>
            </w:tcMar>
            <w:vAlign w:val="center"/>
          </w:tcPr>
          <w:p w14:paraId="57B65DED" w14:textId="66A42D2D" w:rsidR="00801268" w:rsidRPr="00542EB9" w:rsidRDefault="00981D67" w:rsidP="5DD21FD3">
            <w:pPr>
              <w:spacing w:after="0"/>
              <w:rPr>
                <w:noProof/>
                <w:sz w:val="20"/>
                <w:szCs w:val="20"/>
              </w:rPr>
            </w:pPr>
            <w:r w:rsidRPr="00542EB9">
              <w:rPr>
                <w:noProof/>
                <w:sz w:val="20"/>
                <w:szCs w:val="20"/>
              </w:rPr>
              <w:t>None</w:t>
            </w:r>
          </w:p>
        </w:tc>
        <w:tc>
          <w:tcPr>
            <w:tcW w:w="1415" w:type="dxa"/>
            <w:tcBorders>
              <w:bottom w:val="double" w:sz="4" w:space="0" w:color="auto"/>
            </w:tcBorders>
            <w:tcMar>
              <w:top w:w="57" w:type="dxa"/>
              <w:left w:w="57" w:type="dxa"/>
              <w:bottom w:w="57" w:type="dxa"/>
              <w:right w:w="57" w:type="dxa"/>
            </w:tcMar>
            <w:vAlign w:val="center"/>
          </w:tcPr>
          <w:p w14:paraId="0A3E2119" w14:textId="4365FB14" w:rsidR="00801268" w:rsidRPr="00542EB9" w:rsidRDefault="00981D67" w:rsidP="5DD21FD3">
            <w:pPr>
              <w:spacing w:after="0"/>
              <w:rPr>
                <w:noProof/>
                <w:sz w:val="20"/>
                <w:szCs w:val="20"/>
              </w:rPr>
            </w:pPr>
            <w:r w:rsidRPr="00542EB9">
              <w:rPr>
                <w:noProof/>
                <w:sz w:val="20"/>
                <w:szCs w:val="20"/>
              </w:rPr>
              <w:t>None</w:t>
            </w:r>
          </w:p>
        </w:tc>
        <w:tc>
          <w:tcPr>
            <w:tcW w:w="1388" w:type="dxa"/>
            <w:tcBorders>
              <w:bottom w:val="double" w:sz="4" w:space="0" w:color="auto"/>
            </w:tcBorders>
            <w:tcMar>
              <w:top w:w="57" w:type="dxa"/>
              <w:left w:w="57" w:type="dxa"/>
              <w:bottom w:w="57" w:type="dxa"/>
              <w:right w:w="57" w:type="dxa"/>
            </w:tcMar>
            <w:vAlign w:val="center"/>
          </w:tcPr>
          <w:p w14:paraId="0C8860F3" w14:textId="3A5DFF0A" w:rsidR="00801268" w:rsidRPr="00542EB9" w:rsidRDefault="00981D67" w:rsidP="5DD21FD3">
            <w:pPr>
              <w:spacing w:after="0"/>
              <w:rPr>
                <w:noProof/>
                <w:sz w:val="20"/>
                <w:szCs w:val="20"/>
              </w:rPr>
            </w:pPr>
            <w:r w:rsidRPr="00542EB9">
              <w:rPr>
                <w:noProof/>
                <w:sz w:val="20"/>
                <w:szCs w:val="20"/>
              </w:rPr>
              <w:t>None</w:t>
            </w:r>
          </w:p>
        </w:tc>
        <w:tc>
          <w:tcPr>
            <w:tcW w:w="1387" w:type="dxa"/>
            <w:tcBorders>
              <w:bottom w:val="double" w:sz="4" w:space="0" w:color="auto"/>
            </w:tcBorders>
            <w:tcMar>
              <w:top w:w="57" w:type="dxa"/>
              <w:left w:w="57" w:type="dxa"/>
              <w:bottom w:w="57" w:type="dxa"/>
              <w:right w:w="57" w:type="dxa"/>
            </w:tcMar>
            <w:vAlign w:val="center"/>
          </w:tcPr>
          <w:p w14:paraId="66FC0BD6" w14:textId="430DF521" w:rsidR="00801268" w:rsidRPr="00542EB9" w:rsidRDefault="00981D67" w:rsidP="5DD21FD3">
            <w:pPr>
              <w:spacing w:after="0"/>
              <w:rPr>
                <w:noProof/>
                <w:sz w:val="20"/>
                <w:szCs w:val="20"/>
              </w:rPr>
            </w:pPr>
            <w:r w:rsidRPr="00542EB9">
              <w:rPr>
                <w:noProof/>
                <w:sz w:val="20"/>
                <w:szCs w:val="20"/>
              </w:rPr>
              <w:t>None</w:t>
            </w:r>
          </w:p>
        </w:tc>
        <w:tc>
          <w:tcPr>
            <w:tcW w:w="1110" w:type="dxa"/>
            <w:tcBorders>
              <w:bottom w:val="double" w:sz="4" w:space="0" w:color="auto"/>
            </w:tcBorders>
            <w:tcMar>
              <w:top w:w="57" w:type="dxa"/>
              <w:left w:w="57" w:type="dxa"/>
              <w:bottom w:w="57" w:type="dxa"/>
              <w:right w:w="57" w:type="dxa"/>
            </w:tcMar>
            <w:vAlign w:val="center"/>
          </w:tcPr>
          <w:p w14:paraId="6E5F0E78" w14:textId="0981CC4E" w:rsidR="00801268" w:rsidRPr="00542EB9" w:rsidRDefault="00981D67" w:rsidP="5DD21FD3">
            <w:pPr>
              <w:spacing w:after="0"/>
              <w:rPr>
                <w:noProof/>
                <w:sz w:val="20"/>
                <w:szCs w:val="20"/>
              </w:rPr>
            </w:pPr>
            <w:r w:rsidRPr="00542EB9">
              <w:rPr>
                <w:noProof/>
                <w:sz w:val="20"/>
                <w:szCs w:val="20"/>
              </w:rPr>
              <w:t>None</w:t>
            </w:r>
          </w:p>
        </w:tc>
        <w:tc>
          <w:tcPr>
            <w:tcW w:w="1249" w:type="dxa"/>
            <w:tcBorders>
              <w:bottom w:val="double" w:sz="4" w:space="0" w:color="auto"/>
            </w:tcBorders>
            <w:tcMar>
              <w:top w:w="57" w:type="dxa"/>
              <w:left w:w="57" w:type="dxa"/>
              <w:bottom w:w="57" w:type="dxa"/>
              <w:right w:w="57" w:type="dxa"/>
            </w:tcMar>
            <w:vAlign w:val="center"/>
          </w:tcPr>
          <w:p w14:paraId="4FBB09DA" w14:textId="53879398" w:rsidR="00801268" w:rsidRPr="00542EB9" w:rsidRDefault="00981D67" w:rsidP="5DD21FD3">
            <w:pPr>
              <w:spacing w:after="0"/>
              <w:rPr>
                <w:noProof/>
                <w:sz w:val="20"/>
                <w:szCs w:val="20"/>
              </w:rPr>
            </w:pPr>
            <w:r w:rsidRPr="00542EB9">
              <w:rPr>
                <w:noProof/>
                <w:sz w:val="20"/>
                <w:szCs w:val="20"/>
              </w:rPr>
              <w:t>None</w:t>
            </w:r>
          </w:p>
        </w:tc>
      </w:tr>
    </w:tbl>
    <w:p w14:paraId="0A85801A" w14:textId="1AEF85D9" w:rsidR="00801268" w:rsidRPr="00542EB9" w:rsidRDefault="00801268" w:rsidP="5DD21FD3">
      <w:pPr>
        <w:pStyle w:val="ListParagraph"/>
        <w:numPr>
          <w:ilvl w:val="0"/>
          <w:numId w:val="35"/>
        </w:numPr>
        <w:rPr>
          <w:i/>
          <w:iCs/>
          <w:noProof/>
          <w:sz w:val="20"/>
          <w:szCs w:val="20"/>
        </w:rPr>
      </w:pPr>
      <w:r w:rsidRPr="00542EB9">
        <w:rPr>
          <w:i/>
          <w:iCs/>
          <w:noProof/>
          <w:sz w:val="20"/>
          <w:szCs w:val="20"/>
        </w:rPr>
        <w:t xml:space="preserve">Estimates </w:t>
      </w:r>
      <w:r w:rsidR="00866FDC" w:rsidRPr="00542EB9">
        <w:rPr>
          <w:i/>
          <w:iCs/>
          <w:noProof/>
          <w:sz w:val="20"/>
          <w:szCs w:val="20"/>
        </w:rPr>
        <w:t xml:space="preserve">(gross values) </w:t>
      </w:r>
      <w:r w:rsidRPr="00542EB9">
        <w:rPr>
          <w:i/>
          <w:iCs/>
          <w:noProof/>
          <w:sz w:val="20"/>
          <w:szCs w:val="20"/>
        </w:rPr>
        <w:t xml:space="preserve">to be provided with respect to the baseline; (2) costs are provided for each identifiable action/obligation of the </w:t>
      </w:r>
      <w:r w:rsidRPr="00542EB9">
        <w:rPr>
          <w:i/>
          <w:iCs/>
          <w:noProof/>
          <w:sz w:val="20"/>
          <w:szCs w:val="20"/>
          <w:u w:val="single"/>
        </w:rPr>
        <w:t>preferred</w:t>
      </w:r>
      <w:r w:rsidRPr="00542EB9">
        <w:rPr>
          <w:i/>
          <w:iCs/>
          <w:noProof/>
          <w:sz w:val="20"/>
          <w:szCs w:val="20"/>
        </w:rPr>
        <w:t xml:space="preserve"> option otherwise for all retained options when no preferred option is specified; (3) If relevant and available, please present information on costs according to the standard typology of costs (adjustment costs, administrative costs, regulatory charges, enforcement costs, indirect costs;). </w:t>
      </w:r>
    </w:p>
    <w:p w14:paraId="3C4C84A1" w14:textId="77777777" w:rsidR="003506A0" w:rsidRPr="00542EB9" w:rsidRDefault="003506A0" w:rsidP="5DD21FD3">
      <w:pPr>
        <w:pStyle w:val="ListParagraph"/>
        <w:ind w:left="-207"/>
        <w:rPr>
          <w:noProof/>
          <w:sz w:val="22"/>
          <w:szCs w:val="22"/>
        </w:rPr>
      </w:pPr>
    </w:p>
    <w:tbl>
      <w:tblPr>
        <w:tblW w:w="10353" w:type="dxa"/>
        <w:tblInd w:w="-459" w:type="dxa"/>
        <w:tblCellMar>
          <w:left w:w="0" w:type="dxa"/>
          <w:right w:w="0" w:type="dxa"/>
        </w:tblCellMar>
        <w:tblLook w:val="04A0" w:firstRow="1" w:lastRow="0" w:firstColumn="1" w:lastColumn="0" w:noHBand="0" w:noVBand="1"/>
      </w:tblPr>
      <w:tblGrid>
        <w:gridCol w:w="2540"/>
        <w:gridCol w:w="2705"/>
        <w:gridCol w:w="2977"/>
        <w:gridCol w:w="2131"/>
      </w:tblGrid>
      <w:tr w:rsidR="00315B43" w:rsidRPr="00542EB9" w14:paraId="42D90478" w14:textId="13B30ADB" w:rsidTr="5DD21FD3">
        <w:tc>
          <w:tcPr>
            <w:tcW w:w="10353" w:type="dxa"/>
            <w:gridSpan w:val="4"/>
            <w:tcBorders>
              <w:top w:val="double" w:sz="4" w:space="0" w:color="auto"/>
              <w:left w:val="double" w:sz="4" w:space="0" w:color="auto"/>
              <w:bottom w:val="single" w:sz="8" w:space="0" w:color="auto"/>
              <w:right w:val="double" w:sz="4" w:space="0" w:color="auto"/>
            </w:tcBorders>
            <w:shd w:val="clear" w:color="auto" w:fill="C6D9F1" w:themeFill="text2" w:themeFillTint="33"/>
            <w:tcMar>
              <w:top w:w="0" w:type="dxa"/>
              <w:left w:w="108" w:type="dxa"/>
              <w:bottom w:w="0" w:type="dxa"/>
              <w:right w:w="108" w:type="dxa"/>
            </w:tcMar>
            <w:vAlign w:val="center"/>
            <w:hideMark/>
          </w:tcPr>
          <w:p w14:paraId="56B41FFD" w14:textId="01E2E5AE" w:rsidR="00315B43" w:rsidRPr="00542EB9" w:rsidRDefault="00315B43" w:rsidP="5DD21FD3">
            <w:pPr>
              <w:spacing w:before="60" w:after="60"/>
              <w:rPr>
                <w:b/>
                <w:bCs/>
                <w:noProof/>
                <w:sz w:val="20"/>
                <w:szCs w:val="20"/>
              </w:rPr>
            </w:pPr>
            <w:bookmarkStart w:id="98" w:name="_Hlk126312867"/>
            <w:r w:rsidRPr="00542EB9">
              <w:rPr>
                <w:b/>
                <w:bCs/>
                <w:noProof/>
                <w:sz w:val="20"/>
                <w:szCs w:val="20"/>
              </w:rPr>
              <w:t>III. Application of the ‘one in, one out’ approach – Preferred option(s)</w:t>
            </w:r>
          </w:p>
        </w:tc>
      </w:tr>
      <w:tr w:rsidR="00B8622B" w:rsidRPr="00542EB9" w14:paraId="4709D318" w14:textId="573C2219"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A8D4131" w14:textId="77777777" w:rsidR="00B8622B" w:rsidRPr="00542EB9" w:rsidRDefault="2FBC52D8" w:rsidP="5DD21FD3">
            <w:pPr>
              <w:spacing w:before="60" w:after="60"/>
              <w:jc w:val="right"/>
              <w:rPr>
                <w:rFonts w:ascii="Calibri" w:hAnsi="Calibri" w:cs="Calibri"/>
                <w:b/>
                <w:bCs/>
                <w:noProof/>
                <w:sz w:val="20"/>
                <w:szCs w:val="20"/>
              </w:rPr>
            </w:pPr>
            <w:r w:rsidRPr="00542EB9">
              <w:rPr>
                <w:b/>
                <w:bCs/>
                <w:noProof/>
                <w:sz w:val="20"/>
                <w:szCs w:val="20"/>
              </w:rPr>
              <w:t>[M€]</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AC739" w14:textId="77777777" w:rsidR="00B8622B" w:rsidRPr="00542EB9" w:rsidRDefault="2FBC52D8" w:rsidP="5DD21FD3">
            <w:pPr>
              <w:spacing w:before="60"/>
              <w:jc w:val="center"/>
              <w:rPr>
                <w:b/>
                <w:bCs/>
                <w:noProof/>
                <w:sz w:val="20"/>
                <w:szCs w:val="20"/>
              </w:rPr>
            </w:pPr>
            <w:r w:rsidRPr="00542EB9">
              <w:rPr>
                <w:b/>
                <w:bCs/>
                <w:noProof/>
                <w:sz w:val="20"/>
                <w:szCs w:val="20"/>
              </w:rPr>
              <w:t>One-off</w:t>
            </w:r>
          </w:p>
          <w:p w14:paraId="1089A80E" w14:textId="58CE960A" w:rsidR="00B8622B" w:rsidRPr="00542EB9" w:rsidRDefault="2FBC52D8" w:rsidP="5DD21FD3">
            <w:pPr>
              <w:spacing w:after="60"/>
              <w:jc w:val="center"/>
              <w:rPr>
                <w:noProof/>
                <w:sz w:val="20"/>
                <w:szCs w:val="20"/>
              </w:rPr>
            </w:pPr>
            <w:r w:rsidRPr="00542EB9">
              <w:rPr>
                <w:noProof/>
                <w:sz w:val="20"/>
                <w:szCs w:val="20"/>
              </w:rPr>
              <w:t>(annualised total net present value over the relevant period)</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0C00EC78" w14:textId="77777777" w:rsidR="00B8622B" w:rsidRPr="00542EB9" w:rsidRDefault="2FBC52D8" w:rsidP="5DD21FD3">
            <w:pPr>
              <w:spacing w:before="60"/>
              <w:jc w:val="center"/>
              <w:rPr>
                <w:b/>
                <w:bCs/>
                <w:noProof/>
                <w:sz w:val="20"/>
                <w:szCs w:val="20"/>
              </w:rPr>
            </w:pPr>
            <w:r w:rsidRPr="00542EB9">
              <w:rPr>
                <w:b/>
                <w:bCs/>
                <w:noProof/>
                <w:sz w:val="20"/>
                <w:szCs w:val="20"/>
              </w:rPr>
              <w:t>Recurrent</w:t>
            </w:r>
          </w:p>
          <w:p w14:paraId="1A7C60BB" w14:textId="77777777" w:rsidR="00B8622B" w:rsidRPr="00542EB9" w:rsidRDefault="2FBC52D8" w:rsidP="5DD21FD3">
            <w:pPr>
              <w:spacing w:after="60"/>
              <w:jc w:val="center"/>
              <w:rPr>
                <w:b/>
                <w:bCs/>
                <w:noProof/>
                <w:sz w:val="20"/>
                <w:szCs w:val="20"/>
              </w:rPr>
            </w:pPr>
            <w:r w:rsidRPr="00542EB9">
              <w:rPr>
                <w:noProof/>
                <w:sz w:val="20"/>
                <w:szCs w:val="20"/>
              </w:rPr>
              <w:t>(nominal values per year)</w:t>
            </w:r>
          </w:p>
          <w:p w14:paraId="3097B50F" w14:textId="77777777" w:rsidR="00B8622B" w:rsidRPr="00542EB9" w:rsidRDefault="00B8622B" w:rsidP="5DD21FD3">
            <w:pPr>
              <w:spacing w:before="60" w:after="60"/>
              <w:jc w:val="center"/>
              <w:rPr>
                <w:b/>
                <w:bCs/>
                <w:noProof/>
                <w:sz w:val="20"/>
                <w:szCs w:val="20"/>
              </w:rPr>
            </w:pPr>
          </w:p>
        </w:tc>
        <w:tc>
          <w:tcPr>
            <w:tcW w:w="2131" w:type="dxa"/>
            <w:tcBorders>
              <w:top w:val="nil"/>
              <w:left w:val="nil"/>
              <w:bottom w:val="single" w:sz="8" w:space="0" w:color="auto"/>
              <w:right w:val="double" w:sz="4" w:space="0" w:color="auto"/>
            </w:tcBorders>
          </w:tcPr>
          <w:p w14:paraId="38F4F638" w14:textId="16D0AD58" w:rsidR="00B8622B" w:rsidRPr="00542EB9" w:rsidRDefault="2FBC52D8" w:rsidP="5DD21FD3">
            <w:pPr>
              <w:spacing w:before="60"/>
              <w:jc w:val="center"/>
              <w:rPr>
                <w:b/>
                <w:bCs/>
                <w:noProof/>
                <w:sz w:val="20"/>
                <w:szCs w:val="20"/>
              </w:rPr>
            </w:pPr>
            <w:r w:rsidRPr="00542EB9">
              <w:rPr>
                <w:b/>
                <w:bCs/>
                <w:noProof/>
                <w:sz w:val="20"/>
                <w:szCs w:val="20"/>
              </w:rPr>
              <w:t>Total</w:t>
            </w:r>
          </w:p>
        </w:tc>
      </w:tr>
      <w:tr w:rsidR="00E53309" w:rsidRPr="00542EB9" w14:paraId="782287AF" w14:textId="289693B8" w:rsidTr="5DD21FD3">
        <w:tc>
          <w:tcPr>
            <w:tcW w:w="10353" w:type="dxa"/>
            <w:gridSpan w:val="4"/>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14:paraId="33ADB75C" w14:textId="52AA0302" w:rsidR="00E53309" w:rsidRPr="00542EB9" w:rsidRDefault="00E53309" w:rsidP="5DD21FD3">
            <w:pPr>
              <w:spacing w:before="120" w:after="120"/>
              <w:jc w:val="left"/>
              <w:rPr>
                <w:b/>
                <w:bCs/>
                <w:noProof/>
                <w:sz w:val="20"/>
                <w:szCs w:val="20"/>
                <w:lang w:eastAsia="en-GB"/>
              </w:rPr>
            </w:pPr>
            <w:r w:rsidRPr="00542EB9">
              <w:rPr>
                <w:b/>
                <w:bCs/>
                <w:noProof/>
                <w:sz w:val="20"/>
                <w:szCs w:val="20"/>
              </w:rPr>
              <w:t>Businesses</w:t>
            </w:r>
          </w:p>
        </w:tc>
      </w:tr>
      <w:tr w:rsidR="00B8622B" w:rsidRPr="00542EB9" w14:paraId="7EDC2426" w14:textId="2A602322"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FBC4C7E" w14:textId="77777777" w:rsidR="00B8622B" w:rsidRPr="00542EB9" w:rsidRDefault="2FBC52D8" w:rsidP="5DD21FD3">
            <w:pPr>
              <w:spacing w:before="60" w:after="60"/>
              <w:ind w:left="284"/>
              <w:jc w:val="left"/>
              <w:rPr>
                <w:noProof/>
                <w:sz w:val="20"/>
                <w:szCs w:val="20"/>
              </w:rPr>
            </w:pPr>
            <w:r w:rsidRPr="00542EB9">
              <w:rPr>
                <w:noProof/>
                <w:sz w:val="20"/>
                <w:szCs w:val="20"/>
              </w:rPr>
              <w:t>New administrative burdens (INs)</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F6ACB" w14:textId="7AFA019B" w:rsidR="00B8622B" w:rsidRPr="00542EB9" w:rsidRDefault="00010629" w:rsidP="5DD21FD3">
            <w:pPr>
              <w:rPr>
                <w:noProof/>
                <w:sz w:val="20"/>
                <w:szCs w:val="20"/>
                <w:lang w:eastAsia="en-GB"/>
              </w:rPr>
            </w:pPr>
            <w:r w:rsidRPr="00542EB9">
              <w:rPr>
                <w:noProof/>
                <w:sz w:val="20"/>
                <w:szCs w:val="20"/>
                <w:lang w:eastAsia="en-GB"/>
              </w:rPr>
              <w:t>None</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1140D29A" w14:textId="77777777" w:rsidR="00B8622B" w:rsidRPr="00542EB9" w:rsidRDefault="00B8622B" w:rsidP="5DD21FD3">
            <w:pPr>
              <w:rPr>
                <w:noProof/>
                <w:sz w:val="20"/>
                <w:szCs w:val="20"/>
                <w:lang w:eastAsia="en-GB"/>
              </w:rPr>
            </w:pPr>
          </w:p>
        </w:tc>
        <w:tc>
          <w:tcPr>
            <w:tcW w:w="2131" w:type="dxa"/>
            <w:tcBorders>
              <w:top w:val="nil"/>
              <w:left w:val="nil"/>
              <w:bottom w:val="single" w:sz="8" w:space="0" w:color="auto"/>
              <w:right w:val="double" w:sz="4" w:space="0" w:color="auto"/>
            </w:tcBorders>
            <w:vAlign w:val="center"/>
          </w:tcPr>
          <w:p w14:paraId="4530999B" w14:textId="77777777" w:rsidR="00B8622B" w:rsidRPr="00542EB9" w:rsidRDefault="00B8622B" w:rsidP="5DD21FD3">
            <w:pPr>
              <w:jc w:val="center"/>
              <w:rPr>
                <w:noProof/>
                <w:sz w:val="20"/>
                <w:szCs w:val="20"/>
                <w:lang w:eastAsia="en-GB"/>
              </w:rPr>
            </w:pPr>
          </w:p>
        </w:tc>
      </w:tr>
      <w:tr w:rsidR="00B8622B" w:rsidRPr="00542EB9" w14:paraId="39934E1F" w14:textId="7481A95F"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E63CD93" w14:textId="77777777" w:rsidR="00B8622B" w:rsidRPr="00542EB9" w:rsidRDefault="2FBC52D8" w:rsidP="5DD21FD3">
            <w:pPr>
              <w:spacing w:before="60" w:after="60"/>
              <w:ind w:left="284"/>
              <w:jc w:val="left"/>
              <w:rPr>
                <w:noProof/>
                <w:sz w:val="20"/>
                <w:szCs w:val="20"/>
              </w:rPr>
            </w:pPr>
            <w:r w:rsidRPr="00542EB9">
              <w:rPr>
                <w:noProof/>
                <w:sz w:val="20"/>
                <w:szCs w:val="20"/>
              </w:rPr>
              <w:t>Removed administrative burdens (OUTs)</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25F56" w14:textId="2364549C" w:rsidR="00B8622B" w:rsidRPr="00542EB9" w:rsidRDefault="00BA207C" w:rsidP="5DD21FD3">
            <w:pPr>
              <w:rPr>
                <w:noProof/>
                <w:sz w:val="20"/>
                <w:szCs w:val="20"/>
                <w:lang w:eastAsia="en-GB"/>
              </w:rPr>
            </w:pPr>
            <w:r w:rsidRPr="00542EB9">
              <w:rPr>
                <w:noProof/>
                <w:sz w:val="20"/>
                <w:szCs w:val="20"/>
              </w:rPr>
              <w:t>Simplified and common proce</w:t>
            </w:r>
            <w:r w:rsidR="00FF76C3" w:rsidRPr="00542EB9">
              <w:rPr>
                <w:noProof/>
                <w:sz w:val="20"/>
                <w:szCs w:val="20"/>
              </w:rPr>
              <w:t xml:space="preserve">dure across programme </w:t>
            </w:r>
            <w:r w:rsidR="00936000" w:rsidRPr="00542EB9">
              <w:rPr>
                <w:noProof/>
                <w:sz w:val="20"/>
                <w:szCs w:val="20"/>
              </w:rPr>
              <w:t xml:space="preserve">- potential indirect </w:t>
            </w:r>
            <w:r w:rsidR="00292AFC" w:rsidRPr="00542EB9">
              <w:rPr>
                <w:noProof/>
                <w:sz w:val="20"/>
                <w:szCs w:val="20"/>
              </w:rPr>
              <w:t>cost savings</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62A04566" w14:textId="77777777" w:rsidR="00B8622B" w:rsidRPr="00542EB9" w:rsidRDefault="00B8622B" w:rsidP="5DD21FD3">
            <w:pPr>
              <w:rPr>
                <w:noProof/>
                <w:sz w:val="20"/>
                <w:szCs w:val="20"/>
                <w:lang w:eastAsia="en-GB"/>
              </w:rPr>
            </w:pPr>
          </w:p>
        </w:tc>
        <w:tc>
          <w:tcPr>
            <w:tcW w:w="2131" w:type="dxa"/>
            <w:tcBorders>
              <w:top w:val="nil"/>
              <w:left w:val="nil"/>
              <w:bottom w:val="single" w:sz="8" w:space="0" w:color="auto"/>
              <w:right w:val="double" w:sz="4" w:space="0" w:color="auto"/>
            </w:tcBorders>
            <w:vAlign w:val="center"/>
          </w:tcPr>
          <w:p w14:paraId="2D4B8817" w14:textId="77777777" w:rsidR="00B8622B" w:rsidRPr="00542EB9" w:rsidRDefault="00B8622B" w:rsidP="5DD21FD3">
            <w:pPr>
              <w:jc w:val="center"/>
              <w:rPr>
                <w:noProof/>
                <w:sz w:val="20"/>
                <w:szCs w:val="20"/>
                <w:lang w:eastAsia="en-GB"/>
              </w:rPr>
            </w:pPr>
          </w:p>
        </w:tc>
      </w:tr>
      <w:tr w:rsidR="00E53309" w:rsidRPr="00542EB9" w14:paraId="526942CD" w14:textId="45B0A775"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328BC99" w14:textId="5071C6C1" w:rsidR="00B8622B" w:rsidRPr="00542EB9" w:rsidRDefault="2FBC52D8" w:rsidP="5DD21FD3">
            <w:pPr>
              <w:spacing w:before="60" w:after="60"/>
              <w:ind w:left="284"/>
              <w:jc w:val="left"/>
              <w:rPr>
                <w:b/>
                <w:bCs/>
                <w:i/>
                <w:iCs/>
                <w:noProof/>
                <w:sz w:val="20"/>
                <w:szCs w:val="20"/>
              </w:rPr>
            </w:pPr>
            <w:r w:rsidRPr="00542EB9">
              <w:rPr>
                <w:b/>
                <w:bCs/>
                <w:i/>
                <w:iCs/>
                <w:noProof/>
                <w:sz w:val="20"/>
                <w:szCs w:val="20"/>
              </w:rPr>
              <w:t>Net administrative burdens</w:t>
            </w:r>
            <w:r w:rsidR="000E345B" w:rsidRPr="00542EB9">
              <w:rPr>
                <w:b/>
                <w:bCs/>
                <w:i/>
                <w:iCs/>
                <w:noProof/>
                <w:sz w:val="20"/>
                <w:szCs w:val="20"/>
              </w:rPr>
              <w:t>*</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D82269" w14:textId="05B4D574" w:rsidR="00B8622B" w:rsidRPr="00542EB9" w:rsidRDefault="00CF7280" w:rsidP="00B26F84">
            <w:pPr>
              <w:spacing w:after="0"/>
              <w:rPr>
                <w:noProof/>
                <w:sz w:val="20"/>
                <w:szCs w:val="20"/>
              </w:rPr>
            </w:pPr>
            <w:r w:rsidRPr="00542EB9">
              <w:rPr>
                <w:noProof/>
                <w:sz w:val="20"/>
                <w:szCs w:val="20"/>
              </w:rPr>
              <w:t>Overall cost savings</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7AACCE0A" w14:textId="77777777" w:rsidR="00B8622B" w:rsidRPr="00542EB9" w:rsidRDefault="00B8622B" w:rsidP="5DD21FD3">
            <w:pPr>
              <w:jc w:val="center"/>
              <w:rPr>
                <w:noProof/>
                <w:sz w:val="20"/>
                <w:szCs w:val="20"/>
                <w:lang w:eastAsia="en-GB"/>
              </w:rPr>
            </w:pPr>
          </w:p>
        </w:tc>
        <w:tc>
          <w:tcPr>
            <w:tcW w:w="2131" w:type="dxa"/>
            <w:tcBorders>
              <w:top w:val="nil"/>
              <w:left w:val="nil"/>
              <w:bottom w:val="single" w:sz="8" w:space="0" w:color="auto"/>
              <w:right w:val="double" w:sz="4" w:space="0" w:color="auto"/>
            </w:tcBorders>
            <w:vAlign w:val="center"/>
          </w:tcPr>
          <w:p w14:paraId="251509D3" w14:textId="77777777" w:rsidR="00B8622B" w:rsidRPr="00542EB9" w:rsidRDefault="00B8622B" w:rsidP="5DD21FD3">
            <w:pPr>
              <w:jc w:val="center"/>
              <w:rPr>
                <w:noProof/>
                <w:sz w:val="20"/>
                <w:szCs w:val="20"/>
                <w:lang w:eastAsia="en-GB"/>
              </w:rPr>
            </w:pPr>
          </w:p>
        </w:tc>
      </w:tr>
      <w:tr w:rsidR="00E53309" w:rsidRPr="00542EB9" w14:paraId="2D3BEF2B" w14:textId="3326A0B8" w:rsidTr="009C4046">
        <w:trPr>
          <w:trHeight w:val="549"/>
        </w:trPr>
        <w:tc>
          <w:tcPr>
            <w:tcW w:w="2540"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2B34A557" w14:textId="493D6ACA" w:rsidR="00B8622B" w:rsidRPr="00542EB9" w:rsidRDefault="2FBC52D8" w:rsidP="5DD21FD3">
            <w:pPr>
              <w:spacing w:before="60" w:after="60"/>
              <w:ind w:left="284"/>
              <w:jc w:val="left"/>
              <w:rPr>
                <w:i/>
                <w:iCs/>
                <w:noProof/>
                <w:sz w:val="20"/>
                <w:szCs w:val="20"/>
              </w:rPr>
            </w:pPr>
            <w:bookmarkStart w:id="99" w:name="_Hlk126312690"/>
            <w:r w:rsidRPr="00542EB9">
              <w:rPr>
                <w:noProof/>
                <w:sz w:val="20"/>
                <w:szCs w:val="20"/>
              </w:rPr>
              <w:t>Adjustment costs</w:t>
            </w:r>
            <w:r w:rsidR="000E345B" w:rsidRPr="00542EB9">
              <w:rPr>
                <w:noProof/>
                <w:sz w:val="20"/>
                <w:szCs w:val="20"/>
              </w:rPr>
              <w:t>**</w:t>
            </w:r>
          </w:p>
        </w:tc>
        <w:tc>
          <w:tcPr>
            <w:tcW w:w="2705" w:type="dxa"/>
            <w:tcBorders>
              <w:top w:val="single" w:sz="8" w:space="0" w:color="auto"/>
              <w:left w:val="nil"/>
              <w:bottom w:val="double" w:sz="4" w:space="0" w:color="auto"/>
              <w:right w:val="single" w:sz="8" w:space="0" w:color="auto"/>
            </w:tcBorders>
            <w:tcMar>
              <w:top w:w="0" w:type="dxa"/>
              <w:left w:w="108" w:type="dxa"/>
              <w:bottom w:w="0" w:type="dxa"/>
              <w:right w:w="108" w:type="dxa"/>
            </w:tcMar>
            <w:vAlign w:val="center"/>
            <w:hideMark/>
          </w:tcPr>
          <w:p w14:paraId="7739E637" w14:textId="5609C975" w:rsidR="00B8622B" w:rsidRPr="00542EB9" w:rsidRDefault="00B8622B" w:rsidP="5DD21FD3">
            <w:pPr>
              <w:spacing w:before="60" w:after="60"/>
              <w:jc w:val="center"/>
              <w:rPr>
                <w:noProof/>
                <w:sz w:val="20"/>
                <w:szCs w:val="20"/>
              </w:rPr>
            </w:pPr>
          </w:p>
        </w:tc>
        <w:tc>
          <w:tcPr>
            <w:tcW w:w="2977" w:type="dxa"/>
            <w:tcBorders>
              <w:top w:val="nil"/>
              <w:left w:val="single" w:sz="8" w:space="0" w:color="auto"/>
              <w:bottom w:val="double" w:sz="4" w:space="0" w:color="auto"/>
              <w:right w:val="double" w:sz="4" w:space="0" w:color="auto"/>
            </w:tcBorders>
            <w:vAlign w:val="center"/>
          </w:tcPr>
          <w:p w14:paraId="1DB7BF8B" w14:textId="4EDFB545" w:rsidR="00B8622B" w:rsidRPr="00542EB9" w:rsidRDefault="00B8622B" w:rsidP="5DD21FD3">
            <w:pPr>
              <w:spacing w:before="60" w:after="60"/>
              <w:jc w:val="center"/>
              <w:rPr>
                <w:noProof/>
                <w:sz w:val="20"/>
                <w:szCs w:val="20"/>
              </w:rPr>
            </w:pPr>
          </w:p>
        </w:tc>
        <w:tc>
          <w:tcPr>
            <w:tcW w:w="2131" w:type="dxa"/>
            <w:tcBorders>
              <w:top w:val="single" w:sz="8" w:space="0" w:color="auto"/>
              <w:left w:val="single" w:sz="4" w:space="0" w:color="auto"/>
              <w:bottom w:val="double" w:sz="4" w:space="0" w:color="auto"/>
              <w:right w:val="double" w:sz="4" w:space="0" w:color="auto"/>
              <w:tl2br w:val="double" w:sz="4" w:space="0" w:color="auto"/>
            </w:tcBorders>
            <w:vAlign w:val="center"/>
          </w:tcPr>
          <w:p w14:paraId="6BF08E1B" w14:textId="77777777" w:rsidR="00B8622B" w:rsidRPr="00542EB9" w:rsidRDefault="00B8622B" w:rsidP="5DD21FD3">
            <w:pPr>
              <w:spacing w:before="60" w:after="60"/>
              <w:jc w:val="center"/>
              <w:rPr>
                <w:noProof/>
                <w:sz w:val="20"/>
                <w:szCs w:val="20"/>
              </w:rPr>
            </w:pPr>
          </w:p>
        </w:tc>
        <w:bookmarkEnd w:id="99"/>
      </w:tr>
      <w:tr w:rsidR="00E53309" w:rsidRPr="00542EB9" w14:paraId="509B4F84" w14:textId="068884CB" w:rsidTr="5DD21FD3">
        <w:tc>
          <w:tcPr>
            <w:tcW w:w="10353" w:type="dxa"/>
            <w:gridSpan w:val="4"/>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14:paraId="3E5B1146" w14:textId="2F2647E4" w:rsidR="00E53309" w:rsidRPr="00542EB9" w:rsidRDefault="00E53309" w:rsidP="5DD21FD3">
            <w:pPr>
              <w:spacing w:before="120" w:after="120"/>
              <w:jc w:val="left"/>
              <w:rPr>
                <w:b/>
                <w:bCs/>
                <w:noProof/>
                <w:sz w:val="20"/>
                <w:szCs w:val="20"/>
                <w:lang w:eastAsia="en-GB"/>
              </w:rPr>
            </w:pPr>
            <w:r w:rsidRPr="00542EB9">
              <w:rPr>
                <w:b/>
                <w:bCs/>
                <w:noProof/>
                <w:sz w:val="20"/>
                <w:szCs w:val="20"/>
              </w:rPr>
              <w:t>Citizens</w:t>
            </w:r>
          </w:p>
        </w:tc>
      </w:tr>
      <w:tr w:rsidR="00B8622B" w:rsidRPr="00542EB9" w14:paraId="634AEA59" w14:textId="46B286BE"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146662C" w14:textId="77777777" w:rsidR="00B8622B" w:rsidRPr="00542EB9" w:rsidRDefault="2FBC52D8" w:rsidP="5DD21FD3">
            <w:pPr>
              <w:spacing w:before="60" w:after="60"/>
              <w:ind w:left="284"/>
              <w:jc w:val="left"/>
              <w:rPr>
                <w:noProof/>
                <w:sz w:val="20"/>
                <w:szCs w:val="20"/>
              </w:rPr>
            </w:pPr>
            <w:r w:rsidRPr="00542EB9">
              <w:rPr>
                <w:noProof/>
                <w:sz w:val="20"/>
                <w:szCs w:val="20"/>
              </w:rPr>
              <w:t>New administrative burdens (INs)</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CAA36A" w14:textId="4EE2CD80" w:rsidR="00B8622B" w:rsidRPr="00542EB9" w:rsidRDefault="009C4046" w:rsidP="5DD21FD3">
            <w:pPr>
              <w:rPr>
                <w:noProof/>
                <w:sz w:val="20"/>
                <w:szCs w:val="20"/>
                <w:lang w:eastAsia="en-GB"/>
              </w:rPr>
            </w:pPr>
            <w:r w:rsidRPr="00542EB9">
              <w:rPr>
                <w:noProof/>
                <w:sz w:val="20"/>
                <w:szCs w:val="20"/>
                <w:lang w:eastAsia="en-GB"/>
              </w:rPr>
              <w:t>None</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5CEBF60B" w14:textId="77777777" w:rsidR="00B8622B" w:rsidRPr="00542EB9" w:rsidRDefault="00B8622B" w:rsidP="5DD21FD3">
            <w:pPr>
              <w:rPr>
                <w:noProof/>
                <w:sz w:val="20"/>
                <w:szCs w:val="20"/>
                <w:lang w:eastAsia="en-GB"/>
              </w:rPr>
            </w:pPr>
          </w:p>
        </w:tc>
        <w:tc>
          <w:tcPr>
            <w:tcW w:w="2131" w:type="dxa"/>
            <w:tcBorders>
              <w:top w:val="nil"/>
              <w:left w:val="nil"/>
              <w:bottom w:val="single" w:sz="8" w:space="0" w:color="auto"/>
              <w:right w:val="double" w:sz="4" w:space="0" w:color="auto"/>
            </w:tcBorders>
            <w:vAlign w:val="center"/>
          </w:tcPr>
          <w:p w14:paraId="49E7F878" w14:textId="77777777" w:rsidR="00B8622B" w:rsidRPr="00542EB9" w:rsidRDefault="00B8622B" w:rsidP="5DD21FD3">
            <w:pPr>
              <w:jc w:val="center"/>
              <w:rPr>
                <w:noProof/>
                <w:sz w:val="20"/>
                <w:szCs w:val="20"/>
                <w:lang w:eastAsia="en-GB"/>
              </w:rPr>
            </w:pPr>
          </w:p>
        </w:tc>
      </w:tr>
      <w:tr w:rsidR="00B8622B" w:rsidRPr="00542EB9" w14:paraId="58610308" w14:textId="6333FE71"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C0D36D1" w14:textId="77777777" w:rsidR="00B8622B" w:rsidRPr="00542EB9" w:rsidRDefault="2FBC52D8" w:rsidP="5DD21FD3">
            <w:pPr>
              <w:spacing w:before="60" w:after="60"/>
              <w:ind w:left="284"/>
              <w:jc w:val="left"/>
              <w:rPr>
                <w:noProof/>
                <w:sz w:val="20"/>
                <w:szCs w:val="20"/>
              </w:rPr>
            </w:pPr>
            <w:r w:rsidRPr="00542EB9">
              <w:rPr>
                <w:noProof/>
                <w:sz w:val="20"/>
                <w:szCs w:val="20"/>
              </w:rPr>
              <w:t>Removed administrative burdens (OUTs)</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CCBA4" w14:textId="13E243CA" w:rsidR="00B8622B" w:rsidRPr="00542EB9" w:rsidRDefault="009C4046" w:rsidP="5DD21FD3">
            <w:pPr>
              <w:rPr>
                <w:noProof/>
                <w:sz w:val="20"/>
                <w:szCs w:val="20"/>
                <w:lang w:eastAsia="en-GB"/>
              </w:rPr>
            </w:pPr>
            <w:r w:rsidRPr="00542EB9">
              <w:rPr>
                <w:noProof/>
                <w:sz w:val="20"/>
                <w:szCs w:val="20"/>
              </w:rPr>
              <w:t>Simplified and common procedure across programme from the Common Rulebook</w:t>
            </w:r>
            <w:r w:rsidR="00292AFC" w:rsidRPr="00542EB9">
              <w:rPr>
                <w:noProof/>
                <w:sz w:val="20"/>
                <w:szCs w:val="20"/>
              </w:rPr>
              <w:t>- potential indirect cost savings</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4A1D12A4" w14:textId="77777777" w:rsidR="00B8622B" w:rsidRPr="00542EB9" w:rsidRDefault="00B8622B" w:rsidP="5DD21FD3">
            <w:pPr>
              <w:rPr>
                <w:noProof/>
                <w:sz w:val="20"/>
                <w:szCs w:val="20"/>
                <w:lang w:eastAsia="en-GB"/>
              </w:rPr>
            </w:pPr>
          </w:p>
        </w:tc>
        <w:tc>
          <w:tcPr>
            <w:tcW w:w="2131" w:type="dxa"/>
            <w:tcBorders>
              <w:top w:val="nil"/>
              <w:left w:val="nil"/>
              <w:bottom w:val="single" w:sz="8" w:space="0" w:color="auto"/>
              <w:right w:val="double" w:sz="4" w:space="0" w:color="auto"/>
            </w:tcBorders>
            <w:vAlign w:val="center"/>
          </w:tcPr>
          <w:p w14:paraId="5CB50FA3" w14:textId="77777777" w:rsidR="00B8622B" w:rsidRPr="00542EB9" w:rsidRDefault="00B8622B" w:rsidP="5DD21FD3">
            <w:pPr>
              <w:jc w:val="center"/>
              <w:rPr>
                <w:noProof/>
                <w:sz w:val="20"/>
                <w:szCs w:val="20"/>
                <w:lang w:eastAsia="en-GB"/>
              </w:rPr>
            </w:pPr>
          </w:p>
        </w:tc>
      </w:tr>
      <w:tr w:rsidR="00E53309" w:rsidRPr="00542EB9" w14:paraId="794CC03F" w14:textId="2925D135" w:rsidTr="009C4046">
        <w:tc>
          <w:tcPr>
            <w:tcW w:w="254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1CBE2180" w14:textId="121B06EA" w:rsidR="00B8622B" w:rsidRPr="00542EB9" w:rsidRDefault="2FBC52D8" w:rsidP="5DD21FD3">
            <w:pPr>
              <w:spacing w:before="60" w:after="60"/>
              <w:ind w:left="284"/>
              <w:jc w:val="left"/>
              <w:rPr>
                <w:b/>
                <w:bCs/>
                <w:noProof/>
                <w:sz w:val="20"/>
                <w:szCs w:val="20"/>
              </w:rPr>
            </w:pPr>
            <w:r w:rsidRPr="00542EB9">
              <w:rPr>
                <w:b/>
                <w:bCs/>
                <w:i/>
                <w:iCs/>
                <w:noProof/>
                <w:sz w:val="20"/>
                <w:szCs w:val="20"/>
              </w:rPr>
              <w:t>Net administrative burdens</w:t>
            </w:r>
            <w:r w:rsidR="000E345B" w:rsidRPr="00542EB9">
              <w:rPr>
                <w:b/>
                <w:bCs/>
                <w:i/>
                <w:iCs/>
                <w:noProof/>
                <w:sz w:val="20"/>
                <w:szCs w:val="20"/>
              </w:rPr>
              <w:t>*</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17EBF0" w14:textId="553A4E78" w:rsidR="00B8622B" w:rsidRPr="00542EB9" w:rsidRDefault="00292AFC" w:rsidP="5DD21FD3">
            <w:pPr>
              <w:rPr>
                <w:noProof/>
                <w:sz w:val="20"/>
                <w:szCs w:val="20"/>
                <w:lang w:eastAsia="en-GB"/>
              </w:rPr>
            </w:pPr>
            <w:r w:rsidRPr="00542EB9">
              <w:rPr>
                <w:noProof/>
                <w:sz w:val="20"/>
                <w:szCs w:val="20"/>
              </w:rPr>
              <w:t>Overall cost savings</w:t>
            </w:r>
            <w:r w:rsidRPr="00542EB9" w:rsidDel="00292AFC">
              <w:rPr>
                <w:noProof/>
                <w:sz w:val="20"/>
                <w:szCs w:val="20"/>
              </w:rPr>
              <w:t xml:space="preserve"> </w:t>
            </w:r>
          </w:p>
        </w:tc>
        <w:tc>
          <w:tcPr>
            <w:tcW w:w="2977" w:type="dxa"/>
            <w:tcBorders>
              <w:top w:val="nil"/>
              <w:left w:val="nil"/>
              <w:bottom w:val="single" w:sz="8" w:space="0" w:color="auto"/>
              <w:right w:val="double" w:sz="4" w:space="0" w:color="auto"/>
            </w:tcBorders>
            <w:tcMar>
              <w:top w:w="0" w:type="dxa"/>
              <w:left w:w="108" w:type="dxa"/>
              <w:bottom w:w="0" w:type="dxa"/>
              <w:right w:w="108" w:type="dxa"/>
            </w:tcMar>
            <w:vAlign w:val="center"/>
          </w:tcPr>
          <w:p w14:paraId="41C3381E" w14:textId="77777777" w:rsidR="00B8622B" w:rsidRPr="00542EB9" w:rsidRDefault="00B8622B" w:rsidP="5DD21FD3">
            <w:pPr>
              <w:rPr>
                <w:noProof/>
                <w:sz w:val="20"/>
                <w:szCs w:val="20"/>
                <w:lang w:eastAsia="en-GB"/>
              </w:rPr>
            </w:pPr>
          </w:p>
        </w:tc>
        <w:tc>
          <w:tcPr>
            <w:tcW w:w="2131" w:type="dxa"/>
            <w:tcBorders>
              <w:top w:val="nil"/>
              <w:left w:val="nil"/>
              <w:bottom w:val="single" w:sz="8" w:space="0" w:color="auto"/>
              <w:right w:val="double" w:sz="4" w:space="0" w:color="auto"/>
            </w:tcBorders>
            <w:vAlign w:val="center"/>
          </w:tcPr>
          <w:p w14:paraId="2AD7B4CC" w14:textId="77777777" w:rsidR="00B8622B" w:rsidRPr="00542EB9" w:rsidRDefault="00B8622B" w:rsidP="5DD21FD3">
            <w:pPr>
              <w:jc w:val="center"/>
              <w:rPr>
                <w:noProof/>
                <w:sz w:val="20"/>
                <w:szCs w:val="20"/>
                <w:lang w:eastAsia="en-GB"/>
              </w:rPr>
            </w:pPr>
          </w:p>
        </w:tc>
      </w:tr>
      <w:tr w:rsidR="00E53309" w:rsidRPr="00542EB9" w14:paraId="513F1122" w14:textId="303FC815" w:rsidTr="009C4046">
        <w:trPr>
          <w:trHeight w:val="557"/>
        </w:trPr>
        <w:tc>
          <w:tcPr>
            <w:tcW w:w="2540"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10781991" w14:textId="32702D0E" w:rsidR="00B8622B" w:rsidRPr="00542EB9" w:rsidRDefault="2FBC52D8" w:rsidP="5DD21FD3">
            <w:pPr>
              <w:spacing w:before="60" w:after="60"/>
              <w:ind w:left="284"/>
              <w:jc w:val="left"/>
              <w:rPr>
                <w:i/>
                <w:iCs/>
                <w:noProof/>
                <w:sz w:val="20"/>
                <w:szCs w:val="20"/>
              </w:rPr>
            </w:pPr>
            <w:r w:rsidRPr="00542EB9">
              <w:rPr>
                <w:noProof/>
                <w:sz w:val="20"/>
                <w:szCs w:val="20"/>
              </w:rPr>
              <w:t>Adjustment costs</w:t>
            </w:r>
            <w:r w:rsidR="000E345B" w:rsidRPr="00542EB9">
              <w:rPr>
                <w:noProof/>
                <w:sz w:val="20"/>
                <w:szCs w:val="20"/>
              </w:rPr>
              <w:t>**</w:t>
            </w:r>
          </w:p>
        </w:tc>
        <w:tc>
          <w:tcPr>
            <w:tcW w:w="2705" w:type="dxa"/>
            <w:tcBorders>
              <w:top w:val="single" w:sz="8" w:space="0" w:color="auto"/>
              <w:left w:val="nil"/>
              <w:bottom w:val="double" w:sz="4" w:space="0" w:color="auto"/>
              <w:right w:val="single" w:sz="8" w:space="0" w:color="auto"/>
            </w:tcBorders>
            <w:tcMar>
              <w:top w:w="0" w:type="dxa"/>
              <w:left w:w="108" w:type="dxa"/>
              <w:bottom w:w="0" w:type="dxa"/>
              <w:right w:w="108" w:type="dxa"/>
            </w:tcMar>
            <w:vAlign w:val="center"/>
            <w:hideMark/>
          </w:tcPr>
          <w:p w14:paraId="6F9D3B21" w14:textId="1117F3CE" w:rsidR="00B8622B" w:rsidRPr="00542EB9" w:rsidRDefault="00B8622B" w:rsidP="5DD21FD3">
            <w:pPr>
              <w:spacing w:before="60" w:after="60"/>
              <w:jc w:val="center"/>
              <w:rPr>
                <w:noProof/>
                <w:sz w:val="20"/>
                <w:szCs w:val="20"/>
              </w:rPr>
            </w:pPr>
          </w:p>
        </w:tc>
        <w:tc>
          <w:tcPr>
            <w:tcW w:w="2977" w:type="dxa"/>
            <w:tcBorders>
              <w:top w:val="nil"/>
              <w:left w:val="single" w:sz="8" w:space="0" w:color="auto"/>
              <w:bottom w:val="double" w:sz="4" w:space="0" w:color="auto"/>
              <w:right w:val="double" w:sz="4" w:space="0" w:color="auto"/>
            </w:tcBorders>
            <w:vAlign w:val="center"/>
          </w:tcPr>
          <w:p w14:paraId="6A7979B5" w14:textId="18FAFBDE" w:rsidR="00B8622B" w:rsidRPr="00542EB9" w:rsidRDefault="00B8622B" w:rsidP="5DD21FD3">
            <w:pPr>
              <w:spacing w:before="60" w:after="60"/>
              <w:jc w:val="center"/>
              <w:rPr>
                <w:noProof/>
                <w:sz w:val="20"/>
                <w:szCs w:val="20"/>
              </w:rPr>
            </w:pPr>
          </w:p>
        </w:tc>
        <w:tc>
          <w:tcPr>
            <w:tcW w:w="2131" w:type="dxa"/>
            <w:tcBorders>
              <w:top w:val="single" w:sz="8" w:space="0" w:color="auto"/>
              <w:left w:val="single" w:sz="4" w:space="0" w:color="auto"/>
              <w:bottom w:val="double" w:sz="4" w:space="0" w:color="auto"/>
              <w:right w:val="double" w:sz="4" w:space="0" w:color="auto"/>
              <w:tl2br w:val="double" w:sz="4" w:space="0" w:color="auto"/>
            </w:tcBorders>
            <w:vAlign w:val="center"/>
          </w:tcPr>
          <w:p w14:paraId="19EB9C88" w14:textId="77777777" w:rsidR="00B8622B" w:rsidRPr="00542EB9" w:rsidRDefault="00B8622B" w:rsidP="5DD21FD3">
            <w:pPr>
              <w:spacing w:before="60" w:after="60"/>
              <w:jc w:val="center"/>
              <w:rPr>
                <w:noProof/>
                <w:sz w:val="20"/>
                <w:szCs w:val="20"/>
              </w:rPr>
            </w:pPr>
          </w:p>
        </w:tc>
      </w:tr>
      <w:tr w:rsidR="00E53309" w:rsidRPr="00542EB9" w14:paraId="1144E39A" w14:textId="7EE0CB25" w:rsidTr="009C4046">
        <w:trPr>
          <w:trHeight w:val="467"/>
        </w:trPr>
        <w:tc>
          <w:tcPr>
            <w:tcW w:w="2540"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tcPr>
          <w:p w14:paraId="2932600B" w14:textId="47CE971A" w:rsidR="00B8622B" w:rsidRPr="00542EB9" w:rsidRDefault="2FBC52D8" w:rsidP="5DD21FD3">
            <w:pPr>
              <w:spacing w:before="60" w:after="60"/>
              <w:ind w:left="35"/>
              <w:jc w:val="left"/>
              <w:rPr>
                <w:noProof/>
                <w:sz w:val="20"/>
                <w:szCs w:val="20"/>
              </w:rPr>
            </w:pPr>
            <w:r w:rsidRPr="00542EB9">
              <w:rPr>
                <w:b/>
                <w:bCs/>
                <w:noProof/>
                <w:sz w:val="20"/>
                <w:szCs w:val="20"/>
              </w:rPr>
              <w:t>T</w:t>
            </w:r>
            <w:r w:rsidR="2DCFD74D" w:rsidRPr="00542EB9">
              <w:rPr>
                <w:b/>
                <w:bCs/>
                <w:noProof/>
                <w:sz w:val="20"/>
                <w:szCs w:val="20"/>
              </w:rPr>
              <w:t>otal administrative burdens</w:t>
            </w:r>
            <w:r w:rsidR="000E345B" w:rsidRPr="00542EB9">
              <w:rPr>
                <w:b/>
                <w:bCs/>
                <w:noProof/>
                <w:sz w:val="20"/>
                <w:szCs w:val="20"/>
              </w:rPr>
              <w:t>***</w:t>
            </w:r>
          </w:p>
        </w:tc>
        <w:tc>
          <w:tcPr>
            <w:tcW w:w="270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tcPr>
          <w:p w14:paraId="0C9B4085" w14:textId="7D73D805" w:rsidR="00B8622B" w:rsidRPr="00542EB9" w:rsidRDefault="00C519D7" w:rsidP="5DD21FD3">
            <w:pPr>
              <w:spacing w:before="60" w:after="60"/>
              <w:jc w:val="center"/>
              <w:rPr>
                <w:b/>
                <w:noProof/>
                <w:sz w:val="20"/>
                <w:szCs w:val="20"/>
              </w:rPr>
            </w:pPr>
            <w:r w:rsidRPr="00542EB9">
              <w:rPr>
                <w:b/>
                <w:noProof/>
                <w:sz w:val="20"/>
                <w:szCs w:val="20"/>
              </w:rPr>
              <w:t xml:space="preserve">Overall costs saving </w:t>
            </w:r>
          </w:p>
        </w:tc>
        <w:tc>
          <w:tcPr>
            <w:tcW w:w="2977" w:type="dxa"/>
            <w:tcBorders>
              <w:top w:val="double" w:sz="4" w:space="0" w:color="auto"/>
              <w:left w:val="single" w:sz="8" w:space="0" w:color="auto"/>
              <w:bottom w:val="double" w:sz="4" w:space="0" w:color="auto"/>
              <w:right w:val="double" w:sz="4" w:space="0" w:color="auto"/>
            </w:tcBorders>
            <w:vAlign w:val="center"/>
          </w:tcPr>
          <w:p w14:paraId="3B06DC79" w14:textId="77777777" w:rsidR="00B8622B" w:rsidRPr="00542EB9" w:rsidRDefault="00B8622B" w:rsidP="5DD21FD3">
            <w:pPr>
              <w:spacing w:before="60" w:after="60"/>
              <w:jc w:val="center"/>
              <w:rPr>
                <w:b/>
                <w:bCs/>
                <w:noProof/>
                <w:sz w:val="20"/>
                <w:szCs w:val="20"/>
              </w:rPr>
            </w:pPr>
          </w:p>
        </w:tc>
        <w:tc>
          <w:tcPr>
            <w:tcW w:w="2131" w:type="dxa"/>
            <w:tcBorders>
              <w:top w:val="double" w:sz="4" w:space="0" w:color="auto"/>
              <w:left w:val="single" w:sz="4" w:space="0" w:color="auto"/>
              <w:bottom w:val="double" w:sz="4" w:space="0" w:color="auto"/>
              <w:right w:val="double" w:sz="4" w:space="0" w:color="auto"/>
            </w:tcBorders>
            <w:vAlign w:val="center"/>
          </w:tcPr>
          <w:p w14:paraId="10DE3E0F" w14:textId="77777777" w:rsidR="00B8622B" w:rsidRPr="00542EB9" w:rsidRDefault="00B8622B" w:rsidP="5DD21FD3">
            <w:pPr>
              <w:spacing w:before="60" w:after="60"/>
              <w:jc w:val="center"/>
              <w:rPr>
                <w:b/>
                <w:bCs/>
                <w:noProof/>
                <w:sz w:val="20"/>
                <w:szCs w:val="20"/>
              </w:rPr>
            </w:pPr>
          </w:p>
        </w:tc>
      </w:tr>
    </w:tbl>
    <w:p w14:paraId="669A808F" w14:textId="77777777" w:rsidR="000E345B" w:rsidRPr="00542EB9" w:rsidRDefault="003506A0" w:rsidP="5DD21FD3">
      <w:pPr>
        <w:spacing w:after="0"/>
        <w:ind w:left="-567"/>
        <w:rPr>
          <w:i/>
          <w:iCs/>
          <w:noProof/>
          <w:sz w:val="20"/>
          <w:szCs w:val="20"/>
        </w:rPr>
      </w:pPr>
      <w:r w:rsidRPr="00542EB9">
        <w:rPr>
          <w:i/>
          <w:iCs/>
          <w:noProof/>
          <w:sz w:val="20"/>
          <w:szCs w:val="20"/>
        </w:rPr>
        <w:t>(</w:t>
      </w:r>
      <w:r w:rsidR="000E345B" w:rsidRPr="00542EB9">
        <w:rPr>
          <w:i/>
          <w:iCs/>
          <w:noProof/>
          <w:sz w:val="20"/>
          <w:szCs w:val="20"/>
        </w:rPr>
        <w:t>*</w:t>
      </w:r>
      <w:r w:rsidRPr="00542EB9">
        <w:rPr>
          <w:i/>
          <w:iCs/>
          <w:noProof/>
          <w:sz w:val="20"/>
          <w:szCs w:val="20"/>
        </w:rPr>
        <w:t xml:space="preserve">) Net administrative burdens = INs – OUTs; </w:t>
      </w:r>
    </w:p>
    <w:p w14:paraId="1B757999" w14:textId="77777777" w:rsidR="000E345B" w:rsidRPr="00542EB9" w:rsidRDefault="003506A0" w:rsidP="5DD21FD3">
      <w:pPr>
        <w:spacing w:after="0"/>
        <w:ind w:left="-567"/>
        <w:rPr>
          <w:i/>
          <w:iCs/>
          <w:noProof/>
          <w:sz w:val="20"/>
          <w:szCs w:val="20"/>
        </w:rPr>
      </w:pPr>
      <w:r w:rsidRPr="00542EB9">
        <w:rPr>
          <w:i/>
          <w:iCs/>
          <w:noProof/>
          <w:sz w:val="20"/>
          <w:szCs w:val="20"/>
        </w:rPr>
        <w:t>(</w:t>
      </w:r>
      <w:r w:rsidR="000E345B" w:rsidRPr="00542EB9">
        <w:rPr>
          <w:i/>
          <w:iCs/>
          <w:noProof/>
          <w:sz w:val="20"/>
          <w:szCs w:val="20"/>
        </w:rPr>
        <w:t>**</w:t>
      </w:r>
      <w:r w:rsidRPr="00542EB9">
        <w:rPr>
          <w:i/>
          <w:iCs/>
          <w:noProof/>
          <w:sz w:val="20"/>
          <w:szCs w:val="20"/>
        </w:rPr>
        <w:t>) Adjustment costs falling under the scope of the OIOO approach are the same as reported in Table 2 above.</w:t>
      </w:r>
      <w:bookmarkEnd w:id="98"/>
      <w:r w:rsidR="00315B43" w:rsidRPr="00542EB9">
        <w:rPr>
          <w:i/>
          <w:iCs/>
          <w:noProof/>
          <w:sz w:val="20"/>
          <w:szCs w:val="20"/>
        </w:rPr>
        <w:t xml:space="preserve"> Non-annualised values</w:t>
      </w:r>
      <w:r w:rsidR="00E53309" w:rsidRPr="00542EB9">
        <w:rPr>
          <w:i/>
          <w:iCs/>
          <w:noProof/>
          <w:sz w:val="20"/>
          <w:szCs w:val="20"/>
        </w:rPr>
        <w:t xml:space="preserve">; </w:t>
      </w:r>
    </w:p>
    <w:p w14:paraId="7B813345" w14:textId="157743EC" w:rsidR="003506A0" w:rsidRPr="00542EB9" w:rsidRDefault="00E53309" w:rsidP="5DD21FD3">
      <w:pPr>
        <w:ind w:left="-567"/>
        <w:rPr>
          <w:i/>
          <w:iCs/>
          <w:noProof/>
          <w:sz w:val="20"/>
          <w:szCs w:val="20"/>
        </w:rPr>
      </w:pPr>
      <w:r w:rsidRPr="00542EB9">
        <w:rPr>
          <w:i/>
          <w:iCs/>
          <w:noProof/>
          <w:sz w:val="20"/>
          <w:szCs w:val="20"/>
        </w:rPr>
        <w:t>(</w:t>
      </w:r>
      <w:r w:rsidR="000E345B" w:rsidRPr="00542EB9">
        <w:rPr>
          <w:i/>
          <w:iCs/>
          <w:noProof/>
          <w:sz w:val="20"/>
          <w:szCs w:val="20"/>
        </w:rPr>
        <w:t>***</w:t>
      </w:r>
      <w:r w:rsidRPr="00542EB9">
        <w:rPr>
          <w:i/>
          <w:iCs/>
          <w:noProof/>
          <w:sz w:val="20"/>
          <w:szCs w:val="20"/>
        </w:rPr>
        <w:t xml:space="preserve">) Total administrative burdens = Net administrative burdens for businesses + net administrative burdens </w:t>
      </w:r>
      <w:r w:rsidR="00A7742A" w:rsidRPr="00542EB9">
        <w:rPr>
          <w:i/>
          <w:iCs/>
          <w:noProof/>
          <w:sz w:val="20"/>
          <w:szCs w:val="20"/>
        </w:rPr>
        <w:t>for</w:t>
      </w:r>
      <w:r w:rsidRPr="00542EB9">
        <w:rPr>
          <w:i/>
          <w:iCs/>
          <w:noProof/>
          <w:sz w:val="20"/>
          <w:szCs w:val="20"/>
        </w:rPr>
        <w:t xml:space="preserve"> citizens.</w:t>
      </w:r>
    </w:p>
    <w:p w14:paraId="27E25A66" w14:textId="5822C6B1" w:rsidR="00DE5227" w:rsidRPr="00542EB9" w:rsidRDefault="00DE5227" w:rsidP="5DD21FD3">
      <w:pPr>
        <w:rPr>
          <w:noProof/>
        </w:rPr>
      </w:pPr>
    </w:p>
    <w:p w14:paraId="37D9D5C3" w14:textId="7693F999" w:rsidR="00BB2C31" w:rsidRPr="00581B34" w:rsidRDefault="00BB2C31" w:rsidP="5DD21FD3">
      <w:pPr>
        <w:pStyle w:val="Heading1"/>
        <w:rPr>
          <w:noProof/>
        </w:rPr>
      </w:pPr>
      <w:bookmarkStart w:id="100" w:name="_Toc191909164"/>
      <w:bookmarkStart w:id="101" w:name="_Toc198549077"/>
      <w:r w:rsidRPr="00581B34">
        <w:rPr>
          <w:noProof/>
        </w:rPr>
        <w:t>Relevant sustainable development goals</w:t>
      </w:r>
      <w:bookmarkEnd w:id="100"/>
      <w:bookmarkEnd w:id="101"/>
    </w:p>
    <w:p w14:paraId="3AEA704F" w14:textId="77777777" w:rsidR="009409F1" w:rsidRPr="00542EB9" w:rsidRDefault="009409F1" w:rsidP="5DD21FD3">
      <w:pPr>
        <w:rPr>
          <w:noProof/>
        </w:rPr>
      </w:pPr>
    </w:p>
    <w:tbl>
      <w:tblPr>
        <w:tblStyle w:val="CV11"/>
        <w:tblW w:w="10377" w:type="dxa"/>
        <w:tblInd w:w="-45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2"/>
        <w:gridCol w:w="4111"/>
        <w:gridCol w:w="3714"/>
      </w:tblGrid>
      <w:tr w:rsidR="00BA069C" w:rsidRPr="00542EB9" w14:paraId="01C2396A" w14:textId="77777777" w:rsidTr="5DD21FD3">
        <w:tc>
          <w:tcPr>
            <w:tcW w:w="10377" w:type="dxa"/>
            <w:gridSpan w:val="3"/>
            <w:tcBorders>
              <w:top w:val="double" w:sz="4" w:space="0" w:color="auto"/>
              <w:bottom w:val="single" w:sz="4" w:space="0" w:color="auto"/>
            </w:tcBorders>
            <w:shd w:val="clear" w:color="auto" w:fill="C6D9F1" w:themeFill="text2" w:themeFillTint="33"/>
          </w:tcPr>
          <w:p w14:paraId="4EE351B4" w14:textId="710EB024" w:rsidR="009409F1" w:rsidRPr="00542EB9" w:rsidRDefault="00315B43" w:rsidP="5DD21FD3">
            <w:pPr>
              <w:spacing w:after="0"/>
              <w:rPr>
                <w:b/>
                <w:bCs/>
                <w:noProof/>
                <w:sz w:val="20"/>
                <w:szCs w:val="20"/>
              </w:rPr>
            </w:pPr>
            <w:r w:rsidRPr="00542EB9">
              <w:rPr>
                <w:b/>
                <w:bCs/>
                <w:noProof/>
                <w:sz w:val="20"/>
                <w:szCs w:val="20"/>
              </w:rPr>
              <w:t>IV</w:t>
            </w:r>
            <w:r w:rsidR="009409F1" w:rsidRPr="00542EB9">
              <w:rPr>
                <w:b/>
                <w:bCs/>
                <w:noProof/>
                <w:sz w:val="20"/>
                <w:szCs w:val="20"/>
              </w:rPr>
              <w:t>. Overview of relevant Sustainable Development Goals – Preferred Option(s)</w:t>
            </w:r>
          </w:p>
        </w:tc>
      </w:tr>
      <w:tr w:rsidR="00841B56" w:rsidRPr="00542EB9" w14:paraId="0CE86597" w14:textId="77777777" w:rsidTr="5DD21FD3">
        <w:tc>
          <w:tcPr>
            <w:tcW w:w="2552" w:type="dxa"/>
            <w:tcBorders>
              <w:top w:val="single" w:sz="4" w:space="0" w:color="auto"/>
            </w:tcBorders>
            <w:shd w:val="clear" w:color="auto" w:fill="C6D9F1" w:themeFill="text2" w:themeFillTint="33"/>
          </w:tcPr>
          <w:p w14:paraId="132154E1" w14:textId="77777777" w:rsidR="009409F1" w:rsidRPr="00542EB9" w:rsidRDefault="009409F1" w:rsidP="5DD21FD3">
            <w:pPr>
              <w:spacing w:after="0"/>
              <w:rPr>
                <w:b/>
                <w:bCs/>
                <w:noProof/>
                <w:sz w:val="20"/>
                <w:szCs w:val="20"/>
              </w:rPr>
            </w:pPr>
            <w:r w:rsidRPr="00542EB9">
              <w:rPr>
                <w:b/>
                <w:bCs/>
                <w:noProof/>
                <w:sz w:val="20"/>
                <w:szCs w:val="20"/>
              </w:rPr>
              <w:t>Relevant SDG</w:t>
            </w:r>
          </w:p>
        </w:tc>
        <w:tc>
          <w:tcPr>
            <w:tcW w:w="4111" w:type="dxa"/>
            <w:tcBorders>
              <w:top w:val="single" w:sz="4" w:space="0" w:color="auto"/>
            </w:tcBorders>
            <w:shd w:val="clear" w:color="auto" w:fill="C6D9F1" w:themeFill="text2" w:themeFillTint="33"/>
          </w:tcPr>
          <w:p w14:paraId="00C1E627" w14:textId="77777777" w:rsidR="009409F1" w:rsidRPr="00542EB9" w:rsidRDefault="009409F1" w:rsidP="5DD21FD3">
            <w:pPr>
              <w:spacing w:after="0"/>
              <w:rPr>
                <w:b/>
                <w:bCs/>
                <w:noProof/>
                <w:sz w:val="20"/>
                <w:szCs w:val="20"/>
              </w:rPr>
            </w:pPr>
            <w:r w:rsidRPr="00542EB9">
              <w:rPr>
                <w:b/>
                <w:bCs/>
                <w:noProof/>
                <w:sz w:val="20"/>
                <w:szCs w:val="20"/>
              </w:rPr>
              <w:t>Expected progress towards the Goal</w:t>
            </w:r>
          </w:p>
        </w:tc>
        <w:tc>
          <w:tcPr>
            <w:tcW w:w="3714" w:type="dxa"/>
            <w:tcBorders>
              <w:top w:val="single" w:sz="4" w:space="0" w:color="auto"/>
            </w:tcBorders>
            <w:shd w:val="clear" w:color="auto" w:fill="C6D9F1" w:themeFill="text2" w:themeFillTint="33"/>
            <w:tcMar>
              <w:top w:w="57" w:type="dxa"/>
              <w:left w:w="57" w:type="dxa"/>
              <w:bottom w:w="57" w:type="dxa"/>
              <w:right w:w="57" w:type="dxa"/>
            </w:tcMar>
          </w:tcPr>
          <w:p w14:paraId="29A7294E" w14:textId="77777777" w:rsidR="009409F1" w:rsidRPr="00542EB9" w:rsidRDefault="009409F1" w:rsidP="5DD21FD3">
            <w:pPr>
              <w:spacing w:after="0"/>
              <w:rPr>
                <w:b/>
                <w:bCs/>
                <w:noProof/>
                <w:sz w:val="20"/>
                <w:szCs w:val="20"/>
              </w:rPr>
            </w:pPr>
            <w:r w:rsidRPr="00542EB9">
              <w:rPr>
                <w:b/>
                <w:bCs/>
                <w:noProof/>
                <w:sz w:val="20"/>
                <w:szCs w:val="20"/>
              </w:rPr>
              <w:t>Comments</w:t>
            </w:r>
          </w:p>
        </w:tc>
      </w:tr>
      <w:tr w:rsidR="00A6628A" w:rsidRPr="00542EB9" w14:paraId="4CCA0544" w14:textId="77777777" w:rsidTr="5DD21FD3">
        <w:tc>
          <w:tcPr>
            <w:tcW w:w="2552" w:type="dxa"/>
            <w:tcBorders>
              <w:top w:val="double" w:sz="4" w:space="0" w:color="auto"/>
              <w:bottom w:val="single" w:sz="4" w:space="0" w:color="auto"/>
            </w:tcBorders>
          </w:tcPr>
          <w:p w14:paraId="4A8DFF13" w14:textId="51C37741" w:rsidR="009409F1" w:rsidRPr="00542EB9" w:rsidRDefault="009409F1" w:rsidP="5DD21FD3">
            <w:pPr>
              <w:spacing w:after="0"/>
              <w:rPr>
                <w:noProof/>
                <w:sz w:val="20"/>
                <w:szCs w:val="20"/>
              </w:rPr>
            </w:pPr>
            <w:r w:rsidRPr="00542EB9">
              <w:rPr>
                <w:noProof/>
                <w:sz w:val="20"/>
                <w:szCs w:val="20"/>
              </w:rPr>
              <w:t xml:space="preserve">e.g. SDG no. </w:t>
            </w:r>
            <w:r w:rsidR="004A51AB" w:rsidRPr="00542EB9">
              <w:rPr>
                <w:noProof/>
                <w:sz w:val="20"/>
                <w:szCs w:val="20"/>
              </w:rPr>
              <w:t>8</w:t>
            </w:r>
            <w:r w:rsidRPr="00542EB9">
              <w:rPr>
                <w:noProof/>
                <w:sz w:val="20"/>
                <w:szCs w:val="20"/>
              </w:rPr>
              <w:t xml:space="preserve"> – </w:t>
            </w:r>
            <w:r w:rsidR="002F7CCC" w:rsidRPr="00542EB9">
              <w:rPr>
                <w:noProof/>
                <w:sz w:val="20"/>
                <w:szCs w:val="20"/>
              </w:rPr>
              <w:t xml:space="preserve">Promote sustained, inclusive and sustainable economic growth, full </w:t>
            </w:r>
            <w:r w:rsidR="00E561F7" w:rsidRPr="00542EB9">
              <w:rPr>
                <w:noProof/>
                <w:sz w:val="20"/>
                <w:szCs w:val="20"/>
              </w:rPr>
              <w:t xml:space="preserve">and productive employment and decent work </w:t>
            </w:r>
          </w:p>
        </w:tc>
        <w:tc>
          <w:tcPr>
            <w:tcW w:w="4111" w:type="dxa"/>
            <w:tcBorders>
              <w:top w:val="double" w:sz="4" w:space="0" w:color="auto"/>
              <w:bottom w:val="single" w:sz="4" w:space="0" w:color="auto"/>
            </w:tcBorders>
            <w:tcMar>
              <w:top w:w="57" w:type="dxa"/>
              <w:left w:w="57" w:type="dxa"/>
              <w:bottom w:w="57" w:type="dxa"/>
              <w:right w:w="57" w:type="dxa"/>
            </w:tcMar>
          </w:tcPr>
          <w:p w14:paraId="447F5A59" w14:textId="70B71D7D" w:rsidR="009409F1" w:rsidRPr="00542EB9" w:rsidRDefault="009409F1" w:rsidP="5DD21FD3">
            <w:pPr>
              <w:spacing w:after="0"/>
              <w:rPr>
                <w:noProof/>
                <w:sz w:val="20"/>
                <w:szCs w:val="20"/>
              </w:rPr>
            </w:pPr>
          </w:p>
        </w:tc>
        <w:tc>
          <w:tcPr>
            <w:tcW w:w="3714" w:type="dxa"/>
            <w:tcBorders>
              <w:top w:val="double" w:sz="4" w:space="0" w:color="auto"/>
              <w:bottom w:val="single" w:sz="4" w:space="0" w:color="auto"/>
            </w:tcBorders>
            <w:tcMar>
              <w:top w:w="57" w:type="dxa"/>
              <w:left w:w="57" w:type="dxa"/>
              <w:bottom w:w="57" w:type="dxa"/>
              <w:right w:w="57" w:type="dxa"/>
            </w:tcMar>
          </w:tcPr>
          <w:p w14:paraId="64B9F3C7" w14:textId="6EE36CB8" w:rsidR="009409F1" w:rsidRPr="00542EB9" w:rsidRDefault="009409F1" w:rsidP="002D6FD0">
            <w:pPr>
              <w:spacing w:after="160" w:line="259" w:lineRule="auto"/>
              <w:rPr>
                <w:noProof/>
                <w:sz w:val="20"/>
                <w:szCs w:val="20"/>
              </w:rPr>
            </w:pPr>
          </w:p>
        </w:tc>
      </w:tr>
      <w:tr w:rsidR="00841B56" w:rsidRPr="00542EB9" w14:paraId="018144AF" w14:textId="77777777" w:rsidTr="5DD21FD3">
        <w:tc>
          <w:tcPr>
            <w:tcW w:w="2552" w:type="dxa"/>
            <w:tcBorders>
              <w:top w:val="single" w:sz="4" w:space="0" w:color="auto"/>
            </w:tcBorders>
          </w:tcPr>
          <w:p w14:paraId="04ECACBC" w14:textId="3D14A7E9" w:rsidR="009409F1" w:rsidRPr="00542EB9" w:rsidRDefault="009409F1" w:rsidP="5DD21FD3">
            <w:pPr>
              <w:spacing w:after="0"/>
              <w:rPr>
                <w:noProof/>
                <w:sz w:val="20"/>
                <w:szCs w:val="20"/>
              </w:rPr>
            </w:pPr>
            <w:r w:rsidRPr="00542EB9">
              <w:rPr>
                <w:noProof/>
                <w:sz w:val="20"/>
                <w:szCs w:val="20"/>
              </w:rPr>
              <w:t xml:space="preserve">e.g. SDG no. </w:t>
            </w:r>
            <w:r w:rsidR="000568E5" w:rsidRPr="00542EB9">
              <w:rPr>
                <w:noProof/>
                <w:sz w:val="20"/>
                <w:szCs w:val="20"/>
              </w:rPr>
              <w:t>9</w:t>
            </w:r>
            <w:r w:rsidRPr="00542EB9">
              <w:rPr>
                <w:noProof/>
                <w:sz w:val="20"/>
                <w:szCs w:val="20"/>
              </w:rPr>
              <w:t xml:space="preserve"> </w:t>
            </w:r>
            <w:r w:rsidR="003F5419" w:rsidRPr="00542EB9">
              <w:rPr>
                <w:noProof/>
                <w:sz w:val="20"/>
                <w:szCs w:val="20"/>
              </w:rPr>
              <w:t>–</w:t>
            </w:r>
            <w:r w:rsidRPr="00542EB9">
              <w:rPr>
                <w:noProof/>
                <w:sz w:val="20"/>
                <w:szCs w:val="20"/>
              </w:rPr>
              <w:t xml:space="preserve"> </w:t>
            </w:r>
            <w:r w:rsidR="003F5419" w:rsidRPr="00542EB9">
              <w:rPr>
                <w:noProof/>
                <w:sz w:val="20"/>
                <w:szCs w:val="20"/>
              </w:rPr>
              <w:t>Build resilient infr</w:t>
            </w:r>
            <w:r w:rsidR="00126E0D" w:rsidRPr="00542EB9">
              <w:rPr>
                <w:noProof/>
                <w:sz w:val="20"/>
                <w:szCs w:val="20"/>
              </w:rPr>
              <w:t>a</w:t>
            </w:r>
            <w:r w:rsidR="003F5419" w:rsidRPr="00542EB9">
              <w:rPr>
                <w:noProof/>
                <w:sz w:val="20"/>
                <w:szCs w:val="20"/>
              </w:rPr>
              <w:t>structure,</w:t>
            </w:r>
            <w:r w:rsidR="003174EE" w:rsidRPr="00542EB9">
              <w:rPr>
                <w:noProof/>
                <w:sz w:val="20"/>
                <w:szCs w:val="20"/>
              </w:rPr>
              <w:t xml:space="preserve"> promote inclusive and sustainable industrialization</w:t>
            </w:r>
            <w:r w:rsidRPr="00542EB9">
              <w:rPr>
                <w:noProof/>
                <w:sz w:val="20"/>
                <w:szCs w:val="20"/>
              </w:rPr>
              <w:t xml:space="preserve"> </w:t>
            </w:r>
            <w:r w:rsidR="00B415A2" w:rsidRPr="00542EB9">
              <w:rPr>
                <w:noProof/>
                <w:sz w:val="20"/>
                <w:szCs w:val="20"/>
              </w:rPr>
              <w:t>and foster innovation</w:t>
            </w:r>
            <w:r w:rsidRPr="00542EB9">
              <w:rPr>
                <w:noProof/>
                <w:sz w:val="20"/>
                <w:szCs w:val="20"/>
              </w:rPr>
              <w:t xml:space="preserve"> </w:t>
            </w:r>
          </w:p>
        </w:tc>
        <w:tc>
          <w:tcPr>
            <w:tcW w:w="4111" w:type="dxa"/>
            <w:tcBorders>
              <w:top w:val="single" w:sz="4" w:space="0" w:color="auto"/>
            </w:tcBorders>
            <w:tcMar>
              <w:top w:w="57" w:type="dxa"/>
              <w:left w:w="57" w:type="dxa"/>
              <w:bottom w:w="57" w:type="dxa"/>
              <w:right w:w="57" w:type="dxa"/>
            </w:tcMar>
          </w:tcPr>
          <w:p w14:paraId="06AB5C3A" w14:textId="21CD264F" w:rsidR="009409F1" w:rsidRPr="00542EB9" w:rsidRDefault="009409F1" w:rsidP="5DD21FD3">
            <w:pPr>
              <w:spacing w:after="0"/>
              <w:rPr>
                <w:noProof/>
                <w:sz w:val="20"/>
                <w:szCs w:val="20"/>
              </w:rPr>
            </w:pPr>
          </w:p>
        </w:tc>
        <w:tc>
          <w:tcPr>
            <w:tcW w:w="3714" w:type="dxa"/>
            <w:tcBorders>
              <w:top w:val="single" w:sz="4" w:space="0" w:color="auto"/>
            </w:tcBorders>
            <w:tcMar>
              <w:top w:w="57" w:type="dxa"/>
              <w:left w:w="57" w:type="dxa"/>
              <w:bottom w:w="57" w:type="dxa"/>
              <w:right w:w="57" w:type="dxa"/>
            </w:tcMar>
          </w:tcPr>
          <w:p w14:paraId="76FDCBD3" w14:textId="68EC0656" w:rsidR="009409F1" w:rsidRPr="00542EB9" w:rsidRDefault="009409F1" w:rsidP="5DD21FD3">
            <w:pPr>
              <w:spacing w:after="0"/>
              <w:rPr>
                <w:noProof/>
                <w:sz w:val="20"/>
                <w:szCs w:val="20"/>
              </w:rPr>
            </w:pPr>
          </w:p>
        </w:tc>
      </w:tr>
      <w:tr w:rsidR="00841B56" w:rsidRPr="00542EB9" w14:paraId="7CF43219" w14:textId="77777777" w:rsidTr="5DD21FD3">
        <w:tc>
          <w:tcPr>
            <w:tcW w:w="2552" w:type="dxa"/>
            <w:tcBorders>
              <w:bottom w:val="double" w:sz="4" w:space="0" w:color="auto"/>
            </w:tcBorders>
          </w:tcPr>
          <w:p w14:paraId="49600A1D" w14:textId="74A44D8F" w:rsidR="00191B99" w:rsidRPr="00542EB9" w:rsidRDefault="00191B99" w:rsidP="5DD21FD3">
            <w:pPr>
              <w:spacing w:after="0"/>
              <w:rPr>
                <w:noProof/>
                <w:sz w:val="20"/>
                <w:szCs w:val="20"/>
              </w:rPr>
            </w:pPr>
            <w:r w:rsidRPr="00542EB9">
              <w:rPr>
                <w:noProof/>
                <w:sz w:val="20"/>
                <w:szCs w:val="20"/>
              </w:rPr>
              <w:t>e.g. SDG no. 16</w:t>
            </w:r>
            <w:r w:rsidR="00264751" w:rsidRPr="00542EB9">
              <w:rPr>
                <w:noProof/>
                <w:sz w:val="20"/>
                <w:szCs w:val="20"/>
              </w:rPr>
              <w:t xml:space="preserve"> – Promote peaceful and inclusive societies for sustainable development, provide access to justice for all and build effective, accountable and inclusive institutions at all levels</w:t>
            </w:r>
          </w:p>
        </w:tc>
        <w:tc>
          <w:tcPr>
            <w:tcW w:w="4111" w:type="dxa"/>
            <w:tcBorders>
              <w:bottom w:val="double" w:sz="4" w:space="0" w:color="auto"/>
            </w:tcBorders>
            <w:tcMar>
              <w:top w:w="57" w:type="dxa"/>
              <w:left w:w="57" w:type="dxa"/>
              <w:bottom w:w="57" w:type="dxa"/>
              <w:right w:w="57" w:type="dxa"/>
            </w:tcMar>
          </w:tcPr>
          <w:p w14:paraId="0470C983" w14:textId="77777777" w:rsidR="00191B99" w:rsidRPr="00542EB9" w:rsidRDefault="00191B99" w:rsidP="5DD21FD3">
            <w:pPr>
              <w:spacing w:after="0"/>
              <w:rPr>
                <w:noProof/>
                <w:sz w:val="20"/>
                <w:szCs w:val="20"/>
              </w:rPr>
            </w:pPr>
          </w:p>
        </w:tc>
        <w:tc>
          <w:tcPr>
            <w:tcW w:w="3714" w:type="dxa"/>
            <w:tcBorders>
              <w:bottom w:val="double" w:sz="4" w:space="0" w:color="auto"/>
            </w:tcBorders>
            <w:tcMar>
              <w:top w:w="57" w:type="dxa"/>
              <w:left w:w="57" w:type="dxa"/>
              <w:bottom w:w="57" w:type="dxa"/>
              <w:right w:w="57" w:type="dxa"/>
            </w:tcMar>
          </w:tcPr>
          <w:p w14:paraId="75EF6B4C" w14:textId="77777777" w:rsidR="00191B99" w:rsidRPr="00542EB9" w:rsidRDefault="00191B99" w:rsidP="5DD21FD3">
            <w:pPr>
              <w:spacing w:after="0"/>
              <w:rPr>
                <w:noProof/>
                <w:sz w:val="20"/>
                <w:szCs w:val="20"/>
              </w:rPr>
            </w:pPr>
          </w:p>
        </w:tc>
      </w:tr>
    </w:tbl>
    <w:p w14:paraId="1164FCD5" w14:textId="77777777" w:rsidR="009409F1" w:rsidRPr="00542EB9" w:rsidRDefault="009409F1" w:rsidP="5DD21FD3">
      <w:pPr>
        <w:rPr>
          <w:noProof/>
        </w:rPr>
      </w:pPr>
    </w:p>
    <w:p w14:paraId="6A4420AA" w14:textId="77777777" w:rsidR="006B087E" w:rsidRPr="00542EB9" w:rsidRDefault="006B087E" w:rsidP="00FA5F81">
      <w:pPr>
        <w:pStyle w:val="AnnexTitle"/>
        <w:rPr>
          <w:noProof/>
        </w:rPr>
      </w:pPr>
      <w:bookmarkStart w:id="102" w:name="_Toc191909165"/>
      <w:bookmarkStart w:id="103" w:name="_Toc198549078"/>
      <w:r w:rsidRPr="00542EB9">
        <w:rPr>
          <w:noProof/>
        </w:rPr>
        <w:t>Annex 4: Analytical methods</w:t>
      </w:r>
      <w:bookmarkEnd w:id="102"/>
      <w:bookmarkEnd w:id="103"/>
    </w:p>
    <w:p w14:paraId="52A5F6D1" w14:textId="0015BA39" w:rsidR="006B087E" w:rsidRPr="00542EB9" w:rsidRDefault="00351BB0" w:rsidP="000E3086">
      <w:pPr>
        <w:rPr>
          <w:noProof/>
        </w:rPr>
      </w:pPr>
      <w:r w:rsidRPr="00542EB9">
        <w:rPr>
          <w:noProof/>
        </w:rPr>
        <w:t>The impact assessment was facilitated by a study executed b</w:t>
      </w:r>
      <w:r w:rsidR="00197AC6" w:rsidRPr="00542EB9">
        <w:rPr>
          <w:noProof/>
        </w:rPr>
        <w:t xml:space="preserve">y a consortium led by the Centre for Strategy &amp; Evaluation Services (CSES) with the following consortium members </w:t>
      </w:r>
      <w:r w:rsidR="00E26AC7" w:rsidRPr="00542EB9">
        <w:rPr>
          <w:noProof/>
        </w:rPr>
        <w:t>Centro Studi Industria Leggera</w:t>
      </w:r>
      <w:r w:rsidR="00197AC6" w:rsidRPr="00542EB9">
        <w:rPr>
          <w:noProof/>
        </w:rPr>
        <w:t xml:space="preserve"> </w:t>
      </w:r>
      <w:r w:rsidR="00E26AC7" w:rsidRPr="00542EB9">
        <w:rPr>
          <w:noProof/>
        </w:rPr>
        <w:t>(</w:t>
      </w:r>
      <w:r w:rsidR="00197AC6" w:rsidRPr="00542EB9">
        <w:rPr>
          <w:noProof/>
        </w:rPr>
        <w:t>CSIL</w:t>
      </w:r>
      <w:r w:rsidR="00E26AC7" w:rsidRPr="00542EB9">
        <w:rPr>
          <w:noProof/>
        </w:rPr>
        <w:t>)</w:t>
      </w:r>
      <w:r w:rsidR="00197AC6" w:rsidRPr="00542EB9">
        <w:rPr>
          <w:noProof/>
        </w:rPr>
        <w:t xml:space="preserve">, PPMI </w:t>
      </w:r>
      <w:r w:rsidR="000C564C" w:rsidRPr="00542EB9">
        <w:rPr>
          <w:noProof/>
        </w:rPr>
        <w:t>Group,</w:t>
      </w:r>
      <w:r w:rsidR="00197AC6" w:rsidRPr="00542EB9">
        <w:rPr>
          <w:noProof/>
        </w:rPr>
        <w:t xml:space="preserve"> and Prognos. </w:t>
      </w:r>
    </w:p>
    <w:p w14:paraId="3EE2C678" w14:textId="5C6A2C96" w:rsidR="00587EA7" w:rsidRPr="00542EB9" w:rsidRDefault="00351BB0" w:rsidP="000E3086">
      <w:pPr>
        <w:rPr>
          <w:noProof/>
        </w:rPr>
      </w:pPr>
      <w:r w:rsidRPr="00542EB9">
        <w:rPr>
          <w:noProof/>
        </w:rPr>
        <w:t>The i</w:t>
      </w:r>
      <w:r w:rsidR="00694B12" w:rsidRPr="00542EB9">
        <w:rPr>
          <w:noProof/>
        </w:rPr>
        <w:t>nterim evaluation</w:t>
      </w:r>
      <w:r w:rsidR="001F5C59" w:rsidRPr="00542EB9">
        <w:rPr>
          <w:noProof/>
        </w:rPr>
        <w:t xml:space="preserve"> </w:t>
      </w:r>
      <w:r w:rsidRPr="00542EB9">
        <w:rPr>
          <w:noProof/>
        </w:rPr>
        <w:t xml:space="preserve">of the SMP and the </w:t>
      </w:r>
      <w:r w:rsidR="001F5C59" w:rsidRPr="00542EB9">
        <w:rPr>
          <w:noProof/>
        </w:rPr>
        <w:t>UAFP</w:t>
      </w:r>
      <w:r w:rsidRPr="00542EB9">
        <w:rPr>
          <w:noProof/>
        </w:rPr>
        <w:t xml:space="preserve"> fed significantly in the analysis carried out for </w:t>
      </w:r>
      <w:r w:rsidR="17D438FE" w:rsidRPr="00542EB9">
        <w:rPr>
          <w:noProof/>
        </w:rPr>
        <w:t xml:space="preserve">the </w:t>
      </w:r>
      <w:r w:rsidRPr="00542EB9">
        <w:rPr>
          <w:noProof/>
        </w:rPr>
        <w:t xml:space="preserve">purposes of this impact assessment. In addition, the </w:t>
      </w:r>
      <w:r w:rsidR="001F5C59" w:rsidRPr="00542EB9">
        <w:rPr>
          <w:noProof/>
        </w:rPr>
        <w:t>prelimi</w:t>
      </w:r>
      <w:r w:rsidR="00DE2FDB" w:rsidRPr="00542EB9">
        <w:rPr>
          <w:noProof/>
        </w:rPr>
        <w:t>nary findings</w:t>
      </w:r>
      <w:r w:rsidR="001F5C59" w:rsidRPr="00542EB9">
        <w:rPr>
          <w:noProof/>
        </w:rPr>
        <w:t xml:space="preserve"> </w:t>
      </w:r>
      <w:r w:rsidRPr="00542EB9">
        <w:rPr>
          <w:noProof/>
        </w:rPr>
        <w:t>of the studies supporting the interim evaluation of the Customs</w:t>
      </w:r>
      <w:r w:rsidR="001F5C59" w:rsidRPr="00542EB9">
        <w:rPr>
          <w:noProof/>
        </w:rPr>
        <w:t xml:space="preserve"> </w:t>
      </w:r>
      <w:r w:rsidRPr="00542EB9">
        <w:rPr>
          <w:noProof/>
        </w:rPr>
        <w:t>and Fiscalis programmes were taken into consideration</w:t>
      </w:r>
      <w:r w:rsidR="00374C15" w:rsidRPr="00542EB9">
        <w:rPr>
          <w:rStyle w:val="FootnoteReference"/>
          <w:noProof/>
        </w:rPr>
        <w:footnoteReference w:id="91"/>
      </w:r>
      <w:r w:rsidRPr="00542EB9">
        <w:rPr>
          <w:noProof/>
        </w:rPr>
        <w:t xml:space="preserve">. The evaluations </w:t>
      </w:r>
      <w:r w:rsidR="006540C7" w:rsidRPr="00542EB9">
        <w:rPr>
          <w:noProof/>
        </w:rPr>
        <w:t xml:space="preserve">extensively </w:t>
      </w:r>
      <w:r w:rsidRPr="00542EB9">
        <w:rPr>
          <w:noProof/>
        </w:rPr>
        <w:t>buil</w:t>
      </w:r>
      <w:r w:rsidR="006540C7" w:rsidRPr="00542EB9">
        <w:rPr>
          <w:noProof/>
        </w:rPr>
        <w:t>d</w:t>
      </w:r>
      <w:r w:rsidRPr="00542EB9">
        <w:rPr>
          <w:noProof/>
        </w:rPr>
        <w:t xml:space="preserve"> on specific </w:t>
      </w:r>
      <w:r w:rsidR="00DE2FDB" w:rsidRPr="00542EB9">
        <w:rPr>
          <w:noProof/>
        </w:rPr>
        <w:t>case studies, surveys</w:t>
      </w:r>
      <w:r w:rsidRPr="00542EB9">
        <w:rPr>
          <w:noProof/>
        </w:rPr>
        <w:t xml:space="preserve">, </w:t>
      </w:r>
      <w:r w:rsidR="00E63D91" w:rsidRPr="00542EB9">
        <w:rPr>
          <w:noProof/>
        </w:rPr>
        <w:t>targeted interviews</w:t>
      </w:r>
      <w:r w:rsidRPr="00542EB9">
        <w:rPr>
          <w:noProof/>
        </w:rPr>
        <w:t xml:space="preserve"> and</w:t>
      </w:r>
      <w:r w:rsidR="00E63D91" w:rsidRPr="00542EB9">
        <w:rPr>
          <w:noProof/>
        </w:rPr>
        <w:t xml:space="preserve"> </w:t>
      </w:r>
      <w:r w:rsidR="00CA0665" w:rsidRPr="00542EB9">
        <w:rPr>
          <w:noProof/>
        </w:rPr>
        <w:t>large-scale</w:t>
      </w:r>
      <w:r w:rsidR="004E064E" w:rsidRPr="00542EB9">
        <w:rPr>
          <w:noProof/>
        </w:rPr>
        <w:t xml:space="preserve"> </w:t>
      </w:r>
      <w:r w:rsidR="00E63D91" w:rsidRPr="00542EB9">
        <w:rPr>
          <w:noProof/>
        </w:rPr>
        <w:t>desk research</w:t>
      </w:r>
      <w:r w:rsidRPr="00542EB9">
        <w:rPr>
          <w:noProof/>
        </w:rPr>
        <w:t>.</w:t>
      </w:r>
    </w:p>
    <w:p w14:paraId="31FB85BF" w14:textId="2064148C" w:rsidR="00694B12" w:rsidRPr="00542EB9" w:rsidRDefault="00351BB0" w:rsidP="000E3086">
      <w:pPr>
        <w:rPr>
          <w:noProof/>
        </w:rPr>
      </w:pPr>
      <w:r w:rsidRPr="00542EB9">
        <w:rPr>
          <w:noProof/>
        </w:rPr>
        <w:t xml:space="preserve">The points regarding the customs domain </w:t>
      </w:r>
      <w:r w:rsidR="004B3687" w:rsidRPr="00542EB9">
        <w:rPr>
          <w:noProof/>
        </w:rPr>
        <w:t xml:space="preserve">are driven by the impact assessment and the associated Commission proposal on the EU Customs Reform. </w:t>
      </w:r>
    </w:p>
    <w:p w14:paraId="06D6BF32" w14:textId="32459632" w:rsidR="004B3687" w:rsidRPr="00542EB9" w:rsidRDefault="004B3687" w:rsidP="000E3086">
      <w:pPr>
        <w:rPr>
          <w:noProof/>
        </w:rPr>
      </w:pPr>
      <w:r w:rsidRPr="00542EB9">
        <w:rPr>
          <w:noProof/>
        </w:rPr>
        <w:t xml:space="preserve">In addition, the customs and taxation aspects are assessed based on the indicators of the Customs and Fiscalis programmes and the related annual progress reports on years 2021-2024. </w:t>
      </w:r>
    </w:p>
    <w:p w14:paraId="7E482A4D" w14:textId="77777777" w:rsidR="00694B12" w:rsidRPr="00542EB9" w:rsidRDefault="00694B12" w:rsidP="000E3086">
      <w:pPr>
        <w:rPr>
          <w:noProof/>
        </w:rPr>
      </w:pPr>
    </w:p>
    <w:p w14:paraId="43FAA0B1" w14:textId="77777777" w:rsidR="006B087E" w:rsidRPr="00542EB9" w:rsidRDefault="006B087E" w:rsidP="000E3086">
      <w:pPr>
        <w:rPr>
          <w:noProof/>
        </w:rPr>
      </w:pPr>
      <w:r w:rsidRPr="00542EB9">
        <w:rPr>
          <w:noProof/>
        </w:rPr>
        <w:br w:type="page"/>
      </w:r>
    </w:p>
    <w:p w14:paraId="00F38E4E" w14:textId="77777777" w:rsidR="006B087E" w:rsidRPr="00542EB9" w:rsidRDefault="006B087E" w:rsidP="000E3086">
      <w:pPr>
        <w:rPr>
          <w:noProof/>
        </w:rPr>
        <w:sectPr w:rsidR="006B087E" w:rsidRPr="00542EB9" w:rsidSect="00D43B25">
          <w:headerReference w:type="even" r:id="rId47"/>
          <w:headerReference w:type="default" r:id="rId48"/>
          <w:footerReference w:type="even" r:id="rId49"/>
          <w:footerReference w:type="default" r:id="rId50"/>
          <w:headerReference w:type="first" r:id="rId51"/>
          <w:footerReference w:type="first" r:id="rId52"/>
          <w:pgSz w:w="11906" w:h="16838"/>
          <w:pgMar w:top="1020" w:right="1416" w:bottom="1020" w:left="1587" w:header="601" w:footer="1077" w:gutter="0"/>
          <w:cols w:space="720"/>
          <w:titlePg/>
        </w:sectPr>
      </w:pPr>
    </w:p>
    <w:p w14:paraId="0AC67B34" w14:textId="6ABB6CBE" w:rsidR="00C22AB4" w:rsidRPr="00542EB9" w:rsidRDefault="25831B57" w:rsidP="00FA5F81">
      <w:pPr>
        <w:pStyle w:val="AnnexTitle"/>
        <w:rPr>
          <w:noProof/>
        </w:rPr>
      </w:pPr>
      <w:bookmarkStart w:id="104" w:name="_Toc191909166"/>
      <w:bookmarkStart w:id="105" w:name="_Toc198549079"/>
      <w:r w:rsidRPr="00542EB9">
        <w:rPr>
          <w:noProof/>
        </w:rPr>
        <w:t>Annex 5: Competitiveness check</w:t>
      </w:r>
      <w:bookmarkEnd w:id="104"/>
      <w:bookmarkEnd w:id="105"/>
    </w:p>
    <w:p w14:paraId="7B712B7D" w14:textId="77777777" w:rsidR="00C22AB4" w:rsidRPr="00542EB9" w:rsidRDefault="00C22AB4" w:rsidP="00C22AB4">
      <w:pPr>
        <w:pStyle w:val="Heading1"/>
        <w:numPr>
          <w:ilvl w:val="0"/>
          <w:numId w:val="29"/>
        </w:numPr>
        <w:rPr>
          <w:noProof/>
        </w:rPr>
      </w:pPr>
      <w:bookmarkStart w:id="106" w:name="_Toc191909167"/>
      <w:bookmarkStart w:id="107" w:name="_Toc198549080"/>
      <w:r w:rsidRPr="00542EB9">
        <w:rPr>
          <w:noProof/>
        </w:rPr>
        <w:t>Overview of impacts on competitiveness</w:t>
      </w:r>
      <w:bookmarkEnd w:id="106"/>
      <w:bookmarkEnd w:id="107"/>
      <w:r w:rsidRPr="00542EB9">
        <w:rPr>
          <w:noProof/>
        </w:rPr>
        <w:t xml:space="preserve"> </w:t>
      </w:r>
    </w:p>
    <w:tbl>
      <w:tblPr>
        <w:tblStyle w:val="TableGrid"/>
        <w:tblW w:w="9889" w:type="dxa"/>
        <w:tblLook w:val="04A0" w:firstRow="1" w:lastRow="0" w:firstColumn="1" w:lastColumn="0" w:noHBand="0" w:noVBand="1"/>
      </w:tblPr>
      <w:tblGrid>
        <w:gridCol w:w="3281"/>
        <w:gridCol w:w="2639"/>
        <w:gridCol w:w="3969"/>
      </w:tblGrid>
      <w:tr w:rsidR="00C22AB4" w:rsidRPr="00542EB9" w14:paraId="67A7C491" w14:textId="77777777" w:rsidTr="00EA4C16">
        <w:tc>
          <w:tcPr>
            <w:tcW w:w="3281" w:type="dxa"/>
            <w:vAlign w:val="center"/>
          </w:tcPr>
          <w:p w14:paraId="3F9E640E" w14:textId="77777777" w:rsidR="00C22AB4" w:rsidRPr="00542EB9" w:rsidRDefault="00C22AB4" w:rsidP="00EA4C16">
            <w:pPr>
              <w:spacing w:before="60" w:after="60"/>
              <w:jc w:val="center"/>
              <w:rPr>
                <w:b/>
                <w:noProof/>
              </w:rPr>
            </w:pPr>
            <w:r w:rsidRPr="00542EB9">
              <w:rPr>
                <w:b/>
                <w:noProof/>
              </w:rPr>
              <w:t>Dimensions of Competitiveness</w:t>
            </w:r>
          </w:p>
        </w:tc>
        <w:tc>
          <w:tcPr>
            <w:tcW w:w="2639" w:type="dxa"/>
            <w:vAlign w:val="center"/>
          </w:tcPr>
          <w:p w14:paraId="3A713A7D" w14:textId="77777777" w:rsidR="00C22AB4" w:rsidRPr="00542EB9" w:rsidRDefault="00C22AB4" w:rsidP="00EA4C16">
            <w:pPr>
              <w:spacing w:before="60" w:after="60"/>
              <w:jc w:val="center"/>
              <w:rPr>
                <w:b/>
                <w:noProof/>
              </w:rPr>
            </w:pPr>
            <w:r w:rsidRPr="00542EB9">
              <w:rPr>
                <w:b/>
                <w:noProof/>
              </w:rPr>
              <w:t>Impact of the initiative</w:t>
            </w:r>
          </w:p>
          <w:p w14:paraId="24DD993D" w14:textId="77777777" w:rsidR="00C22AB4" w:rsidRPr="00542EB9" w:rsidRDefault="00C22AB4" w:rsidP="00EA4C16">
            <w:pPr>
              <w:spacing w:before="60" w:after="60"/>
              <w:jc w:val="center"/>
              <w:rPr>
                <w:b/>
                <w:noProof/>
              </w:rPr>
            </w:pPr>
            <w:r w:rsidRPr="00542EB9">
              <w:rPr>
                <w:b/>
                <w:noProof/>
              </w:rPr>
              <w:t>(++ / + / 0 / - / -- / n.a.)</w:t>
            </w:r>
          </w:p>
        </w:tc>
        <w:tc>
          <w:tcPr>
            <w:tcW w:w="3969" w:type="dxa"/>
            <w:vAlign w:val="center"/>
          </w:tcPr>
          <w:p w14:paraId="644C8C1B" w14:textId="77777777" w:rsidR="00C22AB4" w:rsidRPr="00542EB9" w:rsidRDefault="00C22AB4" w:rsidP="00EA4C16">
            <w:pPr>
              <w:spacing w:before="60" w:after="60"/>
              <w:jc w:val="center"/>
              <w:rPr>
                <w:b/>
                <w:noProof/>
              </w:rPr>
            </w:pPr>
            <w:r w:rsidRPr="00542EB9">
              <w:rPr>
                <w:b/>
                <w:noProof/>
              </w:rPr>
              <w:t>References to sub-sections of the main report or annexes</w:t>
            </w:r>
          </w:p>
        </w:tc>
      </w:tr>
      <w:tr w:rsidR="00C22AB4" w:rsidRPr="00542EB9" w14:paraId="5974009C" w14:textId="77777777" w:rsidTr="00EA4C16">
        <w:tc>
          <w:tcPr>
            <w:tcW w:w="3281" w:type="dxa"/>
            <w:vAlign w:val="center"/>
          </w:tcPr>
          <w:p w14:paraId="2A2CE9EF" w14:textId="77777777" w:rsidR="00C22AB4" w:rsidRPr="00542EB9" w:rsidRDefault="00C22AB4" w:rsidP="00EA4C16">
            <w:pPr>
              <w:spacing w:before="60" w:after="60"/>
              <w:rPr>
                <w:noProof/>
              </w:rPr>
            </w:pPr>
            <w:r w:rsidRPr="00542EB9">
              <w:rPr>
                <w:noProof/>
              </w:rPr>
              <w:t>Cost and price competitiveness</w:t>
            </w:r>
          </w:p>
        </w:tc>
        <w:tc>
          <w:tcPr>
            <w:tcW w:w="2639" w:type="dxa"/>
            <w:vAlign w:val="center"/>
          </w:tcPr>
          <w:p w14:paraId="181747F3" w14:textId="76FF58FD" w:rsidR="00C22AB4" w:rsidRPr="00542EB9" w:rsidRDefault="009E21B5" w:rsidP="00EA4C16">
            <w:pPr>
              <w:spacing w:before="60" w:after="60"/>
              <w:rPr>
                <w:noProof/>
              </w:rPr>
            </w:pPr>
            <w:r w:rsidRPr="00542EB9">
              <w:rPr>
                <w:noProof/>
              </w:rPr>
              <w:t>0/</w:t>
            </w:r>
            <w:r w:rsidR="00DE66C3" w:rsidRPr="00542EB9">
              <w:rPr>
                <w:noProof/>
              </w:rPr>
              <w:t>+</w:t>
            </w:r>
          </w:p>
        </w:tc>
        <w:tc>
          <w:tcPr>
            <w:tcW w:w="3969" w:type="dxa"/>
            <w:vAlign w:val="center"/>
          </w:tcPr>
          <w:p w14:paraId="502FEBC0" w14:textId="2487AC24" w:rsidR="00C22AB4" w:rsidRPr="00542EB9" w:rsidRDefault="002F214F" w:rsidP="00EA4C16">
            <w:pPr>
              <w:spacing w:before="60" w:after="60"/>
              <w:rPr>
                <w:noProof/>
              </w:rPr>
            </w:pPr>
            <w:r w:rsidRPr="00542EB9">
              <w:rPr>
                <w:noProof/>
              </w:rPr>
              <w:t>Sections</w:t>
            </w:r>
            <w:r w:rsidR="00B37BB1" w:rsidRPr="00542EB9">
              <w:rPr>
                <w:noProof/>
              </w:rPr>
              <w:t xml:space="preserve"> 6.2 and </w:t>
            </w:r>
            <w:r w:rsidRPr="00542EB9">
              <w:rPr>
                <w:noProof/>
              </w:rPr>
              <w:t>7.1</w:t>
            </w:r>
            <w:r w:rsidR="00B37BB1" w:rsidRPr="00542EB9">
              <w:rPr>
                <w:noProof/>
              </w:rPr>
              <w:t xml:space="preserve"> of the IA</w:t>
            </w:r>
          </w:p>
        </w:tc>
      </w:tr>
      <w:tr w:rsidR="00C22AB4" w:rsidRPr="00542EB9" w14:paraId="4CCC9FF0" w14:textId="77777777" w:rsidTr="00EA4C16">
        <w:tc>
          <w:tcPr>
            <w:tcW w:w="3281" w:type="dxa"/>
            <w:vAlign w:val="center"/>
          </w:tcPr>
          <w:p w14:paraId="52485509" w14:textId="77777777" w:rsidR="00C22AB4" w:rsidRPr="00542EB9" w:rsidRDefault="00C22AB4" w:rsidP="00EA4C16">
            <w:pPr>
              <w:spacing w:before="60" w:after="60"/>
              <w:rPr>
                <w:noProof/>
              </w:rPr>
            </w:pPr>
            <w:r w:rsidRPr="00542EB9">
              <w:rPr>
                <w:noProof/>
              </w:rPr>
              <w:t xml:space="preserve">International competitiveness </w:t>
            </w:r>
          </w:p>
        </w:tc>
        <w:tc>
          <w:tcPr>
            <w:tcW w:w="2639" w:type="dxa"/>
            <w:vAlign w:val="center"/>
          </w:tcPr>
          <w:p w14:paraId="3BF3177B" w14:textId="3D05C843" w:rsidR="00C22AB4" w:rsidRPr="00542EB9" w:rsidRDefault="00AD6E80" w:rsidP="00EA4C16">
            <w:pPr>
              <w:spacing w:before="60" w:after="60"/>
              <w:rPr>
                <w:noProof/>
              </w:rPr>
            </w:pPr>
            <w:r w:rsidRPr="00542EB9">
              <w:rPr>
                <w:noProof/>
              </w:rPr>
              <w:t>0/+</w:t>
            </w:r>
          </w:p>
        </w:tc>
        <w:tc>
          <w:tcPr>
            <w:tcW w:w="3969" w:type="dxa"/>
            <w:vAlign w:val="center"/>
          </w:tcPr>
          <w:p w14:paraId="77D8A205" w14:textId="067EA763" w:rsidR="00C22AB4" w:rsidRPr="00542EB9" w:rsidRDefault="002F214F" w:rsidP="00EA4C16">
            <w:pPr>
              <w:spacing w:before="60" w:after="60"/>
              <w:rPr>
                <w:noProof/>
              </w:rPr>
            </w:pPr>
            <w:r w:rsidRPr="00542EB9">
              <w:rPr>
                <w:noProof/>
              </w:rPr>
              <w:t xml:space="preserve">Sections </w:t>
            </w:r>
            <w:r w:rsidR="00B37BB1" w:rsidRPr="00542EB9">
              <w:rPr>
                <w:noProof/>
              </w:rPr>
              <w:t xml:space="preserve">6.2 and </w:t>
            </w:r>
            <w:r w:rsidRPr="00542EB9">
              <w:rPr>
                <w:noProof/>
              </w:rPr>
              <w:t>7.1</w:t>
            </w:r>
            <w:r w:rsidR="00B37BB1" w:rsidRPr="00542EB9">
              <w:rPr>
                <w:noProof/>
              </w:rPr>
              <w:t xml:space="preserve"> of the IA</w:t>
            </w:r>
          </w:p>
        </w:tc>
      </w:tr>
      <w:tr w:rsidR="00C22AB4" w:rsidRPr="00542EB9" w14:paraId="72B12655" w14:textId="77777777" w:rsidTr="00EA4C16">
        <w:tc>
          <w:tcPr>
            <w:tcW w:w="3281" w:type="dxa"/>
            <w:vAlign w:val="center"/>
          </w:tcPr>
          <w:p w14:paraId="6120996B" w14:textId="4BC4E3F9" w:rsidR="00C22AB4" w:rsidRPr="00542EB9" w:rsidRDefault="00C22AB4" w:rsidP="00EA4C16">
            <w:pPr>
              <w:spacing w:before="60" w:after="60"/>
              <w:rPr>
                <w:noProof/>
              </w:rPr>
            </w:pPr>
            <w:r w:rsidRPr="00542EB9">
              <w:rPr>
                <w:noProof/>
              </w:rPr>
              <w:t>Capacity to innovate</w:t>
            </w:r>
          </w:p>
        </w:tc>
        <w:tc>
          <w:tcPr>
            <w:tcW w:w="2639" w:type="dxa"/>
            <w:vAlign w:val="center"/>
          </w:tcPr>
          <w:p w14:paraId="3AAA98E7" w14:textId="21E090FA" w:rsidR="00C22AB4" w:rsidRPr="00542EB9" w:rsidRDefault="00AD6E80" w:rsidP="00EA4C16">
            <w:pPr>
              <w:spacing w:before="60" w:after="60"/>
              <w:rPr>
                <w:noProof/>
              </w:rPr>
            </w:pPr>
            <w:r w:rsidRPr="00542EB9">
              <w:rPr>
                <w:noProof/>
              </w:rPr>
              <w:t>0/+</w:t>
            </w:r>
          </w:p>
        </w:tc>
        <w:tc>
          <w:tcPr>
            <w:tcW w:w="3969" w:type="dxa"/>
            <w:vAlign w:val="center"/>
          </w:tcPr>
          <w:p w14:paraId="3DB8B980" w14:textId="53E35777" w:rsidR="00C22AB4" w:rsidRPr="00542EB9" w:rsidRDefault="002F214F" w:rsidP="00EA4C16">
            <w:pPr>
              <w:spacing w:before="60" w:after="60"/>
              <w:rPr>
                <w:noProof/>
              </w:rPr>
            </w:pPr>
            <w:r w:rsidRPr="00542EB9">
              <w:rPr>
                <w:noProof/>
              </w:rPr>
              <w:t xml:space="preserve">Sections </w:t>
            </w:r>
            <w:r w:rsidR="00B37BB1" w:rsidRPr="00542EB9">
              <w:rPr>
                <w:noProof/>
              </w:rPr>
              <w:t xml:space="preserve">6.2 and </w:t>
            </w:r>
            <w:r w:rsidRPr="00542EB9">
              <w:rPr>
                <w:noProof/>
              </w:rPr>
              <w:t>7.1</w:t>
            </w:r>
            <w:r w:rsidR="00B37BB1" w:rsidRPr="00542EB9">
              <w:rPr>
                <w:noProof/>
              </w:rPr>
              <w:t xml:space="preserve"> of the IA</w:t>
            </w:r>
          </w:p>
        </w:tc>
      </w:tr>
      <w:tr w:rsidR="00C22AB4" w:rsidRPr="00542EB9" w14:paraId="0C79877D" w14:textId="77777777" w:rsidTr="00EA4C16">
        <w:tc>
          <w:tcPr>
            <w:tcW w:w="3281" w:type="dxa"/>
            <w:vAlign w:val="center"/>
          </w:tcPr>
          <w:p w14:paraId="11188BFC" w14:textId="77777777" w:rsidR="00C22AB4" w:rsidRPr="00542EB9" w:rsidRDefault="00C22AB4" w:rsidP="00EA4C16">
            <w:pPr>
              <w:spacing w:before="60" w:after="60"/>
              <w:rPr>
                <w:noProof/>
              </w:rPr>
            </w:pPr>
            <w:r w:rsidRPr="00542EB9">
              <w:rPr>
                <w:noProof/>
              </w:rPr>
              <w:t>SME competitiveness</w:t>
            </w:r>
          </w:p>
        </w:tc>
        <w:tc>
          <w:tcPr>
            <w:tcW w:w="2639" w:type="dxa"/>
            <w:vAlign w:val="center"/>
          </w:tcPr>
          <w:p w14:paraId="75BEF4D2" w14:textId="448D0BFE" w:rsidR="00C22AB4" w:rsidRPr="00542EB9" w:rsidRDefault="00AD6E80" w:rsidP="00EA4C16">
            <w:pPr>
              <w:spacing w:before="60" w:after="60"/>
              <w:rPr>
                <w:noProof/>
              </w:rPr>
            </w:pPr>
            <w:r w:rsidRPr="00542EB9">
              <w:rPr>
                <w:noProof/>
              </w:rPr>
              <w:t>0/+</w:t>
            </w:r>
          </w:p>
        </w:tc>
        <w:tc>
          <w:tcPr>
            <w:tcW w:w="3969" w:type="dxa"/>
            <w:vAlign w:val="center"/>
          </w:tcPr>
          <w:p w14:paraId="39C317EC" w14:textId="175995E4" w:rsidR="00C22AB4" w:rsidRPr="00542EB9" w:rsidRDefault="007F3702" w:rsidP="00EA4C16">
            <w:pPr>
              <w:spacing w:before="60" w:after="60"/>
              <w:rPr>
                <w:noProof/>
              </w:rPr>
            </w:pPr>
            <w:r w:rsidRPr="00542EB9">
              <w:rPr>
                <w:noProof/>
              </w:rPr>
              <w:t>Annex 6</w:t>
            </w:r>
          </w:p>
        </w:tc>
      </w:tr>
    </w:tbl>
    <w:p w14:paraId="2D4F7637" w14:textId="77777777" w:rsidR="00C22AB4" w:rsidRPr="00542EB9" w:rsidRDefault="00C22AB4" w:rsidP="00C22AB4">
      <w:pPr>
        <w:rPr>
          <w:b/>
          <w:bCs/>
          <w:noProof/>
          <w:u w:val="single"/>
        </w:rPr>
      </w:pPr>
    </w:p>
    <w:p w14:paraId="5C76F179" w14:textId="77777777" w:rsidR="00C22AB4" w:rsidRPr="00542EB9" w:rsidRDefault="00C22AB4" w:rsidP="00C22AB4">
      <w:pPr>
        <w:pStyle w:val="Heading1"/>
        <w:tabs>
          <w:tab w:val="num" w:pos="765"/>
        </w:tabs>
        <w:ind w:left="765" w:hanging="283"/>
        <w:rPr>
          <w:noProof/>
        </w:rPr>
      </w:pPr>
      <w:bookmarkStart w:id="108" w:name="_Toc191909168"/>
      <w:bookmarkStart w:id="109" w:name="_Toc198549081"/>
      <w:r w:rsidRPr="00542EB9">
        <w:rPr>
          <w:noProof/>
        </w:rPr>
        <w:t>Synthetic assessment</w:t>
      </w:r>
      <w:bookmarkEnd w:id="108"/>
      <w:bookmarkEnd w:id="109"/>
      <w:r w:rsidRPr="00542EB9">
        <w:rPr>
          <w:noProof/>
        </w:rPr>
        <w:t xml:space="preserve"> </w:t>
      </w:r>
    </w:p>
    <w:p w14:paraId="36CB1076" w14:textId="360319DF" w:rsidR="00926DF1" w:rsidRPr="00542EB9" w:rsidRDefault="2E5CAE1F" w:rsidP="00926DF1">
      <w:pPr>
        <w:spacing w:after="200" w:line="276" w:lineRule="auto"/>
        <w:rPr>
          <w:noProof/>
        </w:rPr>
      </w:pPr>
      <w:r w:rsidRPr="00542EB9">
        <w:rPr>
          <w:noProof/>
        </w:rPr>
        <w:t xml:space="preserve">The proposed intervention indirectly targets improving the </w:t>
      </w:r>
      <w:r w:rsidR="373C6B55" w:rsidRPr="00542EB9">
        <w:rPr>
          <w:noProof/>
        </w:rPr>
        <w:t xml:space="preserve">EU competitiveness by facilitating a well-functioning and strong </w:t>
      </w:r>
      <w:r w:rsidR="005459CC" w:rsidRPr="00542EB9">
        <w:rPr>
          <w:noProof/>
        </w:rPr>
        <w:t>single market</w:t>
      </w:r>
      <w:r w:rsidR="504E288D" w:rsidRPr="00542EB9">
        <w:rPr>
          <w:noProof/>
        </w:rPr>
        <w:t>,</w:t>
      </w:r>
      <w:r w:rsidR="373C6B55" w:rsidRPr="00542EB9">
        <w:rPr>
          <w:noProof/>
        </w:rPr>
        <w:t xml:space="preserve"> which is </w:t>
      </w:r>
      <w:r w:rsidR="504E288D" w:rsidRPr="00542EB9">
        <w:rPr>
          <w:noProof/>
        </w:rPr>
        <w:t>a pre-requisite for EU competitiveness and prosperity</w:t>
      </w:r>
      <w:r w:rsidR="00926DF1" w:rsidRPr="00542EB9">
        <w:rPr>
          <w:noProof/>
        </w:rPr>
        <w:t>.</w:t>
      </w:r>
    </w:p>
    <w:p w14:paraId="21EAF839" w14:textId="17037208" w:rsidR="009E21B5" w:rsidRPr="00542EB9" w:rsidRDefault="009E21B5" w:rsidP="00926DF1">
      <w:pPr>
        <w:spacing w:after="200" w:line="276" w:lineRule="auto"/>
        <w:rPr>
          <w:noProof/>
        </w:rPr>
      </w:pPr>
      <w:r w:rsidRPr="00542EB9">
        <w:rPr>
          <w:b/>
          <w:noProof/>
        </w:rPr>
        <w:t>Cost and price competitiveness:</w:t>
      </w:r>
      <w:r w:rsidRPr="00542EB9">
        <w:rPr>
          <w:noProof/>
        </w:rPr>
        <w:t xml:space="preserve"> </w:t>
      </w:r>
      <w:r w:rsidR="00DC3E07" w:rsidRPr="00542EB9">
        <w:rPr>
          <w:noProof/>
        </w:rPr>
        <w:t>The preferred policy option does not directly target businesses</w:t>
      </w:r>
      <w:r w:rsidR="00BB4CD9" w:rsidRPr="00542EB9">
        <w:rPr>
          <w:noProof/>
        </w:rPr>
        <w:t>.  However, better</w:t>
      </w:r>
      <w:r w:rsidR="003061F0" w:rsidRPr="00542EB9">
        <w:rPr>
          <w:noProof/>
        </w:rPr>
        <w:t xml:space="preserve"> policymaking and law enforcement</w:t>
      </w:r>
      <w:r w:rsidR="00BB4F5A" w:rsidRPr="00542EB9">
        <w:rPr>
          <w:noProof/>
        </w:rPr>
        <w:t xml:space="preserve"> </w:t>
      </w:r>
      <w:r w:rsidR="00225203" w:rsidRPr="00542EB9">
        <w:rPr>
          <w:noProof/>
        </w:rPr>
        <w:t xml:space="preserve">in the </w:t>
      </w:r>
      <w:r w:rsidR="006B49F6">
        <w:rPr>
          <w:noProof/>
        </w:rPr>
        <w:t>s</w:t>
      </w:r>
      <w:r w:rsidR="00225203" w:rsidRPr="00542EB9">
        <w:rPr>
          <w:noProof/>
        </w:rPr>
        <w:t xml:space="preserve">ingle </w:t>
      </w:r>
      <w:r w:rsidR="006B49F6">
        <w:rPr>
          <w:noProof/>
        </w:rPr>
        <w:t>m</w:t>
      </w:r>
      <w:r w:rsidR="00225203" w:rsidRPr="00542EB9">
        <w:rPr>
          <w:noProof/>
        </w:rPr>
        <w:t>arket could have a positive impact on cost</w:t>
      </w:r>
      <w:r w:rsidR="003061F0" w:rsidRPr="00542EB9">
        <w:rPr>
          <w:noProof/>
        </w:rPr>
        <w:t xml:space="preserve"> and </w:t>
      </w:r>
      <w:r w:rsidR="00225203" w:rsidRPr="00542EB9">
        <w:rPr>
          <w:noProof/>
        </w:rPr>
        <w:t>price competitiveness of EU companies</w:t>
      </w:r>
      <w:r w:rsidR="00C37A9B" w:rsidRPr="00542EB9">
        <w:rPr>
          <w:noProof/>
        </w:rPr>
        <w:t>, e</w:t>
      </w:r>
      <w:r w:rsidR="00A144C9" w:rsidRPr="00542EB9">
        <w:rPr>
          <w:noProof/>
        </w:rPr>
        <w:t xml:space="preserve">specially </w:t>
      </w:r>
      <w:r w:rsidR="00195F7C" w:rsidRPr="00542EB9">
        <w:rPr>
          <w:noProof/>
        </w:rPr>
        <w:t>by reducing administrative complexity, streamlining and simplifying procedu</w:t>
      </w:r>
      <w:r w:rsidR="00C37A9B" w:rsidRPr="00542EB9">
        <w:rPr>
          <w:noProof/>
        </w:rPr>
        <w:t>res.</w:t>
      </w:r>
    </w:p>
    <w:p w14:paraId="792BA14D" w14:textId="5B39F1C5" w:rsidR="00225203" w:rsidRPr="00542EB9" w:rsidRDefault="00225203" w:rsidP="00926DF1">
      <w:pPr>
        <w:spacing w:after="200" w:line="276" w:lineRule="auto"/>
        <w:rPr>
          <w:noProof/>
        </w:rPr>
      </w:pPr>
      <w:r w:rsidRPr="00542EB9">
        <w:rPr>
          <w:b/>
          <w:noProof/>
        </w:rPr>
        <w:t>International competitiveness</w:t>
      </w:r>
      <w:r w:rsidR="00BB4CD9" w:rsidRPr="00542EB9">
        <w:rPr>
          <w:noProof/>
        </w:rPr>
        <w:t xml:space="preserve">: </w:t>
      </w:r>
      <w:r w:rsidR="00702B2F" w:rsidRPr="00542EB9">
        <w:rPr>
          <w:noProof/>
        </w:rPr>
        <w:t>a</w:t>
      </w:r>
      <w:r w:rsidR="00494DA2" w:rsidRPr="00542EB9">
        <w:rPr>
          <w:noProof/>
        </w:rPr>
        <w:t xml:space="preserve"> better f</w:t>
      </w:r>
      <w:r w:rsidR="00AD6E80" w:rsidRPr="00542EB9">
        <w:rPr>
          <w:noProof/>
        </w:rPr>
        <w:t>unctioning and strong</w:t>
      </w:r>
      <w:r w:rsidR="00494DA2" w:rsidRPr="00542EB9">
        <w:rPr>
          <w:noProof/>
        </w:rPr>
        <w:t>er</w:t>
      </w:r>
      <w:r w:rsidR="00AD6E80" w:rsidRPr="00542EB9">
        <w:rPr>
          <w:noProof/>
        </w:rPr>
        <w:t xml:space="preserve"> single market</w:t>
      </w:r>
      <w:r w:rsidR="00AD6E80" w:rsidRPr="00542EB9" w:rsidDel="003B7298">
        <w:rPr>
          <w:noProof/>
        </w:rPr>
        <w:t xml:space="preserve"> </w:t>
      </w:r>
      <w:r w:rsidR="00494DA2" w:rsidRPr="00542EB9">
        <w:rPr>
          <w:noProof/>
        </w:rPr>
        <w:t>would</w:t>
      </w:r>
      <w:r w:rsidR="003B7298" w:rsidRPr="00542EB9">
        <w:rPr>
          <w:noProof/>
        </w:rPr>
        <w:t xml:space="preserve"> </w:t>
      </w:r>
      <w:r w:rsidR="00AD6E80" w:rsidRPr="00542EB9">
        <w:rPr>
          <w:noProof/>
        </w:rPr>
        <w:t>have a positive impact on international competitiveness</w:t>
      </w:r>
      <w:r w:rsidR="00F143B2" w:rsidRPr="00542EB9">
        <w:rPr>
          <w:noProof/>
        </w:rPr>
        <w:t xml:space="preserve"> </w:t>
      </w:r>
      <w:r w:rsidR="00702B2F" w:rsidRPr="00542EB9">
        <w:rPr>
          <w:noProof/>
        </w:rPr>
        <w:t>fostering a</w:t>
      </w:r>
      <w:r w:rsidR="00F143B2" w:rsidRPr="00542EB9">
        <w:rPr>
          <w:noProof/>
        </w:rPr>
        <w:t xml:space="preserve"> level playing field </w:t>
      </w:r>
      <w:r w:rsidR="00702B2F" w:rsidRPr="00542EB9">
        <w:rPr>
          <w:noProof/>
        </w:rPr>
        <w:t>with efficient</w:t>
      </w:r>
      <w:r w:rsidR="00F143B2" w:rsidRPr="00542EB9">
        <w:rPr>
          <w:noProof/>
        </w:rPr>
        <w:t xml:space="preserve"> market surveillance and </w:t>
      </w:r>
      <w:r w:rsidR="008840FC" w:rsidRPr="00542EB9">
        <w:rPr>
          <w:noProof/>
        </w:rPr>
        <w:t xml:space="preserve">customs </w:t>
      </w:r>
      <w:r w:rsidR="00130CCB" w:rsidRPr="00542EB9">
        <w:rPr>
          <w:noProof/>
        </w:rPr>
        <w:t xml:space="preserve">to </w:t>
      </w:r>
      <w:r w:rsidR="001F0A88" w:rsidRPr="00542EB9">
        <w:rPr>
          <w:noProof/>
        </w:rPr>
        <w:t>fight against</w:t>
      </w:r>
      <w:r w:rsidR="00130CCB" w:rsidRPr="00542EB9">
        <w:rPr>
          <w:noProof/>
        </w:rPr>
        <w:t xml:space="preserve"> </w:t>
      </w:r>
      <w:r w:rsidR="006E7B65" w:rsidRPr="00542EB9">
        <w:rPr>
          <w:noProof/>
        </w:rPr>
        <w:t xml:space="preserve">imported products </w:t>
      </w:r>
      <w:r w:rsidR="001F0A88" w:rsidRPr="00542EB9">
        <w:rPr>
          <w:noProof/>
        </w:rPr>
        <w:t>which are not compliant with EU legislation</w:t>
      </w:r>
      <w:r w:rsidR="008017EF" w:rsidRPr="00542EB9">
        <w:rPr>
          <w:noProof/>
        </w:rPr>
        <w:t xml:space="preserve">. </w:t>
      </w:r>
    </w:p>
    <w:p w14:paraId="718E431D" w14:textId="16092384" w:rsidR="00225203" w:rsidRPr="00542EB9" w:rsidRDefault="00225203" w:rsidP="00926DF1">
      <w:pPr>
        <w:spacing w:after="200" w:line="276" w:lineRule="auto"/>
        <w:rPr>
          <w:noProof/>
        </w:rPr>
      </w:pPr>
      <w:r w:rsidRPr="00542EB9">
        <w:rPr>
          <w:b/>
          <w:noProof/>
        </w:rPr>
        <w:t>Capacity to innovate</w:t>
      </w:r>
      <w:r w:rsidR="00AD6E80" w:rsidRPr="00542EB9">
        <w:rPr>
          <w:b/>
          <w:noProof/>
        </w:rPr>
        <w:t>:</w:t>
      </w:r>
      <w:r w:rsidR="006B4EF0" w:rsidRPr="00542EB9">
        <w:rPr>
          <w:b/>
          <w:bCs/>
          <w:noProof/>
        </w:rPr>
        <w:t xml:space="preserve"> </w:t>
      </w:r>
      <w:r w:rsidR="001973BB" w:rsidRPr="00542EB9">
        <w:rPr>
          <w:noProof/>
        </w:rPr>
        <w:t xml:space="preserve">the proposed intervention will positively impact capacities of Member States and national authorities, </w:t>
      </w:r>
      <w:r w:rsidR="00974B08" w:rsidRPr="00542EB9">
        <w:rPr>
          <w:noProof/>
        </w:rPr>
        <w:t xml:space="preserve">supporting </w:t>
      </w:r>
      <w:r w:rsidR="002739B3" w:rsidRPr="00542EB9" w:rsidDel="001973BB">
        <w:rPr>
          <w:noProof/>
        </w:rPr>
        <w:t>a</w:t>
      </w:r>
      <w:r w:rsidR="002739B3" w:rsidRPr="00542EB9">
        <w:rPr>
          <w:noProof/>
        </w:rPr>
        <w:t xml:space="preserve"> well</w:t>
      </w:r>
      <w:r w:rsidR="00190CB1" w:rsidRPr="00542EB9">
        <w:rPr>
          <w:noProof/>
        </w:rPr>
        <w:t xml:space="preserve">-functioning single market </w:t>
      </w:r>
      <w:r w:rsidR="0020428E" w:rsidRPr="00542EB9">
        <w:rPr>
          <w:noProof/>
        </w:rPr>
        <w:t xml:space="preserve">which adapts to new technological challenges (e.g. </w:t>
      </w:r>
      <w:r w:rsidR="00781C57" w:rsidRPr="00542EB9">
        <w:rPr>
          <w:noProof/>
        </w:rPr>
        <w:t>adapting contract la</w:t>
      </w:r>
      <w:r w:rsidR="0037390D" w:rsidRPr="00542EB9">
        <w:rPr>
          <w:noProof/>
        </w:rPr>
        <w:t>w, standardisation</w:t>
      </w:r>
      <w:r w:rsidR="00781C57" w:rsidRPr="00542EB9">
        <w:rPr>
          <w:b/>
          <w:bCs/>
          <w:noProof/>
        </w:rPr>
        <w:t xml:space="preserve"> </w:t>
      </w:r>
      <w:r w:rsidR="00781C57" w:rsidRPr="00542EB9">
        <w:rPr>
          <w:noProof/>
        </w:rPr>
        <w:t>to the needs of the digital economy</w:t>
      </w:r>
      <w:r w:rsidR="00357E45" w:rsidRPr="00542EB9">
        <w:rPr>
          <w:noProof/>
        </w:rPr>
        <w:t>)</w:t>
      </w:r>
      <w:r w:rsidR="00974B08" w:rsidRPr="00542EB9">
        <w:rPr>
          <w:noProof/>
        </w:rPr>
        <w:t>. This is</w:t>
      </w:r>
      <w:r w:rsidR="002739B3" w:rsidRPr="00542EB9">
        <w:rPr>
          <w:noProof/>
        </w:rPr>
        <w:t xml:space="preserve"> essential to ensure seamless digital cross-border transactions and </w:t>
      </w:r>
      <w:r w:rsidR="0037390D" w:rsidRPr="00542EB9">
        <w:rPr>
          <w:noProof/>
        </w:rPr>
        <w:t>could help in</w:t>
      </w:r>
      <w:r w:rsidR="002739B3" w:rsidRPr="00542EB9">
        <w:rPr>
          <w:noProof/>
        </w:rPr>
        <w:t xml:space="preserve"> the development of innovative digital business model</w:t>
      </w:r>
      <w:r w:rsidR="00494DA2" w:rsidRPr="00542EB9">
        <w:rPr>
          <w:noProof/>
        </w:rPr>
        <w:t>.</w:t>
      </w:r>
      <w:r w:rsidR="00B81FB0" w:rsidRPr="00542EB9">
        <w:rPr>
          <w:noProof/>
        </w:rPr>
        <w:t xml:space="preserve"> </w:t>
      </w:r>
    </w:p>
    <w:p w14:paraId="35196763" w14:textId="45E22136" w:rsidR="00225203" w:rsidRPr="00542EB9" w:rsidRDefault="00225203" w:rsidP="00926DF1">
      <w:pPr>
        <w:spacing w:after="200" w:line="276" w:lineRule="auto"/>
        <w:rPr>
          <w:b/>
          <w:noProof/>
        </w:rPr>
      </w:pPr>
      <w:r w:rsidRPr="00542EB9">
        <w:rPr>
          <w:b/>
          <w:noProof/>
        </w:rPr>
        <w:t>SME competitiveness</w:t>
      </w:r>
      <w:r w:rsidR="006B4EF0" w:rsidRPr="00542EB9">
        <w:rPr>
          <w:b/>
          <w:bCs/>
          <w:noProof/>
        </w:rPr>
        <w:t xml:space="preserve">: </w:t>
      </w:r>
      <w:r w:rsidR="006B4EF0" w:rsidRPr="00542EB9">
        <w:rPr>
          <w:noProof/>
        </w:rPr>
        <w:t>similar effects expected for SMEs as compared to large companies for all competitiveness dimensions.</w:t>
      </w:r>
      <w:r w:rsidR="00974B08" w:rsidRPr="00542EB9">
        <w:rPr>
          <w:noProof/>
        </w:rPr>
        <w:t xml:space="preserve"> SMEs will benefit significantly from a unified and simplified funding environment</w:t>
      </w:r>
      <w:r w:rsidR="006D7B94" w:rsidRPr="00542EB9">
        <w:rPr>
          <w:noProof/>
        </w:rPr>
        <w:t xml:space="preserve"> with</w:t>
      </w:r>
      <w:r w:rsidR="00F20424" w:rsidRPr="00542EB9">
        <w:rPr>
          <w:noProof/>
        </w:rPr>
        <w:t xml:space="preserve"> harmonised procedures lowering barriers and administrative burden</w:t>
      </w:r>
      <w:r w:rsidR="00974B08" w:rsidRPr="00542EB9">
        <w:rPr>
          <w:noProof/>
        </w:rPr>
        <w:t xml:space="preserve">. </w:t>
      </w:r>
    </w:p>
    <w:p w14:paraId="22263A4A" w14:textId="19B8279B" w:rsidR="00926DF1" w:rsidRPr="00542EB9" w:rsidRDefault="0017220C" w:rsidP="006F11B6">
      <w:pPr>
        <w:pStyle w:val="Heading1"/>
        <w:rPr>
          <w:noProof/>
        </w:rPr>
      </w:pPr>
      <w:bookmarkStart w:id="110" w:name="_Toc198549082"/>
      <w:r w:rsidRPr="00542EB9">
        <w:rPr>
          <w:noProof/>
        </w:rPr>
        <w:t>Competitive position of the m</w:t>
      </w:r>
      <w:r w:rsidR="00926DF1" w:rsidRPr="00542EB9">
        <w:rPr>
          <w:noProof/>
        </w:rPr>
        <w:t>ost affected sectors</w:t>
      </w:r>
      <w:bookmarkEnd w:id="110"/>
    </w:p>
    <w:p w14:paraId="72509B76" w14:textId="772FCA08" w:rsidR="00926DF1" w:rsidRPr="00542EB9" w:rsidRDefault="0017220C" w:rsidP="00926DF1">
      <w:pPr>
        <w:spacing w:after="200" w:line="276" w:lineRule="auto"/>
        <w:rPr>
          <w:noProof/>
        </w:rPr>
      </w:pPr>
      <w:r w:rsidRPr="00542EB9">
        <w:rPr>
          <w:noProof/>
        </w:rPr>
        <w:t>The proposed intervention</w:t>
      </w:r>
      <w:r w:rsidR="00F46CC8" w:rsidRPr="00542EB9">
        <w:rPr>
          <w:noProof/>
        </w:rPr>
        <w:t xml:space="preserve"> </w:t>
      </w:r>
      <w:r w:rsidR="00815452" w:rsidRPr="00542EB9">
        <w:rPr>
          <w:noProof/>
        </w:rPr>
        <w:t xml:space="preserve">is </w:t>
      </w:r>
      <w:r w:rsidR="007808CE" w:rsidRPr="00542EB9">
        <w:rPr>
          <w:noProof/>
        </w:rPr>
        <w:t xml:space="preserve">horizontal and affect large parts of the economy. It is not possible to identify the most affected sector </w:t>
      </w:r>
      <w:r w:rsidR="00581874" w:rsidRPr="00542EB9">
        <w:rPr>
          <w:noProof/>
        </w:rPr>
        <w:t>affected by the preferred policy option</w:t>
      </w:r>
      <w:r w:rsidR="007808CE" w:rsidRPr="00542EB9">
        <w:rPr>
          <w:noProof/>
        </w:rPr>
        <w:t xml:space="preserve"> and analyse their competitive position.</w:t>
      </w:r>
    </w:p>
    <w:p w14:paraId="46F18834" w14:textId="50914143" w:rsidR="008A4E72" w:rsidRPr="00542EB9" w:rsidRDefault="7898DFD5" w:rsidP="008A4E72">
      <w:pPr>
        <w:pStyle w:val="AnnexTitle"/>
        <w:rPr>
          <w:noProof/>
        </w:rPr>
      </w:pPr>
      <w:bookmarkStart w:id="111" w:name="_Toc198549083"/>
      <w:bookmarkStart w:id="112" w:name="_Toc191909169"/>
      <w:r w:rsidRPr="00542EB9">
        <w:rPr>
          <w:noProof/>
        </w:rPr>
        <w:t xml:space="preserve">Annex </w:t>
      </w:r>
      <w:r w:rsidR="59FE9A62" w:rsidRPr="00542EB9">
        <w:rPr>
          <w:noProof/>
        </w:rPr>
        <w:t>6</w:t>
      </w:r>
      <w:r w:rsidRPr="00542EB9">
        <w:rPr>
          <w:noProof/>
        </w:rPr>
        <w:t xml:space="preserve">: SME </w:t>
      </w:r>
      <w:r w:rsidR="6078A2BA" w:rsidRPr="00542EB9">
        <w:rPr>
          <w:noProof/>
        </w:rPr>
        <w:t>Check</w:t>
      </w:r>
      <w:bookmarkEnd w:id="111"/>
    </w:p>
    <w:tbl>
      <w:tblPr>
        <w:tblStyle w:val="TableGrid"/>
        <w:tblW w:w="0" w:type="auto"/>
        <w:tblInd w:w="-34" w:type="dxa"/>
        <w:tblLook w:val="04A0" w:firstRow="1" w:lastRow="0" w:firstColumn="1" w:lastColumn="0" w:noHBand="0" w:noVBand="1"/>
      </w:tblPr>
      <w:tblGrid>
        <w:gridCol w:w="8642"/>
      </w:tblGrid>
      <w:tr w:rsidR="000D6A36" w:rsidRPr="00542EB9" w14:paraId="1675AE83" w14:textId="77777777" w:rsidTr="00CA0665">
        <w:tc>
          <w:tcPr>
            <w:tcW w:w="8642" w:type="dxa"/>
          </w:tcPr>
          <w:p w14:paraId="681C0842" w14:textId="77777777" w:rsidR="000D6A36" w:rsidRPr="00542EB9" w:rsidRDefault="000D6A36" w:rsidP="000D6A36">
            <w:pPr>
              <w:rPr>
                <w:b/>
                <w:bCs/>
                <w:noProof/>
              </w:rPr>
            </w:pPr>
            <w:r w:rsidRPr="00542EB9">
              <w:rPr>
                <w:b/>
                <w:bCs/>
                <w:noProof/>
              </w:rPr>
              <w:t xml:space="preserve">Relevance for SMEs </w:t>
            </w:r>
          </w:p>
        </w:tc>
      </w:tr>
      <w:tr w:rsidR="000D6A36" w:rsidRPr="00542EB9" w14:paraId="25DC1834" w14:textId="77777777" w:rsidTr="00CA0665">
        <w:tc>
          <w:tcPr>
            <w:tcW w:w="8642" w:type="dxa"/>
          </w:tcPr>
          <w:p w14:paraId="1776064B" w14:textId="5CDF6808" w:rsidR="000D6A36" w:rsidRPr="00542EB9" w:rsidRDefault="004F5BB1" w:rsidP="000D6A36">
            <w:pPr>
              <w:rPr>
                <w:noProof/>
              </w:rPr>
            </w:pPr>
            <w:r w:rsidRPr="00542EB9">
              <w:rPr>
                <w:noProof/>
              </w:rPr>
              <w:t xml:space="preserve">The </w:t>
            </w:r>
            <w:r w:rsidR="008D3DFC" w:rsidRPr="00542EB9">
              <w:rPr>
                <w:noProof/>
              </w:rPr>
              <w:t>proposed intervention</w:t>
            </w:r>
            <w:r w:rsidRPr="00542EB9">
              <w:rPr>
                <w:noProof/>
              </w:rPr>
              <w:t xml:space="preserve"> is relevant</w:t>
            </w:r>
            <w:r w:rsidR="00DA1DB1" w:rsidRPr="00542EB9">
              <w:rPr>
                <w:noProof/>
              </w:rPr>
              <w:t xml:space="preserve"> for SMEs.</w:t>
            </w:r>
            <w:r w:rsidR="00A05291" w:rsidRPr="00542EB9">
              <w:rPr>
                <w:noProof/>
              </w:rPr>
              <w:t xml:space="preserve"> Although, the initiative is not </w:t>
            </w:r>
            <w:r w:rsidR="008D3B9F" w:rsidRPr="00542EB9">
              <w:rPr>
                <w:noProof/>
              </w:rPr>
              <w:t>targeting SMEs specifically</w:t>
            </w:r>
            <w:r w:rsidR="0087721D" w:rsidRPr="00542EB9">
              <w:rPr>
                <w:noProof/>
              </w:rPr>
              <w:t>, but other stakeholders such as national authorities, standardisation organisation, representative organisations, or the Commission itself.</w:t>
            </w:r>
            <w:r w:rsidR="00104ED2" w:rsidRPr="00542EB9">
              <w:rPr>
                <w:noProof/>
              </w:rPr>
              <w:t xml:space="preserve"> </w:t>
            </w:r>
          </w:p>
        </w:tc>
      </w:tr>
      <w:tr w:rsidR="00BB1C6B" w:rsidRPr="00542EB9" w14:paraId="1132CDD1" w14:textId="77777777">
        <w:tc>
          <w:tcPr>
            <w:tcW w:w="9322" w:type="dxa"/>
          </w:tcPr>
          <w:p w14:paraId="2069AD87" w14:textId="77777777" w:rsidR="00BB1C6B" w:rsidRPr="00542EB9" w:rsidRDefault="00BB1C6B" w:rsidP="00BB1C6B">
            <w:pPr>
              <w:rPr>
                <w:b/>
                <w:bCs/>
                <w:noProof/>
              </w:rPr>
            </w:pPr>
            <w:r w:rsidRPr="00542EB9">
              <w:rPr>
                <w:b/>
                <w:bCs/>
                <w:noProof/>
              </w:rPr>
              <w:t>(1)</w:t>
            </w:r>
            <w:r w:rsidRPr="00542EB9">
              <w:rPr>
                <w:noProof/>
              </w:rPr>
              <w:tab/>
            </w:r>
            <w:r w:rsidRPr="00542EB9">
              <w:rPr>
                <w:b/>
                <w:bCs/>
                <w:noProof/>
              </w:rPr>
              <w:t>Identification of affected businesses and assessment of relevance</w:t>
            </w:r>
          </w:p>
        </w:tc>
      </w:tr>
      <w:tr w:rsidR="00BB1C6B" w:rsidRPr="00542EB9" w14:paraId="7856241D" w14:textId="77777777">
        <w:tc>
          <w:tcPr>
            <w:tcW w:w="9322" w:type="dxa"/>
          </w:tcPr>
          <w:p w14:paraId="650E801F" w14:textId="77777777" w:rsidR="00BB1C6B" w:rsidRPr="00542EB9" w:rsidRDefault="00BB1C6B" w:rsidP="00BB1C6B">
            <w:pPr>
              <w:rPr>
                <w:b/>
                <w:bCs/>
                <w:noProof/>
              </w:rPr>
            </w:pPr>
            <w:r w:rsidRPr="00542EB9">
              <w:rPr>
                <w:b/>
                <w:bCs/>
                <w:noProof/>
              </w:rPr>
              <w:t>Are SMEs directly affected?</w:t>
            </w:r>
            <w:r w:rsidRPr="00542EB9">
              <w:rPr>
                <w:noProof/>
              </w:rPr>
              <w:t xml:space="preserve"> </w:t>
            </w:r>
            <w:r w:rsidRPr="00542EB9">
              <w:rPr>
                <w:i/>
                <w:iCs/>
                <w:noProof/>
              </w:rPr>
              <w:t>(Yes/No)</w:t>
            </w:r>
            <w:r w:rsidRPr="00542EB9">
              <w:rPr>
                <w:noProof/>
              </w:rPr>
              <w:t xml:space="preserve"> </w:t>
            </w:r>
            <w:r w:rsidRPr="00542EB9">
              <w:rPr>
                <w:b/>
                <w:bCs/>
                <w:noProof/>
              </w:rPr>
              <w:t>In which sectors?</w:t>
            </w:r>
          </w:p>
        </w:tc>
      </w:tr>
      <w:tr w:rsidR="00BB1C6B" w:rsidRPr="00542EB9" w14:paraId="22CCA15C" w14:textId="77777777">
        <w:tc>
          <w:tcPr>
            <w:tcW w:w="9322" w:type="dxa"/>
          </w:tcPr>
          <w:p w14:paraId="50D76162" w14:textId="5807B347" w:rsidR="00177449" w:rsidRPr="00542EB9" w:rsidRDefault="006E03A9" w:rsidP="00A13EBF">
            <w:pPr>
              <w:rPr>
                <w:noProof/>
              </w:rPr>
            </w:pPr>
            <w:r w:rsidRPr="00542EB9">
              <w:rPr>
                <w:noProof/>
              </w:rPr>
              <w:t xml:space="preserve">The main direct impact identified for SMEs would result from the voluntary use of tools, platforms, and services financed by the </w:t>
            </w:r>
            <w:r w:rsidR="008D3DFC" w:rsidRPr="00542EB9">
              <w:rPr>
                <w:noProof/>
              </w:rPr>
              <w:t>proposed intervention</w:t>
            </w:r>
            <w:r w:rsidR="00AF297F" w:rsidRPr="00542EB9">
              <w:rPr>
                <w:noProof/>
              </w:rPr>
              <w:t xml:space="preserve"> (Your Europe, Your Europe Advice, Eurostat, EU Taxonomy Compass)</w:t>
            </w:r>
            <w:r w:rsidR="008D3DFC" w:rsidRPr="00542EB9">
              <w:rPr>
                <w:noProof/>
              </w:rPr>
              <w:t>.</w:t>
            </w:r>
            <w:r w:rsidRPr="00542EB9">
              <w:rPr>
                <w:noProof/>
              </w:rPr>
              <w:t xml:space="preserve"> A very small number of SMEs could for instance benefit from training</w:t>
            </w:r>
            <w:r w:rsidR="00AF297F" w:rsidRPr="00542EB9">
              <w:rPr>
                <w:noProof/>
              </w:rPr>
              <w:t xml:space="preserve"> as direct beneficiaries</w:t>
            </w:r>
            <w:r w:rsidRPr="00542EB9">
              <w:rPr>
                <w:noProof/>
              </w:rPr>
              <w:t>. This is dependent on SMEs’ choice to make use of these, hence assessing the benefits derived from this use could only be too broadly estimated.</w:t>
            </w:r>
          </w:p>
          <w:p w14:paraId="36D84B47" w14:textId="4C0A9243" w:rsidR="00F74E95" w:rsidRPr="00542EB9" w:rsidRDefault="00F74E95" w:rsidP="00A13EBF">
            <w:pPr>
              <w:rPr>
                <w:noProof/>
              </w:rPr>
            </w:pPr>
          </w:p>
        </w:tc>
      </w:tr>
      <w:tr w:rsidR="00BB1C6B" w:rsidRPr="00542EB9" w14:paraId="6A97B1DE" w14:textId="77777777">
        <w:tc>
          <w:tcPr>
            <w:tcW w:w="9322" w:type="dxa"/>
          </w:tcPr>
          <w:p w14:paraId="1F57139A" w14:textId="77777777" w:rsidR="00BB1C6B" w:rsidRPr="00542EB9" w:rsidRDefault="00BB1C6B" w:rsidP="00BB1C6B">
            <w:pPr>
              <w:rPr>
                <w:b/>
                <w:noProof/>
              </w:rPr>
            </w:pPr>
            <w:r w:rsidRPr="00542EB9">
              <w:rPr>
                <w:b/>
                <w:noProof/>
              </w:rPr>
              <w:t>Estimated number of directly affected SMEs</w:t>
            </w:r>
          </w:p>
        </w:tc>
      </w:tr>
      <w:tr w:rsidR="00BB1C6B" w:rsidRPr="00542EB9" w14:paraId="01BDDBD9" w14:textId="77777777">
        <w:tc>
          <w:tcPr>
            <w:tcW w:w="9322" w:type="dxa"/>
          </w:tcPr>
          <w:p w14:paraId="56226D09" w14:textId="65B6016C" w:rsidR="00BB1C6B" w:rsidRPr="00542EB9" w:rsidRDefault="001F1E6C" w:rsidP="00A13EBF">
            <w:pPr>
              <w:rPr>
                <w:rFonts w:eastAsiaTheme="minorEastAsia"/>
                <w:i/>
                <w:iCs/>
                <w:noProof/>
              </w:rPr>
            </w:pPr>
            <w:r w:rsidRPr="00542EB9" w:rsidDel="0093270A">
              <w:rPr>
                <w:noProof/>
              </w:rPr>
              <w:t>The proposed intervention is of horizontal nature and affect large parts of the economy</w:t>
            </w:r>
            <w:r w:rsidR="008C2C3A" w:rsidRPr="00542EB9" w:rsidDel="0093270A">
              <w:rPr>
                <w:noProof/>
              </w:rPr>
              <w:t xml:space="preserve">, potentially 24.3 million SMEs </w:t>
            </w:r>
            <w:r w:rsidR="00146766" w:rsidRPr="00542EB9" w:rsidDel="0093270A">
              <w:rPr>
                <w:noProof/>
              </w:rPr>
              <w:t>in the EU.</w:t>
            </w:r>
          </w:p>
        </w:tc>
      </w:tr>
      <w:tr w:rsidR="00BB1C6B" w:rsidRPr="00542EB9" w14:paraId="1E3157E7" w14:textId="77777777">
        <w:tc>
          <w:tcPr>
            <w:tcW w:w="9322" w:type="dxa"/>
          </w:tcPr>
          <w:p w14:paraId="6BA7C4AF" w14:textId="77777777" w:rsidR="00BB1C6B" w:rsidRPr="00542EB9" w:rsidRDefault="00BB1C6B" w:rsidP="00BB1C6B">
            <w:pPr>
              <w:rPr>
                <w:b/>
                <w:noProof/>
              </w:rPr>
            </w:pPr>
            <w:r w:rsidRPr="00542EB9">
              <w:rPr>
                <w:b/>
                <w:noProof/>
              </w:rPr>
              <w:t>Estimated number of employees in directly affected SMEs</w:t>
            </w:r>
          </w:p>
        </w:tc>
      </w:tr>
      <w:tr w:rsidR="00BB1C6B" w:rsidRPr="00542EB9" w14:paraId="534885AA" w14:textId="77777777">
        <w:tc>
          <w:tcPr>
            <w:tcW w:w="9322" w:type="dxa"/>
          </w:tcPr>
          <w:p w14:paraId="555259B6" w14:textId="46710059" w:rsidR="00BB1C6B" w:rsidRPr="00542EB9" w:rsidRDefault="0012242E" w:rsidP="00A13EBF">
            <w:pPr>
              <w:rPr>
                <w:rFonts w:eastAsiaTheme="minorEastAsia"/>
                <w:i/>
                <w:iCs/>
                <w:noProof/>
              </w:rPr>
            </w:pPr>
            <w:r w:rsidRPr="00542EB9">
              <w:rPr>
                <w:noProof/>
              </w:rPr>
              <w:t>According te the European Commission, Europe has 24.3 million SMEs, providing jobs to more than 85 million European citizens, i.e. with a ratio of about 3.5 jobs per SME.</w:t>
            </w:r>
            <w:r w:rsidRPr="00542EB9">
              <w:rPr>
                <w:rFonts w:eastAsiaTheme="minorEastAsia"/>
                <w:i/>
                <w:iCs/>
                <w:noProof/>
              </w:rPr>
              <w:t xml:space="preserve"> </w:t>
            </w:r>
          </w:p>
        </w:tc>
      </w:tr>
      <w:tr w:rsidR="00BB1C6B" w:rsidRPr="00542EB9" w14:paraId="53327FDB" w14:textId="77777777">
        <w:tc>
          <w:tcPr>
            <w:tcW w:w="9322" w:type="dxa"/>
          </w:tcPr>
          <w:p w14:paraId="203CAFD7" w14:textId="2174DA62" w:rsidR="00BB1C6B" w:rsidRPr="00542EB9" w:rsidRDefault="00BB1C6B" w:rsidP="00BB1C6B">
            <w:pPr>
              <w:rPr>
                <w:b/>
                <w:bCs/>
                <w:noProof/>
              </w:rPr>
            </w:pPr>
            <w:r w:rsidRPr="00542EB9">
              <w:rPr>
                <w:b/>
                <w:bCs/>
                <w:noProof/>
              </w:rPr>
              <w:t xml:space="preserve">Are SMEs indirectly affected? </w:t>
            </w:r>
            <w:r w:rsidR="00240354" w:rsidRPr="00542EB9">
              <w:rPr>
                <w:i/>
                <w:iCs/>
                <w:noProof/>
              </w:rPr>
              <w:t>YES</w:t>
            </w:r>
            <w:r w:rsidR="00A16FA7" w:rsidRPr="00542EB9">
              <w:rPr>
                <w:i/>
                <w:iCs/>
                <w:noProof/>
              </w:rPr>
              <w:t>.</w:t>
            </w:r>
            <w:r w:rsidRPr="00542EB9">
              <w:rPr>
                <w:b/>
                <w:bCs/>
                <w:noProof/>
              </w:rPr>
              <w:t xml:space="preserve"> In which sectors? What is the estimated number of indirectly affected SMEs and employees?</w:t>
            </w:r>
          </w:p>
        </w:tc>
      </w:tr>
      <w:tr w:rsidR="00BB1C6B" w:rsidRPr="00542EB9" w14:paraId="6349E69D" w14:textId="77777777">
        <w:trPr>
          <w:trHeight w:val="300"/>
        </w:trPr>
        <w:tc>
          <w:tcPr>
            <w:tcW w:w="9322" w:type="dxa"/>
          </w:tcPr>
          <w:p w14:paraId="6AD6085F" w14:textId="18D6F838" w:rsidR="007B0E80" w:rsidRPr="00542EB9" w:rsidRDefault="007B0E80" w:rsidP="00B26F84">
            <w:pPr>
              <w:spacing w:after="0"/>
              <w:rPr>
                <w:noProof/>
              </w:rPr>
            </w:pPr>
            <w:r w:rsidRPr="00542EB9">
              <w:rPr>
                <w:noProof/>
              </w:rPr>
              <w:t xml:space="preserve">SMEs will be </w:t>
            </w:r>
            <w:r w:rsidRPr="00542EB9">
              <w:rPr>
                <w:b/>
                <w:bCs/>
                <w:noProof/>
              </w:rPr>
              <w:t>indirectly</w:t>
            </w:r>
            <w:r w:rsidRPr="00542EB9">
              <w:rPr>
                <w:noProof/>
              </w:rPr>
              <w:t xml:space="preserve"> affected by the initiative. SMEs </w:t>
            </w:r>
            <w:r w:rsidRPr="00542EB9" w:rsidDel="00E7577E">
              <w:rPr>
                <w:noProof/>
              </w:rPr>
              <w:t xml:space="preserve">will </w:t>
            </w:r>
            <w:r w:rsidRPr="00542EB9">
              <w:rPr>
                <w:noProof/>
              </w:rPr>
              <w:t>be eligible as direct beneficiaries under calls for proposals.</w:t>
            </w:r>
            <w:r w:rsidR="001C1970" w:rsidRPr="00542EB9">
              <w:rPr>
                <w:noProof/>
              </w:rPr>
              <w:t xml:space="preserve"> </w:t>
            </w:r>
            <w:r w:rsidRPr="00542EB9">
              <w:rPr>
                <w:noProof/>
              </w:rPr>
              <w:t>SMEs</w:t>
            </w:r>
            <w:r w:rsidRPr="00542EB9" w:rsidDel="001C1970">
              <w:rPr>
                <w:noProof/>
              </w:rPr>
              <w:t xml:space="preserve"> </w:t>
            </w:r>
            <w:r w:rsidR="001C1970" w:rsidRPr="00542EB9">
              <w:rPr>
                <w:noProof/>
              </w:rPr>
              <w:t xml:space="preserve">may </w:t>
            </w:r>
            <w:r w:rsidRPr="00542EB9">
              <w:rPr>
                <w:noProof/>
              </w:rPr>
              <w:t>benefit from the activities financed under the programme</w:t>
            </w:r>
            <w:r w:rsidR="00BA7706" w:rsidRPr="00542EB9">
              <w:rPr>
                <w:noProof/>
              </w:rPr>
              <w:t xml:space="preserve">. </w:t>
            </w:r>
            <w:r w:rsidRPr="00542EB9">
              <w:rPr>
                <w:noProof/>
              </w:rPr>
              <w:t xml:space="preserve">Based on current </w:t>
            </w:r>
            <w:r w:rsidR="007241C6" w:rsidRPr="00542EB9">
              <w:rPr>
                <w:noProof/>
              </w:rPr>
              <w:t xml:space="preserve">data </w:t>
            </w:r>
            <w:r w:rsidRPr="00542EB9">
              <w:rPr>
                <w:noProof/>
              </w:rPr>
              <w:t xml:space="preserve">the following estimates </w:t>
            </w:r>
            <w:r w:rsidR="00A16FA7" w:rsidRPr="00542EB9">
              <w:rPr>
                <w:noProof/>
              </w:rPr>
              <w:t xml:space="preserve">related to digital tools used by </w:t>
            </w:r>
            <w:r w:rsidR="00896954" w:rsidRPr="00542EB9">
              <w:rPr>
                <w:noProof/>
              </w:rPr>
              <w:t>businesses such as SMEs</w:t>
            </w:r>
            <w:r w:rsidR="00A16FA7" w:rsidRPr="00542EB9">
              <w:rPr>
                <w:noProof/>
              </w:rPr>
              <w:t xml:space="preserve"> </w:t>
            </w:r>
            <w:r w:rsidRPr="00542EB9">
              <w:rPr>
                <w:noProof/>
              </w:rPr>
              <w:t xml:space="preserve">may be expected during 2028-2034, but it must be noted that the figures do not distinguish between SMEs and other stakeholders: </w:t>
            </w:r>
          </w:p>
          <w:p w14:paraId="300C107C" w14:textId="77777777" w:rsidR="007B0E80" w:rsidRPr="00542EB9" w:rsidRDefault="007B0E80" w:rsidP="00B26F84">
            <w:pPr>
              <w:pStyle w:val="bullet1"/>
              <w:spacing w:before="0" w:after="0"/>
              <w:ind w:left="714" w:hanging="357"/>
              <w:rPr>
                <w:rFonts w:ascii="Times New Roman" w:hAnsi="Times New Roman"/>
                <w:sz w:val="24"/>
              </w:rPr>
            </w:pPr>
            <w:r w:rsidRPr="00542EB9">
              <w:rPr>
                <w:rFonts w:ascii="Times New Roman" w:hAnsi="Times New Roman"/>
                <w:sz w:val="24"/>
              </w:rPr>
              <w:t>Your Europe: 300 million visits</w:t>
            </w:r>
          </w:p>
          <w:p w14:paraId="59E13525" w14:textId="77777777" w:rsidR="007B0E80" w:rsidRPr="00542EB9" w:rsidRDefault="007B0E80" w:rsidP="00B26F84">
            <w:pPr>
              <w:pStyle w:val="bullet1"/>
              <w:spacing w:before="0" w:after="0"/>
              <w:ind w:left="714" w:hanging="357"/>
              <w:rPr>
                <w:rFonts w:ascii="Times New Roman" w:hAnsi="Times New Roman"/>
                <w:sz w:val="24"/>
              </w:rPr>
            </w:pPr>
            <w:r w:rsidRPr="00542EB9">
              <w:rPr>
                <w:rFonts w:ascii="Times New Roman" w:hAnsi="Times New Roman"/>
                <w:sz w:val="24"/>
              </w:rPr>
              <w:t>Your Europe Advice: 150 000 queries addressed</w:t>
            </w:r>
          </w:p>
          <w:p w14:paraId="2FC0ACF3" w14:textId="77777777" w:rsidR="007B0E80" w:rsidRPr="00542EB9" w:rsidRDefault="007B0E80" w:rsidP="00B26F84">
            <w:pPr>
              <w:pStyle w:val="bullet1"/>
              <w:spacing w:before="0" w:after="0"/>
              <w:ind w:left="714" w:hanging="357"/>
              <w:rPr>
                <w:rFonts w:ascii="Times New Roman" w:hAnsi="Times New Roman"/>
                <w:sz w:val="24"/>
              </w:rPr>
            </w:pPr>
            <w:r w:rsidRPr="00542EB9">
              <w:rPr>
                <w:rFonts w:ascii="Times New Roman" w:hAnsi="Times New Roman"/>
                <w:sz w:val="24"/>
              </w:rPr>
              <w:t>Eurostat: 28 million database sessions</w:t>
            </w:r>
          </w:p>
          <w:p w14:paraId="0DB7BE52" w14:textId="77777777" w:rsidR="007B0E80" w:rsidRPr="00542EB9" w:rsidRDefault="007B0E80" w:rsidP="00B26F84">
            <w:pPr>
              <w:pStyle w:val="bullet1"/>
              <w:spacing w:before="0" w:after="0"/>
              <w:ind w:left="714" w:hanging="357"/>
              <w:rPr>
                <w:rFonts w:ascii="Times New Roman" w:hAnsi="Times New Roman"/>
                <w:sz w:val="24"/>
              </w:rPr>
            </w:pPr>
            <w:r w:rsidRPr="00542EB9">
              <w:rPr>
                <w:rFonts w:ascii="Times New Roman" w:hAnsi="Times New Roman"/>
                <w:sz w:val="24"/>
              </w:rPr>
              <w:t>EU Taxonomy compass: 1 million visitors, 2.2 million visits</w:t>
            </w:r>
          </w:p>
          <w:p w14:paraId="5D0D13AC" w14:textId="77777777" w:rsidR="007B0E80" w:rsidRPr="00542EB9" w:rsidRDefault="007B0E80" w:rsidP="00B26F84">
            <w:pPr>
              <w:pStyle w:val="bullet1"/>
              <w:spacing w:before="0" w:after="0"/>
              <w:ind w:left="714" w:hanging="357"/>
              <w:rPr>
                <w:rFonts w:ascii="Times New Roman" w:hAnsi="Times New Roman"/>
                <w:sz w:val="24"/>
              </w:rPr>
            </w:pPr>
            <w:r w:rsidRPr="00542EB9">
              <w:rPr>
                <w:rFonts w:ascii="Times New Roman" w:hAnsi="Times New Roman"/>
                <w:sz w:val="24"/>
              </w:rPr>
              <w:t>Consumer professionals trained: 2100.</w:t>
            </w:r>
          </w:p>
          <w:p w14:paraId="71EE6FF4" w14:textId="1E0B8ADE" w:rsidR="00BB1C6B" w:rsidRPr="00542EB9" w:rsidRDefault="007B0E80" w:rsidP="00BB1C6B">
            <w:pPr>
              <w:rPr>
                <w:noProof/>
              </w:rPr>
            </w:pPr>
            <w:r w:rsidRPr="00542EB9">
              <w:rPr>
                <w:noProof/>
              </w:rPr>
              <w:t xml:space="preserve">The following sectors are relevant to the </w:t>
            </w:r>
            <w:r w:rsidR="00E80830" w:rsidRPr="00542EB9">
              <w:rPr>
                <w:noProof/>
              </w:rPr>
              <w:t xml:space="preserve">intervention </w:t>
            </w:r>
            <w:r w:rsidRPr="00542EB9">
              <w:rPr>
                <w:noProof/>
              </w:rPr>
              <w:t>and therefore SMEs operating in these might be indirectly affected by the programme: competition, standardisation, market surveillance, taxation, customs, anti-fraud.</w:t>
            </w:r>
            <w:r w:rsidR="008A532B" w:rsidRPr="00542EB9">
              <w:rPr>
                <w:noProof/>
              </w:rPr>
              <w:t xml:space="preserve"> </w:t>
            </w:r>
          </w:p>
        </w:tc>
      </w:tr>
    </w:tbl>
    <w:p w14:paraId="539DC7E5" w14:textId="77777777" w:rsidR="008A4E72" w:rsidRPr="00542EB9" w:rsidRDefault="008A4E72" w:rsidP="00C949D3">
      <w:pPr>
        <w:rPr>
          <w:noProof/>
        </w:rPr>
      </w:pPr>
    </w:p>
    <w:tbl>
      <w:tblPr>
        <w:tblStyle w:val="TableGrid"/>
        <w:tblW w:w="8676" w:type="dxa"/>
        <w:tblInd w:w="-34" w:type="dxa"/>
        <w:tblLook w:val="04A0" w:firstRow="1" w:lastRow="0" w:firstColumn="1" w:lastColumn="0" w:noHBand="0" w:noVBand="1"/>
      </w:tblPr>
      <w:tblGrid>
        <w:gridCol w:w="8676"/>
      </w:tblGrid>
      <w:tr w:rsidR="005C65FE" w:rsidRPr="00542EB9" w14:paraId="4C2037BE" w14:textId="77777777" w:rsidTr="00645819">
        <w:tc>
          <w:tcPr>
            <w:tcW w:w="8676" w:type="dxa"/>
          </w:tcPr>
          <w:p w14:paraId="5BFE76CB" w14:textId="77777777" w:rsidR="005C65FE" w:rsidRPr="00542EB9" w:rsidRDefault="005C65FE" w:rsidP="005C65FE">
            <w:pPr>
              <w:numPr>
                <w:ilvl w:val="0"/>
                <w:numId w:val="90"/>
              </w:numPr>
              <w:rPr>
                <w:noProof/>
              </w:rPr>
            </w:pPr>
            <w:r w:rsidRPr="00542EB9">
              <w:rPr>
                <w:b/>
                <w:bCs/>
                <w:noProof/>
              </w:rPr>
              <w:t>Consultation of SME stakeholders</w:t>
            </w:r>
          </w:p>
        </w:tc>
      </w:tr>
      <w:tr w:rsidR="005C65FE" w:rsidRPr="00542EB9" w14:paraId="303D803D" w14:textId="77777777" w:rsidTr="00645819">
        <w:tc>
          <w:tcPr>
            <w:tcW w:w="8676" w:type="dxa"/>
          </w:tcPr>
          <w:p w14:paraId="0B074061" w14:textId="77777777" w:rsidR="005C65FE" w:rsidRPr="00542EB9" w:rsidRDefault="005C65FE" w:rsidP="005C65FE">
            <w:pPr>
              <w:rPr>
                <w:b/>
                <w:noProof/>
              </w:rPr>
            </w:pPr>
            <w:r w:rsidRPr="00542EB9">
              <w:rPr>
                <w:b/>
                <w:noProof/>
              </w:rPr>
              <w:t>How has the input from the SME community been taken into consideration?</w:t>
            </w:r>
          </w:p>
        </w:tc>
      </w:tr>
      <w:tr w:rsidR="005C65FE" w:rsidRPr="00542EB9" w14:paraId="119C4B85" w14:textId="77777777" w:rsidTr="00645819">
        <w:tc>
          <w:tcPr>
            <w:tcW w:w="8676" w:type="dxa"/>
          </w:tcPr>
          <w:p w14:paraId="0A9EED82" w14:textId="2E991FB4" w:rsidR="00C47E6D" w:rsidRPr="00542EB9" w:rsidRDefault="00C47E6D" w:rsidP="00C47E6D">
            <w:pPr>
              <w:rPr>
                <w:noProof/>
              </w:rPr>
            </w:pPr>
            <w:r w:rsidRPr="00542EB9">
              <w:rPr>
                <w:noProof/>
              </w:rPr>
              <w:t xml:space="preserve">The Commission collected input from SMEs via a public consultation open to all respondents focusing on the EU funding for the single market, and cooperation between national authorities which ran from 12 February to 6 May 2025. </w:t>
            </w:r>
            <w:r w:rsidR="00667E9E" w:rsidRPr="00542EB9">
              <w:rPr>
                <w:noProof/>
              </w:rPr>
              <w:t>No call for evidence was run for this impact assessment.</w:t>
            </w:r>
          </w:p>
          <w:p w14:paraId="4AA75CB4" w14:textId="462A956E" w:rsidR="00F27E9C" w:rsidRPr="00542EB9" w:rsidRDefault="00C47E6D" w:rsidP="00C47E6D">
            <w:pPr>
              <w:rPr>
                <w:i/>
                <w:iCs/>
                <w:noProof/>
              </w:rPr>
            </w:pPr>
            <w:r w:rsidRPr="00542EB9" w:rsidDel="00FF3605">
              <w:rPr>
                <w:noProof/>
              </w:rPr>
              <w:t>12</w:t>
            </w:r>
            <w:r w:rsidR="00FF3605" w:rsidRPr="00542EB9">
              <w:rPr>
                <w:noProof/>
              </w:rPr>
              <w:t xml:space="preserve"> </w:t>
            </w:r>
            <w:r w:rsidR="002C20E0" w:rsidRPr="00542EB9">
              <w:rPr>
                <w:noProof/>
              </w:rPr>
              <w:t>companies</w:t>
            </w:r>
            <w:r w:rsidRPr="00542EB9">
              <w:rPr>
                <w:noProof/>
              </w:rPr>
              <w:t xml:space="preserve"> and </w:t>
            </w:r>
            <w:r w:rsidR="00001636" w:rsidRPr="00542EB9">
              <w:rPr>
                <w:noProof/>
              </w:rPr>
              <w:t>three</w:t>
            </w:r>
            <w:r w:rsidRPr="00542EB9">
              <w:rPr>
                <w:noProof/>
              </w:rPr>
              <w:t xml:space="preserve"> business associations provided contributions</w:t>
            </w:r>
            <w:r w:rsidR="00F732B5" w:rsidRPr="00542EB9">
              <w:rPr>
                <w:noProof/>
              </w:rPr>
              <w:t>;</w:t>
            </w:r>
            <w:r w:rsidRPr="00542EB9">
              <w:rPr>
                <w:noProof/>
              </w:rPr>
              <w:t xml:space="preserve"> this represents </w:t>
            </w:r>
            <w:r w:rsidR="009071DD" w:rsidRPr="00542EB9">
              <w:rPr>
                <w:noProof/>
              </w:rPr>
              <w:t>less than 10</w:t>
            </w:r>
            <w:r w:rsidRPr="00542EB9">
              <w:rPr>
                <w:noProof/>
              </w:rPr>
              <w:t xml:space="preserve">% of all respondents. This shows a somewhat low participation of </w:t>
            </w:r>
            <w:r w:rsidR="002C20E0" w:rsidRPr="00542EB9">
              <w:rPr>
                <w:noProof/>
              </w:rPr>
              <w:t>businesses</w:t>
            </w:r>
            <w:r w:rsidRPr="00542EB9">
              <w:rPr>
                <w:noProof/>
              </w:rPr>
              <w:t>, proportional to the relevance of the proposed programme to SMEs. The input provided was therefore not substantial</w:t>
            </w:r>
            <w:r w:rsidR="002C20E0" w:rsidRPr="00542EB9">
              <w:rPr>
                <w:noProof/>
              </w:rPr>
              <w:t xml:space="preserve"> to draw any conclusions on views of SMEs</w:t>
            </w:r>
            <w:r w:rsidRPr="00542EB9">
              <w:rPr>
                <w:noProof/>
              </w:rPr>
              <w:t xml:space="preserve">, rendering the usefulness of this evidence for the cost-benefit analysis limited, yet </w:t>
            </w:r>
            <w:r w:rsidR="00F732B5" w:rsidRPr="00542EB9">
              <w:rPr>
                <w:noProof/>
              </w:rPr>
              <w:t xml:space="preserve">the feedback was </w:t>
            </w:r>
            <w:r w:rsidRPr="00542EB9">
              <w:rPr>
                <w:noProof/>
              </w:rPr>
              <w:t>taken into consideration.</w:t>
            </w:r>
          </w:p>
        </w:tc>
      </w:tr>
      <w:tr w:rsidR="005C65FE" w:rsidRPr="00542EB9" w14:paraId="7D519743" w14:textId="77777777" w:rsidTr="00645819">
        <w:tc>
          <w:tcPr>
            <w:tcW w:w="8676" w:type="dxa"/>
          </w:tcPr>
          <w:p w14:paraId="3409F6E6" w14:textId="6AB38A47" w:rsidR="005C65FE" w:rsidRPr="00542EB9" w:rsidRDefault="005C65FE" w:rsidP="005C65FE">
            <w:pPr>
              <w:rPr>
                <w:noProof/>
              </w:rPr>
            </w:pPr>
            <w:r w:rsidRPr="00542EB9">
              <w:rPr>
                <w:b/>
                <w:bCs/>
                <w:noProof/>
              </w:rPr>
              <w:t xml:space="preserve">Are SMEs’ views different from those of large businesses? </w:t>
            </w:r>
            <w:r w:rsidR="0026104F" w:rsidRPr="00542EB9">
              <w:rPr>
                <w:i/>
                <w:iCs/>
                <w:noProof/>
              </w:rPr>
              <w:t xml:space="preserve"> YES </w:t>
            </w:r>
          </w:p>
        </w:tc>
      </w:tr>
      <w:tr w:rsidR="005C65FE" w:rsidRPr="00542EB9" w14:paraId="0E673E57" w14:textId="77777777" w:rsidTr="00645819">
        <w:tc>
          <w:tcPr>
            <w:tcW w:w="8676" w:type="dxa"/>
          </w:tcPr>
          <w:p w14:paraId="400EAF48" w14:textId="0C790687" w:rsidR="005C65FE" w:rsidRPr="00542EB9" w:rsidRDefault="00AE0933" w:rsidP="005C65FE">
            <w:pPr>
              <w:rPr>
                <w:noProof/>
              </w:rPr>
            </w:pPr>
            <w:r w:rsidRPr="00542EB9">
              <w:rPr>
                <w:noProof/>
              </w:rPr>
              <w:t>SMEs are likely to be more affected by the challenge mentioned above, i.e. the differing national approaches to financing support, than larger businesses. Excessive complexity to access, mobilise, and implement EU funding for beneficiaries is also likely affecting SMEs more than larger businesses; discouraging participation.</w:t>
            </w:r>
            <w:r w:rsidR="00C65E69" w:rsidRPr="00542EB9">
              <w:rPr>
                <w:noProof/>
              </w:rPr>
              <w:t xml:space="preserve"> </w:t>
            </w:r>
            <w:r w:rsidRPr="00542EB9">
              <w:rPr>
                <w:noProof/>
              </w:rPr>
              <w:t>The fragmentation of EU funds, and the subsequent inefficiencies created by overlapping programmes and inconsistent rules across funding streams also likely affects SMEs more than larger companies. However, given the limited number of respondents, it is not possible to differentiate the views of SMEs from those of large businesses.</w:t>
            </w:r>
          </w:p>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C633EC" w:rsidRPr="00542EB9" w14:paraId="7C2F409B" w14:textId="77777777" w:rsidTr="007568A3">
        <w:trPr>
          <w:trHeight w:val="300"/>
        </w:trPr>
        <w:tc>
          <w:tcPr>
            <w:tcW w:w="8608" w:type="dxa"/>
          </w:tcPr>
          <w:p w14:paraId="7162F3C8" w14:textId="77777777" w:rsidR="00C633EC" w:rsidRPr="00542EB9" w:rsidRDefault="2F0A0333" w:rsidP="00C633EC">
            <w:pPr>
              <w:pStyle w:val="ListParagraph"/>
              <w:numPr>
                <w:ilvl w:val="0"/>
                <w:numId w:val="91"/>
              </w:numPr>
              <w:spacing w:after="0"/>
              <w:jc w:val="left"/>
              <w:rPr>
                <w:b/>
                <w:bCs/>
                <w:smallCaps/>
                <w:noProof/>
                <w:color w:val="000000" w:themeColor="text1"/>
              </w:rPr>
            </w:pPr>
            <w:r w:rsidRPr="00542EB9">
              <w:rPr>
                <w:b/>
                <w:bCs/>
                <w:smallCaps/>
                <w:noProof/>
                <w:color w:val="000000" w:themeColor="text1"/>
              </w:rPr>
              <w:t>Assessment of impacts on SMEs</w:t>
            </w:r>
            <w:r w:rsidR="00C633EC" w:rsidRPr="00542EB9">
              <w:rPr>
                <w:rStyle w:val="FootnoteReference"/>
                <w:b/>
                <w:smallCaps/>
                <w:noProof/>
                <w:color w:val="000000" w:themeColor="text1"/>
                <w:sz w:val="20"/>
                <w:szCs w:val="20"/>
              </w:rPr>
              <w:footnoteReference w:id="92"/>
            </w:r>
          </w:p>
        </w:tc>
      </w:tr>
      <w:tr w:rsidR="00C633EC" w:rsidRPr="00542EB9" w14:paraId="78FA1F75" w14:textId="77777777" w:rsidTr="007568A3">
        <w:trPr>
          <w:trHeight w:val="300"/>
        </w:trPr>
        <w:tc>
          <w:tcPr>
            <w:tcW w:w="8608" w:type="dxa"/>
          </w:tcPr>
          <w:p w14:paraId="3BCE6B60" w14:textId="77777777" w:rsidR="00C633EC" w:rsidRPr="00542EB9" w:rsidRDefault="00C633EC">
            <w:pPr>
              <w:rPr>
                <w:i/>
                <w:iCs/>
                <w:noProof/>
                <w:color w:val="000000" w:themeColor="text1"/>
              </w:rPr>
            </w:pPr>
            <w:r w:rsidRPr="00542EB9">
              <w:rPr>
                <w:b/>
                <w:bCs/>
                <w:noProof/>
                <w:color w:val="000000" w:themeColor="text1"/>
              </w:rPr>
              <w:t>What are the estimated direct costs for SMEs of the preferred policy option</w:t>
            </w:r>
            <w:r w:rsidRPr="00542EB9">
              <w:rPr>
                <w:b/>
                <w:bCs/>
                <w:i/>
                <w:iCs/>
                <w:noProof/>
                <w:color w:val="000000" w:themeColor="text1"/>
              </w:rPr>
              <w:t>?</w:t>
            </w:r>
            <w:r w:rsidRPr="00542EB9">
              <w:rPr>
                <w:noProof/>
                <w:color w:val="000000" w:themeColor="text1"/>
              </w:rPr>
              <w:t xml:space="preserve"> </w:t>
            </w:r>
            <w:r w:rsidRPr="00542EB9">
              <w:rPr>
                <w:noProof/>
                <w:color w:val="000000" w:themeColor="text1"/>
                <w:u w:val="single"/>
              </w:rPr>
              <w:t>(Fill in only if step 1</w:t>
            </w:r>
            <w:r w:rsidRPr="00542EB9">
              <w:rPr>
                <w:noProof/>
                <w:color w:val="000000" w:themeColor="text1"/>
              </w:rPr>
              <w:t xml:space="preserve"> </w:t>
            </w:r>
            <w:r w:rsidRPr="00542EB9">
              <w:rPr>
                <w:i/>
                <w:iCs/>
                <w:noProof/>
                <w:color w:val="000000" w:themeColor="text1"/>
              </w:rPr>
              <w:t>flags direct impacts)</w:t>
            </w:r>
          </w:p>
        </w:tc>
      </w:tr>
      <w:tr w:rsidR="00C633EC" w:rsidRPr="00542EB9" w14:paraId="42F41917" w14:textId="77777777" w:rsidTr="007568A3">
        <w:trPr>
          <w:trHeight w:val="300"/>
        </w:trPr>
        <w:tc>
          <w:tcPr>
            <w:tcW w:w="8608" w:type="dxa"/>
          </w:tcPr>
          <w:p w14:paraId="2E95C6B0" w14:textId="59814227" w:rsidR="00C633EC" w:rsidRPr="00542EB9" w:rsidRDefault="00C633EC">
            <w:pPr>
              <w:rPr>
                <w:i/>
                <w:iCs/>
                <w:noProof/>
                <w:color w:val="000000" w:themeColor="text1"/>
              </w:rPr>
            </w:pPr>
            <w:bookmarkStart w:id="113" w:name="_Hlk189835363"/>
            <w:r w:rsidRPr="00542EB9">
              <w:rPr>
                <w:b/>
                <w:bCs/>
                <w:i/>
                <w:iCs/>
                <w:noProof/>
                <w:color w:val="000000" w:themeColor="text1"/>
              </w:rPr>
              <w:t>Qualitative assessment</w:t>
            </w:r>
          </w:p>
        </w:tc>
      </w:tr>
      <w:tr w:rsidR="00C633EC" w:rsidRPr="00542EB9" w14:paraId="7A9D12BE" w14:textId="77777777" w:rsidTr="007568A3">
        <w:trPr>
          <w:trHeight w:val="300"/>
        </w:trPr>
        <w:tc>
          <w:tcPr>
            <w:tcW w:w="8608" w:type="dxa"/>
          </w:tcPr>
          <w:p w14:paraId="4B75A08D" w14:textId="368552CD" w:rsidR="00C633EC" w:rsidRPr="00542EB9" w:rsidRDefault="004D2E80">
            <w:pPr>
              <w:rPr>
                <w:noProof/>
                <w:color w:val="000000" w:themeColor="text1"/>
              </w:rPr>
            </w:pPr>
            <w:r w:rsidRPr="00542EB9">
              <w:rPr>
                <w:noProof/>
                <w:color w:val="000000" w:themeColor="text1"/>
              </w:rPr>
              <w:t>N</w:t>
            </w:r>
            <w:r w:rsidR="00A565C5" w:rsidRPr="00542EB9">
              <w:rPr>
                <w:noProof/>
                <w:color w:val="000000" w:themeColor="text1"/>
              </w:rPr>
              <w:t xml:space="preserve">o direct costs for SMEs, only voluntary use of </w:t>
            </w:r>
            <w:r w:rsidR="00510D14" w:rsidRPr="00542EB9">
              <w:rPr>
                <w:noProof/>
                <w:color w:val="000000" w:themeColor="text1"/>
              </w:rPr>
              <w:t>tools and platforms financed by the intervention</w:t>
            </w:r>
            <w:r w:rsidRPr="00542EB9" w:rsidDel="00A565C5">
              <w:rPr>
                <w:noProof/>
                <w:color w:val="000000" w:themeColor="text1"/>
              </w:rPr>
              <w:t>.</w:t>
            </w:r>
          </w:p>
        </w:tc>
      </w:tr>
      <w:tr w:rsidR="00C633EC" w:rsidRPr="00542EB9" w14:paraId="4891B2A6" w14:textId="77777777" w:rsidTr="007568A3">
        <w:trPr>
          <w:trHeight w:val="300"/>
        </w:trPr>
        <w:tc>
          <w:tcPr>
            <w:tcW w:w="8608" w:type="dxa"/>
          </w:tcPr>
          <w:p w14:paraId="76E4F4D6" w14:textId="77777777" w:rsidR="00C633EC" w:rsidRPr="00542EB9" w:rsidRDefault="00C633EC">
            <w:pPr>
              <w:rPr>
                <w:b/>
                <w:bCs/>
                <w:noProof/>
                <w:color w:val="000000" w:themeColor="text1"/>
              </w:rPr>
            </w:pPr>
            <w:r w:rsidRPr="00542EB9">
              <w:rPr>
                <w:b/>
                <w:bCs/>
                <w:noProof/>
                <w:color w:val="000000" w:themeColor="text1"/>
              </w:rPr>
              <w:t>Quantitative assessment</w:t>
            </w:r>
          </w:p>
        </w:tc>
      </w:tr>
      <w:bookmarkEnd w:id="113"/>
      <w:tr w:rsidR="00C633EC" w:rsidRPr="00542EB9" w14:paraId="4665833C" w14:textId="77777777" w:rsidTr="007568A3">
        <w:trPr>
          <w:trHeight w:val="300"/>
        </w:trPr>
        <w:tc>
          <w:tcPr>
            <w:tcW w:w="8608" w:type="dxa"/>
          </w:tcPr>
          <w:p w14:paraId="42C97A4C" w14:textId="6040897A" w:rsidR="00C633EC" w:rsidRPr="00542EB9" w:rsidRDefault="004D2E80">
            <w:pPr>
              <w:rPr>
                <w:i/>
                <w:iCs/>
                <w:noProof/>
                <w:color w:val="000000" w:themeColor="text1"/>
              </w:rPr>
            </w:pPr>
            <w:r w:rsidRPr="00542EB9">
              <w:rPr>
                <w:noProof/>
                <w:color w:val="000000" w:themeColor="text1"/>
              </w:rPr>
              <w:t>N</w:t>
            </w:r>
            <w:r w:rsidR="004F5FC4" w:rsidRPr="00542EB9">
              <w:rPr>
                <w:noProof/>
                <w:color w:val="000000" w:themeColor="text1"/>
              </w:rPr>
              <w:t>.</w:t>
            </w:r>
            <w:r w:rsidRPr="00542EB9">
              <w:rPr>
                <w:noProof/>
                <w:color w:val="000000" w:themeColor="text1"/>
              </w:rPr>
              <w:t>A.</w:t>
            </w:r>
          </w:p>
        </w:tc>
      </w:tr>
      <w:tr w:rsidR="00C633EC" w:rsidRPr="00542EB9" w14:paraId="2571A8FE" w14:textId="77777777" w:rsidTr="007568A3">
        <w:trPr>
          <w:trHeight w:val="300"/>
        </w:trPr>
        <w:tc>
          <w:tcPr>
            <w:tcW w:w="8608" w:type="dxa"/>
          </w:tcPr>
          <w:p w14:paraId="3F687588" w14:textId="77777777" w:rsidR="00C633EC" w:rsidRPr="00542EB9" w:rsidRDefault="2F0A0333">
            <w:pPr>
              <w:rPr>
                <w:b/>
                <w:bCs/>
                <w:noProof/>
                <w:color w:val="000000" w:themeColor="text1"/>
              </w:rPr>
            </w:pPr>
            <w:r w:rsidRPr="00542EB9">
              <w:rPr>
                <w:b/>
                <w:bCs/>
                <w:noProof/>
                <w:color w:val="000000" w:themeColor="text1"/>
              </w:rPr>
              <w:t>What are the estimated direct benefits/cost savings for SMEs of the preferred policy option</w:t>
            </w:r>
            <w:r w:rsidR="00C633EC" w:rsidRPr="00542EB9">
              <w:rPr>
                <w:rStyle w:val="FootnoteReference"/>
                <w:b/>
                <w:bCs/>
                <w:noProof/>
                <w:color w:val="000000" w:themeColor="text1"/>
              </w:rPr>
              <w:footnoteReference w:id="93"/>
            </w:r>
            <w:r w:rsidRPr="00542EB9">
              <w:rPr>
                <w:b/>
                <w:bCs/>
                <w:noProof/>
                <w:color w:val="000000" w:themeColor="text1"/>
              </w:rPr>
              <w:t>?</w:t>
            </w:r>
          </w:p>
        </w:tc>
      </w:tr>
      <w:tr w:rsidR="00C633EC" w:rsidRPr="00542EB9" w14:paraId="2D6C8F71" w14:textId="77777777" w:rsidTr="007568A3">
        <w:trPr>
          <w:trHeight w:val="300"/>
        </w:trPr>
        <w:tc>
          <w:tcPr>
            <w:tcW w:w="8608" w:type="dxa"/>
          </w:tcPr>
          <w:p w14:paraId="146CCFCC" w14:textId="77777777" w:rsidR="00C633EC" w:rsidRPr="00542EB9" w:rsidRDefault="00C633EC">
            <w:pPr>
              <w:rPr>
                <w:noProof/>
                <w:color w:val="000000" w:themeColor="text1"/>
              </w:rPr>
            </w:pPr>
            <w:r w:rsidRPr="00542EB9">
              <w:rPr>
                <w:b/>
                <w:bCs/>
                <w:noProof/>
                <w:color w:val="000000" w:themeColor="text1"/>
              </w:rPr>
              <w:t>Qualitative assessment</w:t>
            </w:r>
          </w:p>
        </w:tc>
      </w:tr>
      <w:tr w:rsidR="00C633EC" w:rsidRPr="00542EB9" w14:paraId="2DC7B2B4" w14:textId="77777777" w:rsidTr="007568A3">
        <w:trPr>
          <w:trHeight w:val="300"/>
        </w:trPr>
        <w:tc>
          <w:tcPr>
            <w:tcW w:w="8608" w:type="dxa"/>
          </w:tcPr>
          <w:p w14:paraId="510E545F" w14:textId="459C6243" w:rsidR="00C633EC" w:rsidRPr="00542EB9" w:rsidRDefault="004F5FC4">
            <w:pPr>
              <w:rPr>
                <w:i/>
                <w:iCs/>
                <w:noProof/>
                <w:color w:val="000000" w:themeColor="text1"/>
              </w:rPr>
            </w:pPr>
            <w:r w:rsidRPr="00542EB9">
              <w:rPr>
                <w:noProof/>
                <w:color w:val="000000" w:themeColor="text1"/>
              </w:rPr>
              <w:t xml:space="preserve">Direct benefits from using services financed by the programme materialise as increased information and awareness of SMEs of their rights, responsibilities, and opportunities. Easier access to information via EU portals and tools generates time savings </w:t>
            </w:r>
            <w:r w:rsidR="00FF3605" w:rsidRPr="00542EB9">
              <w:rPr>
                <w:noProof/>
                <w:color w:val="000000" w:themeColor="text1"/>
              </w:rPr>
              <w:t>and ensures</w:t>
            </w:r>
            <w:r w:rsidRPr="00542EB9">
              <w:rPr>
                <w:noProof/>
                <w:color w:val="000000" w:themeColor="text1"/>
              </w:rPr>
              <w:t xml:space="preserve"> its reliability.</w:t>
            </w:r>
            <w:r w:rsidRPr="00542EB9">
              <w:rPr>
                <w:i/>
                <w:iCs/>
                <w:noProof/>
                <w:color w:val="000000" w:themeColor="text1"/>
              </w:rPr>
              <w:t xml:space="preserve"> </w:t>
            </w:r>
          </w:p>
        </w:tc>
      </w:tr>
      <w:tr w:rsidR="00C633EC" w:rsidRPr="00542EB9" w14:paraId="0F0B9E02" w14:textId="77777777" w:rsidTr="007568A3">
        <w:trPr>
          <w:trHeight w:val="300"/>
        </w:trPr>
        <w:tc>
          <w:tcPr>
            <w:tcW w:w="8608" w:type="dxa"/>
          </w:tcPr>
          <w:p w14:paraId="611F7656" w14:textId="77777777" w:rsidR="00C633EC" w:rsidRPr="00542EB9" w:rsidRDefault="00C633EC">
            <w:pPr>
              <w:rPr>
                <w:noProof/>
                <w:color w:val="000000" w:themeColor="text1"/>
              </w:rPr>
            </w:pPr>
            <w:r w:rsidRPr="00542EB9">
              <w:rPr>
                <w:b/>
                <w:bCs/>
                <w:noProof/>
                <w:color w:val="000000" w:themeColor="text1"/>
              </w:rPr>
              <w:t>Quantitative assessment</w:t>
            </w:r>
          </w:p>
        </w:tc>
      </w:tr>
      <w:tr w:rsidR="00C633EC" w:rsidRPr="00542EB9" w14:paraId="7BD42D3B" w14:textId="77777777" w:rsidTr="007568A3">
        <w:trPr>
          <w:trHeight w:val="300"/>
        </w:trPr>
        <w:tc>
          <w:tcPr>
            <w:tcW w:w="8608" w:type="dxa"/>
          </w:tcPr>
          <w:p w14:paraId="017EE2EC" w14:textId="795B82A6" w:rsidR="00C633EC" w:rsidRPr="00542EB9" w:rsidRDefault="00A41C20">
            <w:pPr>
              <w:rPr>
                <w:i/>
                <w:iCs/>
                <w:noProof/>
                <w:color w:val="000000" w:themeColor="text1"/>
              </w:rPr>
            </w:pPr>
            <w:r w:rsidRPr="00542EB9">
              <w:rPr>
                <w:noProof/>
                <w:color w:val="000000" w:themeColor="text1"/>
              </w:rPr>
              <w:t>Benefits only assessed qualitatively.</w:t>
            </w:r>
          </w:p>
        </w:tc>
      </w:tr>
      <w:tr w:rsidR="00C633EC" w:rsidRPr="00542EB9" w14:paraId="20088EF0" w14:textId="77777777" w:rsidTr="007568A3">
        <w:trPr>
          <w:trHeight w:val="300"/>
        </w:trPr>
        <w:tc>
          <w:tcPr>
            <w:tcW w:w="8608" w:type="dxa"/>
          </w:tcPr>
          <w:p w14:paraId="15D824CD" w14:textId="77777777" w:rsidR="00C633EC" w:rsidRPr="00542EB9" w:rsidRDefault="00C633EC">
            <w:pPr>
              <w:rPr>
                <w:b/>
                <w:bCs/>
                <w:noProof/>
                <w:color w:val="000000" w:themeColor="text1"/>
              </w:rPr>
            </w:pPr>
            <w:r w:rsidRPr="00542EB9">
              <w:rPr>
                <w:b/>
                <w:bCs/>
                <w:noProof/>
                <w:color w:val="000000" w:themeColor="text1"/>
              </w:rPr>
              <w:t xml:space="preserve">What are the indirect impacts of this initiative on SMEs? </w:t>
            </w:r>
            <w:r w:rsidRPr="00542EB9">
              <w:rPr>
                <w:i/>
                <w:iCs/>
                <w:noProof/>
                <w:color w:val="000000" w:themeColor="text1"/>
              </w:rPr>
              <w:t>(Fill in only if step 1 flags indirect impacts)</w:t>
            </w:r>
          </w:p>
        </w:tc>
      </w:tr>
      <w:tr w:rsidR="00C633EC" w:rsidRPr="00542EB9" w14:paraId="2047CAE3" w14:textId="77777777" w:rsidTr="007568A3">
        <w:trPr>
          <w:trHeight w:val="300"/>
        </w:trPr>
        <w:tc>
          <w:tcPr>
            <w:tcW w:w="8608" w:type="dxa"/>
          </w:tcPr>
          <w:p w14:paraId="07353BE7" w14:textId="6AB83F11" w:rsidR="00C633EC" w:rsidRPr="00542EB9" w:rsidRDefault="00FD3C51">
            <w:pPr>
              <w:rPr>
                <w:noProof/>
                <w:color w:val="000000" w:themeColor="text1"/>
              </w:rPr>
            </w:pPr>
            <w:r w:rsidRPr="00542EB9">
              <w:rPr>
                <w:noProof/>
                <w:color w:val="000000" w:themeColor="text1"/>
              </w:rPr>
              <w:t>The support to IT tools and platforms fostering more secure and effective exchange of confidential information with competent authorities (competition, taxation, customs…) would indirectly benefit SMEs.</w:t>
            </w:r>
            <w:r w:rsidR="008D3DFC" w:rsidRPr="00542EB9">
              <w:rPr>
                <w:noProof/>
                <w:color w:val="000000" w:themeColor="text1"/>
              </w:rPr>
              <w:t xml:space="preserve"> </w:t>
            </w:r>
            <w:r w:rsidRPr="00542EB9">
              <w:rPr>
                <w:noProof/>
                <w:color w:val="000000" w:themeColor="text1"/>
              </w:rPr>
              <w:t>SMEs will benefit indirectly from better representation in policymaking, standardisation, and legislative processes. Small Business Standards (SBS) is an example of a representative organisations supported by the programme that defends the interest of SMEs in standards development both at EU and international level.</w:t>
            </w:r>
            <w:r w:rsidR="008D3DFC" w:rsidRPr="00542EB9">
              <w:rPr>
                <w:noProof/>
                <w:color w:val="000000" w:themeColor="text1"/>
              </w:rPr>
              <w:t xml:space="preserve"> </w:t>
            </w:r>
            <w:r w:rsidRPr="00542EB9">
              <w:rPr>
                <w:noProof/>
                <w:color w:val="000000" w:themeColor="text1"/>
              </w:rPr>
              <w:t>They will also indirectly benefit from the support of the programme to better policymaking</w:t>
            </w:r>
            <w:r w:rsidR="00D87F8F" w:rsidRPr="00542EB9">
              <w:rPr>
                <w:noProof/>
                <w:color w:val="000000" w:themeColor="text1"/>
              </w:rPr>
              <w:t xml:space="preserve"> and </w:t>
            </w:r>
            <w:r w:rsidRPr="00542EB9">
              <w:rPr>
                <w:noProof/>
                <w:color w:val="000000" w:themeColor="text1"/>
              </w:rPr>
              <w:t xml:space="preserve">legislation, particularly in terms of </w:t>
            </w:r>
            <w:r w:rsidR="0093460D" w:rsidRPr="00542EB9">
              <w:rPr>
                <w:noProof/>
                <w:color w:val="000000" w:themeColor="text1"/>
              </w:rPr>
              <w:t xml:space="preserve">fair </w:t>
            </w:r>
            <w:r w:rsidRPr="00542EB9">
              <w:rPr>
                <w:noProof/>
                <w:color w:val="000000" w:themeColor="text1"/>
              </w:rPr>
              <w:t xml:space="preserve">competition, </w:t>
            </w:r>
            <w:r w:rsidR="00C2352D" w:rsidRPr="00542EB9">
              <w:rPr>
                <w:noProof/>
                <w:color w:val="000000" w:themeColor="text1"/>
              </w:rPr>
              <w:t xml:space="preserve">harmonisation, </w:t>
            </w:r>
            <w:r w:rsidRPr="00542EB9">
              <w:rPr>
                <w:noProof/>
                <w:color w:val="000000" w:themeColor="text1"/>
              </w:rPr>
              <w:t xml:space="preserve">as well as better EU statistics, and better standards. </w:t>
            </w:r>
            <w:r w:rsidR="000F6C22" w:rsidRPr="00542EB9">
              <w:rPr>
                <w:noProof/>
                <w:color w:val="000000" w:themeColor="text1"/>
              </w:rPr>
              <w:t xml:space="preserve">With better market access, </w:t>
            </w:r>
            <w:r w:rsidR="00D87F8F" w:rsidRPr="00542EB9">
              <w:rPr>
                <w:noProof/>
                <w:color w:val="000000" w:themeColor="text1"/>
              </w:rPr>
              <w:t>enhanced consumer confidence, and a less fragmented regulatory framework, SMEs’ competitiveness is expected to be strengthened.</w:t>
            </w:r>
          </w:p>
        </w:tc>
      </w:tr>
    </w:tbl>
    <w:tbl>
      <w:tblPr>
        <w:tblStyle w:val="TableGrid"/>
        <w:tblW w:w="0" w:type="auto"/>
        <w:tblLook w:val="04A0" w:firstRow="1" w:lastRow="0" w:firstColumn="1" w:lastColumn="0" w:noHBand="0" w:noVBand="1"/>
      </w:tblPr>
      <w:tblGrid>
        <w:gridCol w:w="8608"/>
      </w:tblGrid>
      <w:tr w:rsidR="00B24B86" w:rsidRPr="00542EB9" w14:paraId="55299BE3" w14:textId="77777777" w:rsidTr="0025058F">
        <w:tc>
          <w:tcPr>
            <w:tcW w:w="8608" w:type="dxa"/>
          </w:tcPr>
          <w:p w14:paraId="3491B716" w14:textId="05B05A27" w:rsidR="00B24B86" w:rsidRPr="00542EB9" w:rsidRDefault="00B24B86" w:rsidP="00645819">
            <w:pPr>
              <w:pStyle w:val="ListParagraph"/>
              <w:numPr>
                <w:ilvl w:val="0"/>
                <w:numId w:val="91"/>
              </w:numPr>
              <w:spacing w:after="0"/>
              <w:jc w:val="left"/>
              <w:rPr>
                <w:b/>
                <w:bCs/>
                <w:smallCaps/>
                <w:noProof/>
                <w:color w:val="000000" w:themeColor="text1"/>
              </w:rPr>
            </w:pPr>
            <w:r w:rsidRPr="00542EB9">
              <w:rPr>
                <w:b/>
                <w:bCs/>
                <w:smallCaps/>
                <w:noProof/>
                <w:color w:val="000000" w:themeColor="text1"/>
              </w:rPr>
              <w:t>Minimising negative impacts on SMEs</w:t>
            </w:r>
          </w:p>
        </w:tc>
      </w:tr>
      <w:tr w:rsidR="00B24B86" w:rsidRPr="00542EB9" w14:paraId="37861A61" w14:textId="77777777" w:rsidTr="0025058F">
        <w:tc>
          <w:tcPr>
            <w:tcW w:w="8608" w:type="dxa"/>
          </w:tcPr>
          <w:p w14:paraId="384E2596" w14:textId="77777777" w:rsidR="00B24B86" w:rsidRPr="00542EB9" w:rsidRDefault="00B24B86">
            <w:pPr>
              <w:rPr>
                <w:noProof/>
                <w:color w:val="000000" w:themeColor="text1"/>
              </w:rPr>
            </w:pPr>
            <w:r w:rsidRPr="00542EB9">
              <w:rPr>
                <w:b/>
                <w:bCs/>
                <w:noProof/>
                <w:color w:val="000000" w:themeColor="text1"/>
              </w:rPr>
              <w:t xml:space="preserve">Are SMEs disproportionately affected compared to large companies? </w:t>
            </w:r>
            <w:r w:rsidRPr="00542EB9">
              <w:rPr>
                <w:noProof/>
                <w:color w:val="000000" w:themeColor="text1"/>
              </w:rPr>
              <w:t>(</w:t>
            </w:r>
            <w:r w:rsidRPr="00542EB9">
              <w:rPr>
                <w:i/>
                <w:iCs/>
                <w:noProof/>
                <w:color w:val="000000" w:themeColor="text1"/>
              </w:rPr>
              <w:t>Yes/No)</w:t>
            </w:r>
          </w:p>
          <w:p w14:paraId="2904C854" w14:textId="77777777" w:rsidR="00B24B86" w:rsidRPr="00542EB9" w:rsidRDefault="00B24B86">
            <w:pPr>
              <w:rPr>
                <w:b/>
                <w:bCs/>
                <w:noProof/>
                <w:color w:val="000000" w:themeColor="text1"/>
              </w:rPr>
            </w:pPr>
            <w:r w:rsidRPr="00542EB9">
              <w:rPr>
                <w:b/>
                <w:bCs/>
                <w:noProof/>
                <w:color w:val="000000" w:themeColor="text1"/>
              </w:rPr>
              <w:t>If yes, are there any specific subgroups</w:t>
            </w:r>
            <w:r w:rsidRPr="00542EB9">
              <w:rPr>
                <w:noProof/>
              </w:rPr>
              <w:t xml:space="preserve"> </w:t>
            </w:r>
            <w:r w:rsidRPr="00542EB9">
              <w:rPr>
                <w:b/>
                <w:bCs/>
                <w:noProof/>
                <w:color w:val="000000" w:themeColor="text1"/>
              </w:rPr>
              <w:t>of SMEs more exposed than others?</w:t>
            </w:r>
          </w:p>
        </w:tc>
      </w:tr>
      <w:tr w:rsidR="00B24B86" w:rsidRPr="00542EB9" w14:paraId="026B0660" w14:textId="77777777" w:rsidTr="0025058F">
        <w:tc>
          <w:tcPr>
            <w:tcW w:w="8608" w:type="dxa"/>
          </w:tcPr>
          <w:p w14:paraId="2EAEC93D" w14:textId="6F877945" w:rsidR="00F2655E" w:rsidRPr="00542EB9" w:rsidRDefault="000D3160">
            <w:pPr>
              <w:rPr>
                <w:noProof/>
                <w:color w:val="000000" w:themeColor="text1"/>
              </w:rPr>
            </w:pPr>
            <w:r w:rsidRPr="00542EB9">
              <w:rPr>
                <w:noProof/>
                <w:color w:val="000000" w:themeColor="text1"/>
              </w:rPr>
              <w:t>No</w:t>
            </w:r>
            <w:r w:rsidR="008C7E9D" w:rsidRPr="00542EB9">
              <w:rPr>
                <w:noProof/>
                <w:color w:val="000000" w:themeColor="text1"/>
              </w:rPr>
              <w:t xml:space="preserve"> negative impacts on</w:t>
            </w:r>
            <w:r w:rsidRPr="00542EB9">
              <w:rPr>
                <w:noProof/>
                <w:color w:val="000000" w:themeColor="text1"/>
              </w:rPr>
              <w:t xml:space="preserve"> companies </w:t>
            </w:r>
            <w:r w:rsidR="008C7E9D" w:rsidRPr="00542EB9">
              <w:rPr>
                <w:noProof/>
                <w:color w:val="000000" w:themeColor="text1"/>
              </w:rPr>
              <w:t>and in particular SMEs identified.</w:t>
            </w:r>
          </w:p>
        </w:tc>
      </w:tr>
      <w:tr w:rsidR="00B24B86" w:rsidRPr="00542EB9" w14:paraId="5C7184F4" w14:textId="77777777" w:rsidTr="0025058F">
        <w:tc>
          <w:tcPr>
            <w:tcW w:w="8608" w:type="dxa"/>
          </w:tcPr>
          <w:p w14:paraId="5EE042DA" w14:textId="77777777" w:rsidR="00B24B86" w:rsidRPr="00542EB9" w:rsidRDefault="00B24B86">
            <w:pPr>
              <w:rPr>
                <w:b/>
                <w:bCs/>
                <w:noProof/>
                <w:color w:val="000000" w:themeColor="text1"/>
              </w:rPr>
            </w:pPr>
            <w:r w:rsidRPr="00542EB9">
              <w:rPr>
                <w:b/>
                <w:bCs/>
                <w:noProof/>
                <w:color w:val="000000" w:themeColor="text1"/>
              </w:rPr>
              <w:t xml:space="preserve">Have mitigating measures been included in the preferred option/proposal? </w:t>
            </w:r>
            <w:r w:rsidRPr="00542EB9">
              <w:rPr>
                <w:noProof/>
                <w:color w:val="000000" w:themeColor="text1"/>
              </w:rPr>
              <w:t xml:space="preserve">(Yes/No) </w:t>
            </w:r>
          </w:p>
        </w:tc>
      </w:tr>
      <w:tr w:rsidR="00B24B86" w:rsidRPr="00542EB9" w14:paraId="00E04873" w14:textId="77777777" w:rsidTr="0025058F">
        <w:tc>
          <w:tcPr>
            <w:tcW w:w="8608" w:type="dxa"/>
          </w:tcPr>
          <w:p w14:paraId="330C7B3B" w14:textId="04979410" w:rsidR="00B24B86" w:rsidRPr="00542EB9" w:rsidRDefault="00587C07">
            <w:pPr>
              <w:rPr>
                <w:noProof/>
                <w:color w:val="000000" w:themeColor="text1"/>
              </w:rPr>
            </w:pPr>
            <w:r w:rsidRPr="00542EB9">
              <w:rPr>
                <w:noProof/>
                <w:color w:val="000000" w:themeColor="text1"/>
              </w:rPr>
              <w:t xml:space="preserve">No mitigating measures were included in the preferred option and proposal, as the programme will </w:t>
            </w:r>
            <w:r w:rsidR="00EC4C42" w:rsidRPr="00542EB9">
              <w:rPr>
                <w:noProof/>
                <w:color w:val="000000" w:themeColor="text1"/>
              </w:rPr>
              <w:t xml:space="preserve">have limited relevance to SMEs, with </w:t>
            </w:r>
            <w:r w:rsidR="005203EF" w:rsidRPr="00542EB9">
              <w:rPr>
                <w:noProof/>
                <w:color w:val="000000" w:themeColor="text1"/>
              </w:rPr>
              <w:t xml:space="preserve">the very few </w:t>
            </w:r>
            <w:r w:rsidR="00EC4C42" w:rsidRPr="00542EB9">
              <w:rPr>
                <w:noProof/>
                <w:color w:val="000000" w:themeColor="text1"/>
              </w:rPr>
              <w:t xml:space="preserve">direct </w:t>
            </w:r>
            <w:r w:rsidR="005C3109" w:rsidRPr="00542EB9">
              <w:rPr>
                <w:noProof/>
                <w:color w:val="000000" w:themeColor="text1"/>
              </w:rPr>
              <w:t>and only positive</w:t>
            </w:r>
            <w:r w:rsidR="00EC4C42" w:rsidRPr="00542EB9">
              <w:rPr>
                <w:noProof/>
                <w:color w:val="000000" w:themeColor="text1"/>
              </w:rPr>
              <w:t xml:space="preserve"> impacts</w:t>
            </w:r>
            <w:r w:rsidR="00F2655E" w:rsidRPr="00542EB9">
              <w:rPr>
                <w:noProof/>
                <w:color w:val="000000" w:themeColor="text1"/>
              </w:rPr>
              <w:t xml:space="preserve">. </w:t>
            </w:r>
          </w:p>
        </w:tc>
      </w:tr>
      <w:tr w:rsidR="0025058F" w:rsidRPr="00542EB9" w14:paraId="4410F60C" w14:textId="77777777" w:rsidTr="0025058F">
        <w:trPr>
          <w:trHeight w:val="300"/>
        </w:trPr>
        <w:tc>
          <w:tcPr>
            <w:tcW w:w="8608" w:type="dxa"/>
          </w:tcPr>
          <w:p w14:paraId="046C2696" w14:textId="77777777" w:rsidR="0025058F" w:rsidRPr="00542EB9" w:rsidRDefault="0025058F">
            <w:pPr>
              <w:rPr>
                <w:b/>
                <w:bCs/>
                <w:smallCaps/>
                <w:noProof/>
                <w:color w:val="000000" w:themeColor="text1"/>
              </w:rPr>
            </w:pPr>
            <w:r w:rsidRPr="00542EB9">
              <w:rPr>
                <w:b/>
                <w:bCs/>
                <w:smallCaps/>
                <w:noProof/>
                <w:color w:val="000000" w:themeColor="text1"/>
              </w:rPr>
              <w:t>Contribution to the 35% burden reduction target for SMEs</w:t>
            </w:r>
          </w:p>
        </w:tc>
      </w:tr>
      <w:tr w:rsidR="0025058F" w:rsidRPr="00542EB9" w14:paraId="1F7DCD3C" w14:textId="77777777" w:rsidTr="0025058F">
        <w:trPr>
          <w:trHeight w:val="300"/>
        </w:trPr>
        <w:tc>
          <w:tcPr>
            <w:tcW w:w="8608" w:type="dxa"/>
          </w:tcPr>
          <w:p w14:paraId="59BC14FB" w14:textId="77777777" w:rsidR="0025058F" w:rsidRPr="00542EB9" w:rsidRDefault="0025058F">
            <w:pPr>
              <w:rPr>
                <w:b/>
                <w:bCs/>
                <w:noProof/>
                <w:color w:val="000000" w:themeColor="text1"/>
              </w:rPr>
            </w:pPr>
            <w:r w:rsidRPr="00542EB9">
              <w:rPr>
                <w:b/>
                <w:bCs/>
                <w:noProof/>
                <w:color w:val="000000" w:themeColor="text1"/>
              </w:rPr>
              <w:t>Are there any administrative cost savings relevant for the 35% burden reduction target for SMEs?</w:t>
            </w:r>
          </w:p>
        </w:tc>
      </w:tr>
      <w:tr w:rsidR="0025058F" w:rsidRPr="00542EB9" w14:paraId="2AA5D744" w14:textId="77777777" w:rsidTr="0025058F">
        <w:trPr>
          <w:trHeight w:val="300"/>
        </w:trPr>
        <w:tc>
          <w:tcPr>
            <w:tcW w:w="8608" w:type="dxa"/>
          </w:tcPr>
          <w:p w14:paraId="3D20B3FD" w14:textId="77CF1005" w:rsidR="0025058F" w:rsidRPr="00542EB9" w:rsidRDefault="00F2655E">
            <w:pPr>
              <w:rPr>
                <w:noProof/>
                <w:color w:val="000000" w:themeColor="text1"/>
              </w:rPr>
            </w:pPr>
            <w:r w:rsidRPr="00542EB9">
              <w:rPr>
                <w:noProof/>
                <w:color w:val="000000" w:themeColor="text1"/>
              </w:rPr>
              <w:t>N</w:t>
            </w:r>
            <w:r w:rsidR="005203EF" w:rsidRPr="00542EB9">
              <w:rPr>
                <w:noProof/>
                <w:color w:val="000000" w:themeColor="text1"/>
              </w:rPr>
              <w:t>.A.</w:t>
            </w:r>
          </w:p>
        </w:tc>
      </w:tr>
    </w:tbl>
    <w:p w14:paraId="533AD987" w14:textId="77777777" w:rsidR="008A4E72" w:rsidRPr="00542EB9" w:rsidRDefault="008A4E72" w:rsidP="00C949D3">
      <w:pPr>
        <w:rPr>
          <w:noProof/>
        </w:rPr>
      </w:pPr>
    </w:p>
    <w:p w14:paraId="768F139C" w14:textId="77777777" w:rsidR="008A4E72" w:rsidRPr="00542EB9" w:rsidRDefault="008A4E72" w:rsidP="00C949D3">
      <w:pPr>
        <w:rPr>
          <w:noProof/>
        </w:rPr>
      </w:pPr>
    </w:p>
    <w:p w14:paraId="6CE5F0BE" w14:textId="23ED9B7B" w:rsidR="008A4E72" w:rsidRPr="00542EB9" w:rsidRDefault="418D4340" w:rsidP="008A4E72">
      <w:pPr>
        <w:pStyle w:val="AnnexTitle"/>
        <w:rPr>
          <w:noProof/>
        </w:rPr>
      </w:pPr>
      <w:bookmarkStart w:id="114" w:name="_Toc198549084"/>
      <w:r w:rsidRPr="00542EB9">
        <w:rPr>
          <w:noProof/>
        </w:rPr>
        <w:t xml:space="preserve">Annex </w:t>
      </w:r>
      <w:r w:rsidR="59FE9A62" w:rsidRPr="00542EB9">
        <w:rPr>
          <w:noProof/>
        </w:rPr>
        <w:t>7</w:t>
      </w:r>
      <w:r w:rsidRPr="00542EB9">
        <w:rPr>
          <w:noProof/>
        </w:rPr>
        <w:t xml:space="preserve">: </w:t>
      </w:r>
      <w:r w:rsidR="0022046B" w:rsidRPr="00542EB9">
        <w:rPr>
          <w:noProof/>
        </w:rPr>
        <w:t>Background information on p</w:t>
      </w:r>
      <w:r w:rsidR="49359947" w:rsidRPr="00542EB9">
        <w:rPr>
          <w:noProof/>
        </w:rPr>
        <w:t xml:space="preserve">roblem </w:t>
      </w:r>
      <w:r w:rsidR="0022046B" w:rsidRPr="00542EB9">
        <w:rPr>
          <w:noProof/>
        </w:rPr>
        <w:t>d</w:t>
      </w:r>
      <w:r w:rsidR="153BEC26" w:rsidRPr="00542EB9">
        <w:rPr>
          <w:noProof/>
        </w:rPr>
        <w:t>rivers</w:t>
      </w:r>
      <w:bookmarkEnd w:id="112"/>
      <w:r w:rsidR="1BD26B3B" w:rsidRPr="00542EB9">
        <w:rPr>
          <w:noProof/>
        </w:rPr>
        <w:t xml:space="preserve"> </w:t>
      </w:r>
      <w:r w:rsidR="0022046B" w:rsidRPr="00542EB9">
        <w:rPr>
          <w:noProof/>
        </w:rPr>
        <w:t xml:space="preserve">and scope </w:t>
      </w:r>
      <w:r w:rsidR="49359947" w:rsidRPr="00542EB9">
        <w:rPr>
          <w:noProof/>
        </w:rPr>
        <w:t xml:space="preserve">in </w:t>
      </w:r>
      <w:r w:rsidR="45E85A46" w:rsidRPr="00542EB9">
        <w:rPr>
          <w:noProof/>
        </w:rPr>
        <w:t xml:space="preserve">the Context of the </w:t>
      </w:r>
      <w:r w:rsidR="005459CC" w:rsidRPr="00542EB9">
        <w:rPr>
          <w:noProof/>
        </w:rPr>
        <w:t>single market</w:t>
      </w:r>
      <w:r w:rsidR="45E85A46" w:rsidRPr="00542EB9">
        <w:rPr>
          <w:noProof/>
        </w:rPr>
        <w:t xml:space="preserve">, Customs Union, Taxation and Anti-Fraud Policy </w:t>
      </w:r>
      <w:r w:rsidR="59E178D0" w:rsidRPr="00542EB9">
        <w:rPr>
          <w:noProof/>
        </w:rPr>
        <w:t>D</w:t>
      </w:r>
      <w:r w:rsidR="45E85A46" w:rsidRPr="00542EB9">
        <w:rPr>
          <w:noProof/>
        </w:rPr>
        <w:t>omains</w:t>
      </w:r>
      <w:bookmarkEnd w:id="114"/>
    </w:p>
    <w:p w14:paraId="07C4C5F8" w14:textId="1BF0FBD8" w:rsidR="00504D48" w:rsidRPr="00542EB9" w:rsidRDefault="00DB1BEA" w:rsidP="00954945">
      <w:pPr>
        <w:pStyle w:val="Heading1"/>
        <w:numPr>
          <w:ilvl w:val="0"/>
          <w:numId w:val="82"/>
        </w:numPr>
        <w:rPr>
          <w:noProof/>
        </w:rPr>
      </w:pPr>
      <w:bookmarkStart w:id="115" w:name="_Toc198549085"/>
      <w:r w:rsidRPr="00542EB9">
        <w:rPr>
          <w:noProof/>
        </w:rPr>
        <w:t xml:space="preserve">Knowledge and data gaps, and other barriers are obstacles for citizens, consumers, and businesses, economic operators to access and operate in the </w:t>
      </w:r>
      <w:r w:rsidR="005459CC" w:rsidRPr="00542EB9">
        <w:rPr>
          <w:noProof/>
        </w:rPr>
        <w:t>single market</w:t>
      </w:r>
      <w:bookmarkEnd w:id="115"/>
    </w:p>
    <w:p w14:paraId="1CD52F6A" w14:textId="15C9559C" w:rsidR="00504D48" w:rsidRPr="00542EB9" w:rsidRDefault="00616E29" w:rsidP="00954945">
      <w:pPr>
        <w:pStyle w:val="Heading2"/>
        <w:rPr>
          <w:noProof/>
        </w:rPr>
      </w:pPr>
      <w:bookmarkStart w:id="116" w:name="_Toc198549086"/>
      <w:r w:rsidRPr="00542EB9">
        <w:rPr>
          <w:noProof/>
        </w:rPr>
        <w:t>S</w:t>
      </w:r>
      <w:r w:rsidR="005459CC" w:rsidRPr="00542EB9">
        <w:rPr>
          <w:noProof/>
        </w:rPr>
        <w:t>ingle market</w:t>
      </w:r>
      <w:bookmarkEnd w:id="116"/>
    </w:p>
    <w:p w14:paraId="0A01B11B" w14:textId="76053BD7" w:rsidR="00DB1BEA" w:rsidRPr="00542EB9" w:rsidRDefault="00DB1BEA" w:rsidP="00DB1BEA">
      <w:pPr>
        <w:rPr>
          <w:noProof/>
        </w:rPr>
      </w:pPr>
      <w:r w:rsidRPr="00542EB9">
        <w:rPr>
          <w:noProof/>
        </w:rPr>
        <w:t xml:space="preserve">Digital services and tools for </w:t>
      </w:r>
      <w:r w:rsidRPr="00542EB9">
        <w:rPr>
          <w:b/>
          <w:bCs/>
          <w:noProof/>
        </w:rPr>
        <w:t>information, advice, and communication</w:t>
      </w:r>
      <w:r w:rsidRPr="00542EB9">
        <w:rPr>
          <w:noProof/>
        </w:rPr>
        <w:t xml:space="preserve"> are designed to assist consumers, citizens and businesses in understanding and making the most of opportunities within the </w:t>
      </w:r>
      <w:r w:rsidR="005459CC" w:rsidRPr="00542EB9">
        <w:rPr>
          <w:noProof/>
        </w:rPr>
        <w:t>single market</w:t>
      </w:r>
      <w:r w:rsidRPr="00542EB9">
        <w:rPr>
          <w:noProof/>
        </w:rPr>
        <w:t xml:space="preserve">. Internal Market governance tools and platforms such as the Single Digital Gateway (SDG) integrates networks and services providing support for cross-border activities at national and EU level. Your Europe, Your Europe Advice, IMI, and SOLVIT make available and accessible free information, advice and guidance to consumers and businesses about their rights and administrative procedures within the </w:t>
      </w:r>
      <w:r w:rsidR="005459CC" w:rsidRPr="00542EB9">
        <w:rPr>
          <w:noProof/>
        </w:rPr>
        <w:t>single market</w:t>
      </w:r>
      <w:r w:rsidRPr="00542EB9">
        <w:rPr>
          <w:noProof/>
        </w:rPr>
        <w:t>. It helps them navigate EU rules, and seek redress when buying, selling, or investing across borders.</w:t>
      </w:r>
    </w:p>
    <w:p w14:paraId="7DF40217" w14:textId="77777777" w:rsidR="00DB1BEA" w:rsidRPr="00542EB9" w:rsidRDefault="00DB1BEA" w:rsidP="00DB1BEA">
      <w:pPr>
        <w:rPr>
          <w:noProof/>
        </w:rPr>
      </w:pPr>
      <w:r w:rsidRPr="00542EB9">
        <w:rPr>
          <w:noProof/>
        </w:rPr>
        <w:t xml:space="preserve">Tools are in place that focus on actions like product safety, consumer protection, and enhance the participation of consumers and end-users in financial services policy making. Platforms assist consumers in cross-border transactions by providing free information and advice on their rights, help them in resolving cross-border consumer complaints and obtain access to appropriate dispute resolution. </w:t>
      </w:r>
    </w:p>
    <w:p w14:paraId="15012FC8" w14:textId="77777777" w:rsidR="00DB1BEA" w:rsidRPr="00542EB9" w:rsidRDefault="00DB1BEA" w:rsidP="00DB1BEA">
      <w:pPr>
        <w:rPr>
          <w:noProof/>
        </w:rPr>
      </w:pPr>
      <w:r w:rsidRPr="00542EB9">
        <w:rPr>
          <w:rFonts w:eastAsia="Calibri"/>
          <w:noProof/>
        </w:rPr>
        <w:t xml:space="preserve">In addition, consumer organisations play a crucial role in providing independent advice, raising awareness, and supporting consumers in understanding and exercising their rights. </w:t>
      </w:r>
      <w:r w:rsidRPr="00542EB9">
        <w:rPr>
          <w:noProof/>
        </w:rPr>
        <w:t>The impact of these activities shows the crucial role of EU funding in that regard and underscores the increasing need for more support.</w:t>
      </w:r>
    </w:p>
    <w:p w14:paraId="6992D635" w14:textId="77777777" w:rsidR="00DB1BEA" w:rsidRPr="00542EB9" w:rsidRDefault="00DB1BEA" w:rsidP="00DB1BEA">
      <w:pPr>
        <w:rPr>
          <w:noProof/>
        </w:rPr>
      </w:pPr>
      <w:r w:rsidRPr="00542EB9">
        <w:rPr>
          <w:noProof/>
        </w:rPr>
        <w:t>Grants and contribution agreements for organisations representing consumers, businesses, consumers and end-users of financial services, workers, and other interests, in European and international Standardisation to have a voice at the EU level in decision-making and policy processes.</w:t>
      </w:r>
    </w:p>
    <w:p w14:paraId="4130A531" w14:textId="77777777" w:rsidR="00DB1BEA" w:rsidRPr="00542EB9" w:rsidRDefault="00DB1BEA" w:rsidP="00DB1BEA">
      <w:pPr>
        <w:rPr>
          <w:noProof/>
        </w:rPr>
      </w:pPr>
      <w:r w:rsidRPr="00542EB9">
        <w:rPr>
          <w:noProof/>
        </w:rPr>
        <w:t xml:space="preserve">Economic operators report difficulties related to accessing information and accomplishing administrative formalities online. According to recent surveys, key problems include difficulty to access information on rules and requirements and overly </w:t>
      </w:r>
      <w:r w:rsidRPr="00542EB9">
        <w:rPr>
          <w:b/>
          <w:bCs/>
          <w:noProof/>
        </w:rPr>
        <w:t>complex administrative procedures</w:t>
      </w:r>
      <w:r w:rsidRPr="00542EB9">
        <w:rPr>
          <w:noProof/>
        </w:rPr>
        <w:t xml:space="preserve">. To address this issue, digital tools can facilitate access and reduce administrative burden. Support services are provided for advice, cooperation and in mentoring platforms for businesses and entrepreneurs. This aims to empower businesses by enhancing their skills and access to effective entrepreneurial networks and helping them to capitalise on opportunities within the single market. </w:t>
      </w:r>
    </w:p>
    <w:p w14:paraId="023E1EE6" w14:textId="77777777" w:rsidR="00DB1BEA" w:rsidRPr="00542EB9" w:rsidRDefault="00DB1BEA" w:rsidP="00DB1BEA">
      <w:pPr>
        <w:rPr>
          <w:noProof/>
        </w:rPr>
      </w:pPr>
      <w:r w:rsidRPr="00542EB9">
        <w:rPr>
          <w:b/>
          <w:bCs/>
          <w:noProof/>
        </w:rPr>
        <w:t>Collection of data</w:t>
      </w:r>
      <w:r w:rsidRPr="00542EB9">
        <w:rPr>
          <w:noProof/>
        </w:rPr>
        <w:t xml:space="preserve">, research, studies and evaluation activities improve the </w:t>
      </w:r>
      <w:r w:rsidRPr="00542EB9">
        <w:rPr>
          <w:b/>
          <w:bCs/>
          <w:noProof/>
        </w:rPr>
        <w:t xml:space="preserve">understanding </w:t>
      </w:r>
      <w:r w:rsidRPr="00542EB9">
        <w:rPr>
          <w:noProof/>
        </w:rPr>
        <w:t>of the single market and its challenges. For consumer policy, this improves the evidence base on consumer conditions in the single market, provides a basis to identify problematic areas. Research work on important financial services topics contributes to the sector's policymaking and promotes awareness raising. Studies ensure that competition enforcement continues to be evidence-based and remains relevant to address the ever-changing market dynamics: technical expertise and specific datasets are also necessary to support enforcement actions in specific competition cases. Information and education are provided to consumers through information campaigns, meetings and trainings.</w:t>
      </w:r>
    </w:p>
    <w:p w14:paraId="243405B8" w14:textId="520975C5" w:rsidR="00DB1BEA" w:rsidRPr="00542EB9" w:rsidRDefault="00DB1BEA" w:rsidP="00DB1BEA">
      <w:pPr>
        <w:rPr>
          <w:noProof/>
        </w:rPr>
      </w:pPr>
      <w:r w:rsidRPr="00542EB9">
        <w:rPr>
          <w:noProof/>
        </w:rPr>
        <w:t xml:space="preserve">Comprehensive studies and </w:t>
      </w:r>
      <w:r w:rsidRPr="00542EB9">
        <w:rPr>
          <w:b/>
          <w:bCs/>
          <w:noProof/>
        </w:rPr>
        <w:t>statistical reports</w:t>
      </w:r>
      <w:r w:rsidRPr="00542EB9">
        <w:rPr>
          <w:noProof/>
        </w:rPr>
        <w:t xml:space="preserve"> provide and reinforce public awareness, the understanding of the single market and ensure access to trustworthy information for stakeholders across the EU as well as reducing barriers to operating in the single market and fostering a closer co-operation between authorities and better and more consistent enforcement. High-quality </w:t>
      </w:r>
      <w:r w:rsidRPr="00542EB9">
        <w:rPr>
          <w:b/>
          <w:noProof/>
        </w:rPr>
        <w:t>European statistics</w:t>
      </w:r>
      <w:r w:rsidRPr="00542EB9">
        <w:rPr>
          <w:noProof/>
        </w:rPr>
        <w:t xml:space="preserve"> are produced and disseminated</w:t>
      </w:r>
      <w:r w:rsidRPr="00542EB9">
        <w:rPr>
          <w:rFonts w:eastAsia="Times New Roman"/>
          <w:noProof/>
        </w:rPr>
        <w:t xml:space="preserve"> to provide valuable insights and address knowledge gaps, allowing citizens, consumers, and businesses to benefit fully from the </w:t>
      </w:r>
      <w:r w:rsidR="005459CC" w:rsidRPr="00542EB9">
        <w:rPr>
          <w:rFonts w:eastAsia="Times New Roman"/>
          <w:noProof/>
        </w:rPr>
        <w:t>single market</w:t>
      </w:r>
      <w:r w:rsidRPr="00542EB9">
        <w:rPr>
          <w:noProof/>
        </w:rPr>
        <w:t xml:space="preserve">. </w:t>
      </w:r>
    </w:p>
    <w:p w14:paraId="7ACC251B" w14:textId="7B820AC8" w:rsidR="00DB1BEA" w:rsidRPr="00542EB9" w:rsidRDefault="00DB1BEA" w:rsidP="000D4A96">
      <w:pPr>
        <w:pStyle w:val="Heading2"/>
        <w:rPr>
          <w:noProof/>
        </w:rPr>
      </w:pPr>
      <w:r w:rsidRPr="00542EB9">
        <w:rPr>
          <w:noProof/>
        </w:rPr>
        <w:t xml:space="preserve"> </w:t>
      </w:r>
      <w:bookmarkStart w:id="117" w:name="_Toc198549087"/>
      <w:r w:rsidRPr="00542EB9">
        <w:rPr>
          <w:noProof/>
        </w:rPr>
        <w:t xml:space="preserve">Customs </w:t>
      </w:r>
      <w:r w:rsidR="008F2AD2" w:rsidRPr="00542EB9">
        <w:rPr>
          <w:noProof/>
        </w:rPr>
        <w:t>Union</w:t>
      </w:r>
      <w:bookmarkEnd w:id="117"/>
    </w:p>
    <w:p w14:paraId="04B875AC" w14:textId="77777777" w:rsidR="00DB1BEA" w:rsidRPr="00542EB9" w:rsidRDefault="41FE1EFE" w:rsidP="00DB1BEA">
      <w:pPr>
        <w:rPr>
          <w:noProof/>
        </w:rPr>
      </w:pPr>
      <w:r w:rsidRPr="00542EB9">
        <w:rPr>
          <w:noProof/>
        </w:rPr>
        <w:t>Economic operators and extra-EU, international trade benefit currently from the common components of the nearly 70 central digital systems managed by the Commission, which digitalise customs procedures and lead to a paperless customs/trade environment. The digital systems mandated by the Union Customs Code (UCC)</w:t>
      </w:r>
      <w:r w:rsidR="00DB1BEA" w:rsidRPr="00542EB9">
        <w:rPr>
          <w:noProof/>
          <w:sz w:val="20"/>
          <w:szCs w:val="20"/>
          <w:vertAlign w:val="superscript"/>
        </w:rPr>
        <w:footnoteReference w:id="94"/>
      </w:r>
      <w:r w:rsidRPr="00542EB9">
        <w:rPr>
          <w:noProof/>
        </w:rPr>
        <w:t>, aim to, inter alia, create a fully electronic environment for the customs authorities and economic operators and citizens, to complete customs formalities via the deployment of several electronic systems. However, analysis demonstrate the vulnerability in delivering and operating 27 national (+1 central) customs IT environments</w:t>
      </w:r>
      <w:r w:rsidR="00DB1BEA" w:rsidRPr="00542EB9">
        <w:rPr>
          <w:noProof/>
          <w:vertAlign w:val="superscript"/>
        </w:rPr>
        <w:footnoteReference w:id="95"/>
      </w:r>
      <w:r w:rsidRPr="00542EB9">
        <w:rPr>
          <w:noProof/>
        </w:rPr>
        <w:t>. Nonetheless, once implemented, the UCC digital systems will significantly improve the customs electronic environment, particularly for economic operators active in various Member States. While in 2022 an economic operator wishing to complete the formalities for entry and exit processes throughout the Union needed connection to around 190 national IT systems, after 2025 this is intended to be reduced to 111 connections, a decrease of 41%</w:t>
      </w:r>
      <w:r w:rsidR="00DB1BEA" w:rsidRPr="00542EB9">
        <w:rPr>
          <w:noProof/>
          <w:sz w:val="20"/>
          <w:szCs w:val="20"/>
          <w:vertAlign w:val="superscript"/>
        </w:rPr>
        <w:footnoteReference w:id="96"/>
      </w:r>
      <w:r w:rsidRPr="00542EB9">
        <w:rPr>
          <w:noProof/>
        </w:rPr>
        <w:t>. Whilst certainly an improvement, 111 separate systems still cannot be considered optimal. Such diverse systems create an administrative burden for traders and carriers who must collect the information several times and submit it to customs through dedicated IT systems</w:t>
      </w:r>
      <w:r w:rsidR="00DB1BEA" w:rsidRPr="00542EB9">
        <w:rPr>
          <w:noProof/>
          <w:sz w:val="20"/>
          <w:szCs w:val="20"/>
          <w:vertAlign w:val="superscript"/>
        </w:rPr>
        <w:footnoteReference w:id="97"/>
      </w:r>
      <w:r w:rsidRPr="00542EB9">
        <w:rPr>
          <w:noProof/>
        </w:rPr>
        <w:t>.</w:t>
      </w:r>
    </w:p>
    <w:p w14:paraId="3386FA83" w14:textId="77777777" w:rsidR="00DB1BEA" w:rsidRPr="00542EB9" w:rsidRDefault="41FE1EFE" w:rsidP="00DB1BEA">
      <w:pPr>
        <w:rPr>
          <w:noProof/>
        </w:rPr>
      </w:pPr>
      <w:r w:rsidRPr="00542EB9">
        <w:rPr>
          <w:noProof/>
        </w:rPr>
        <w:t>Equally, today e-commerce represents more than twice the number of traditional trade transactions for only 0.4 % of the value</w:t>
      </w:r>
      <w:r w:rsidR="00DB1BEA" w:rsidRPr="00542EB9">
        <w:rPr>
          <w:noProof/>
          <w:vertAlign w:val="superscript"/>
        </w:rPr>
        <w:footnoteReference w:id="98"/>
      </w:r>
      <w:r w:rsidRPr="00542EB9">
        <w:rPr>
          <w:noProof/>
        </w:rPr>
        <w:t>. This high number of transactions for a low value represents a challenge for economic operators, who must comply with several reporting obligations per parcel</w:t>
      </w:r>
      <w:r w:rsidR="00DB1BEA" w:rsidRPr="00542EB9">
        <w:rPr>
          <w:noProof/>
          <w:sz w:val="20"/>
          <w:szCs w:val="20"/>
          <w:vertAlign w:val="superscript"/>
        </w:rPr>
        <w:footnoteReference w:id="99"/>
      </w:r>
      <w:r w:rsidRPr="00542EB9">
        <w:rPr>
          <w:noProof/>
          <w:sz w:val="20"/>
          <w:szCs w:val="20"/>
        </w:rPr>
        <w:t>.</w:t>
      </w:r>
      <w:r w:rsidRPr="00542EB9">
        <w:rPr>
          <w:noProof/>
        </w:rPr>
        <w:t xml:space="preserve"> </w:t>
      </w:r>
    </w:p>
    <w:p w14:paraId="5C4541D0" w14:textId="35B63E15" w:rsidR="00DB1BEA" w:rsidRPr="00542EB9" w:rsidRDefault="41FE1EFE" w:rsidP="00DB1BEA">
      <w:pPr>
        <w:rPr>
          <w:noProof/>
        </w:rPr>
      </w:pPr>
      <w:r w:rsidRPr="00542EB9">
        <w:rPr>
          <w:noProof/>
        </w:rPr>
        <w:t>In 2024, 4.6 billion low-value items were imported into the EU – equalling 12 million parcels per day. In addition, 17.5 million counterfeit articles were detained at the EU border (in 2023)</w:t>
      </w:r>
      <w:r w:rsidR="00DB1BEA" w:rsidRPr="00542EB9">
        <w:rPr>
          <w:noProof/>
          <w:sz w:val="20"/>
          <w:szCs w:val="20"/>
          <w:vertAlign w:val="superscript"/>
        </w:rPr>
        <w:footnoteReference w:id="100"/>
      </w:r>
      <w:r w:rsidR="00793E59" w:rsidRPr="00542EB9">
        <w:rPr>
          <w:noProof/>
        </w:rPr>
        <w:t>.</w:t>
      </w:r>
      <w:r w:rsidRPr="00542EB9">
        <w:rPr>
          <w:noProof/>
        </w:rPr>
        <w:t xml:space="preserve"> The growth in e-commerce imports directly shipped to consumers has increased competition, including between EU sellers and those located outside of the EU and targeting their offer at consumers in the EU. However, this competition can become unfair and hinder the level playing field for legitimate businesses. </w:t>
      </w:r>
    </w:p>
    <w:p w14:paraId="67FABAAD" w14:textId="77777777" w:rsidR="00DB1BEA" w:rsidRPr="00581B34" w:rsidRDefault="00DB1BEA" w:rsidP="00DB1BEA">
      <w:pPr>
        <w:rPr>
          <w:noProof/>
        </w:rPr>
      </w:pPr>
      <w:r w:rsidRPr="00542EB9">
        <w:rPr>
          <w:noProof/>
        </w:rPr>
        <w:t xml:space="preserve">The rapid increase of e-commerce also raises significant challenges for citizens, in </w:t>
      </w:r>
      <w:r w:rsidRPr="00581B34">
        <w:rPr>
          <w:noProof/>
        </w:rPr>
        <w:t xml:space="preserve">particular where imported products may be non-compliant with EU law. For example, around half of the fake products seized at EU borders that infringed intellectual property rights were purchased online. Even responsible consumers can give in the temptation of low prices. Education on the downside of these low-priced goods imported must be reinforced, as a surging volume of products that are unsafe, counterfeit or otherwise non-compliant leads to serious safety and health risks for consumers, has an unsustainable impact on the environment, and fuels unfair competition for legitimate businesses, with a significant impact on EU competitiveness in different sectors. </w:t>
      </w:r>
    </w:p>
    <w:p w14:paraId="18D87131" w14:textId="77777777" w:rsidR="00DB1BEA" w:rsidRPr="00542EB9" w:rsidRDefault="00DB1BEA" w:rsidP="00DB1BEA">
      <w:pPr>
        <w:rPr>
          <w:noProof/>
        </w:rPr>
      </w:pPr>
      <w:r w:rsidRPr="00581B34">
        <w:rPr>
          <w:noProof/>
        </w:rPr>
        <w:t>If some sellers do not comply with EU product safety and consumer protection requirements, they avoid costs for ensuring the necessary quality, safety of materials and proper record-keeping and reporting. This is also true for businesses that do not apply EU environmental standards or circumvent contributing to waste management. Compliant sellers, however, incur these costs from a comprehensive legal environment and are placed at an economic disadvantage compared to traders that do not follow the rules.</w:t>
      </w:r>
    </w:p>
    <w:p w14:paraId="427B1F52" w14:textId="77777777" w:rsidR="00DB1BEA" w:rsidRPr="00542EB9" w:rsidRDefault="00DB1BEA" w:rsidP="000D4A96">
      <w:pPr>
        <w:pStyle w:val="Heading2"/>
        <w:rPr>
          <w:noProof/>
        </w:rPr>
      </w:pPr>
      <w:bookmarkStart w:id="118" w:name="_Toc198549088"/>
      <w:r w:rsidRPr="00542EB9">
        <w:rPr>
          <w:noProof/>
        </w:rPr>
        <w:t>Taxation</w:t>
      </w:r>
      <w:bookmarkEnd w:id="118"/>
    </w:p>
    <w:p w14:paraId="086D6150" w14:textId="77777777" w:rsidR="00DB1BEA" w:rsidRPr="00542EB9" w:rsidRDefault="00DB1BEA" w:rsidP="00DB1BEA">
      <w:pPr>
        <w:rPr>
          <w:noProof/>
        </w:rPr>
      </w:pPr>
      <w:r w:rsidRPr="00542EB9">
        <w:rPr>
          <w:noProof/>
        </w:rPr>
        <w:t>The complexity of dealing with 27 different tax systems in the EU hinder business growth and competitiveness by imposing significant compliance costs and administrative burdens on companies, particularly small and medium-sized enterprises, which may struggle to navigate intricate EU and national regulations. Variations and inconsistencies in tax policies across Member States can create uncertainty for businesses, discouraging cross-border trade and investment, and ultimately affecting the region's overall competitiveness in the global market. This context may lead businesses to engage in tax optimisation strategies that may divert resources away from innovation and productive activities.</w:t>
      </w:r>
    </w:p>
    <w:p w14:paraId="673AE957" w14:textId="77777777" w:rsidR="00DB1BEA" w:rsidRPr="00542EB9" w:rsidRDefault="41FE1EFE" w:rsidP="00DB1BEA">
      <w:pPr>
        <w:rPr>
          <w:noProof/>
          <w:sz w:val="22"/>
          <w:szCs w:val="22"/>
        </w:rPr>
      </w:pPr>
      <w:r w:rsidRPr="00542EB9">
        <w:rPr>
          <w:noProof/>
        </w:rPr>
        <w:t>Over the recent years, the political agenda has been increasingly influenced by tax competition between countries and tax avoidance practices. Those phenomena go well beyond Member States’ borders and involve also third countries. It is expected from the Union to take action to fight tax fraud, evasion and avoidance as they distort competition, jeopardise the functioning of the single market and undermine social fairness. Moreover, tax scandals like the Cum/Ex and Cum/Cum</w:t>
      </w:r>
      <w:r w:rsidR="00DB1BEA" w:rsidRPr="00542EB9">
        <w:rPr>
          <w:noProof/>
          <w:sz w:val="20"/>
          <w:szCs w:val="20"/>
          <w:vertAlign w:val="superscript"/>
        </w:rPr>
        <w:footnoteReference w:id="101"/>
      </w:r>
      <w:r w:rsidRPr="00542EB9">
        <w:rPr>
          <w:noProof/>
        </w:rPr>
        <w:t xml:space="preserve"> have shown that refund procedures in taxation can be abused</w:t>
      </w:r>
      <w:r w:rsidR="00DB1BEA" w:rsidRPr="00542EB9">
        <w:rPr>
          <w:noProof/>
          <w:vertAlign w:val="superscript"/>
        </w:rPr>
        <w:footnoteReference w:id="102"/>
      </w:r>
      <w:r w:rsidRPr="00542EB9">
        <w:rPr>
          <w:noProof/>
        </w:rPr>
        <w:t xml:space="preserve"> </w:t>
      </w:r>
      <w:r w:rsidRPr="00542EB9">
        <w:rPr>
          <w:noProof/>
          <w:vertAlign w:val="superscript"/>
        </w:rPr>
        <w:t>&amp;</w:t>
      </w:r>
      <w:r w:rsidRPr="00542EB9">
        <w:rPr>
          <w:noProof/>
        </w:rPr>
        <w:t xml:space="preserve"> </w:t>
      </w:r>
      <w:r w:rsidR="00DB1BEA" w:rsidRPr="00542EB9">
        <w:rPr>
          <w:noProof/>
          <w:vertAlign w:val="superscript"/>
        </w:rPr>
        <w:footnoteReference w:id="103"/>
      </w:r>
      <w:r w:rsidRPr="00542EB9">
        <w:rPr>
          <w:noProof/>
        </w:rPr>
        <w:t xml:space="preserve">. Complexity of tax systems for economic operators lead to administrative burden during refund procedures which are often lengthy, costly and cumbersome, causing frustration for investors and discourage cross-border investment within and into the EU. Tax procedures applied in each Member State can be very different, leading to different forms across the EU, most of which are only available in national languages. </w:t>
      </w:r>
    </w:p>
    <w:p w14:paraId="5A16A00C" w14:textId="77777777" w:rsidR="00DB1BEA" w:rsidRPr="00542EB9" w:rsidRDefault="00DB1BEA" w:rsidP="00DB1BEA">
      <w:pPr>
        <w:rPr>
          <w:noProof/>
          <w:sz w:val="22"/>
          <w:szCs w:val="22"/>
        </w:rPr>
      </w:pPr>
      <w:r w:rsidRPr="00542EB9">
        <w:rPr>
          <w:noProof/>
        </w:rPr>
        <w:t>A fragmented regulatory framework has failed to keep pace with new business models leveraging technical opportunities and thus creating excessive administrative burden and compliance costs resulting in missed opportunities for the economic operators, linked with the IT systems, business automation and digitalisation.</w:t>
      </w:r>
    </w:p>
    <w:p w14:paraId="0B36359E" w14:textId="77777777" w:rsidR="00DB1BEA" w:rsidRPr="00542EB9" w:rsidRDefault="00DB1BEA" w:rsidP="00625F2C">
      <w:pPr>
        <w:pStyle w:val="Heading1"/>
        <w:numPr>
          <w:ilvl w:val="0"/>
          <w:numId w:val="83"/>
        </w:numPr>
        <w:rPr>
          <w:noProof/>
        </w:rPr>
      </w:pPr>
      <w:bookmarkStart w:id="119" w:name="_Toc198549090"/>
      <w:r w:rsidRPr="00542EB9">
        <w:rPr>
          <w:noProof/>
        </w:rPr>
        <w:t>Capacity building, administrative and operational cooperation and integration among Member States and between Member States and the European Commission remains suboptimal.</w:t>
      </w:r>
      <w:bookmarkEnd w:id="119"/>
      <w:r w:rsidRPr="00542EB9">
        <w:rPr>
          <w:noProof/>
        </w:rPr>
        <w:t xml:space="preserve"> </w:t>
      </w:r>
    </w:p>
    <w:p w14:paraId="55827332" w14:textId="1E8C60B1" w:rsidR="00DB1BEA" w:rsidRPr="00542EB9" w:rsidRDefault="00DB1BEA" w:rsidP="00BF0756">
      <w:pPr>
        <w:pStyle w:val="Heading2"/>
        <w:rPr>
          <w:noProof/>
        </w:rPr>
      </w:pPr>
      <w:bookmarkStart w:id="120" w:name="_Toc198549091"/>
      <w:r w:rsidRPr="00542EB9">
        <w:rPr>
          <w:noProof/>
        </w:rPr>
        <w:t>Single market</w:t>
      </w:r>
      <w:bookmarkEnd w:id="120"/>
    </w:p>
    <w:p w14:paraId="088A3782" w14:textId="77777777" w:rsidR="00DB1BEA" w:rsidRPr="00542EB9" w:rsidRDefault="00DB1BEA" w:rsidP="00DB1BEA">
      <w:pPr>
        <w:spacing w:after="120"/>
        <w:rPr>
          <w:rFonts w:eastAsia="Times New Roman"/>
          <w:noProof/>
        </w:rPr>
      </w:pPr>
      <w:r w:rsidRPr="00542EB9">
        <w:rPr>
          <w:noProof/>
        </w:rPr>
        <w:t>To foster the reinforcement of administrative cooperation and integration, training and capacity-building activities are conducted, as well as exchanges of expertise and knowledge for EU-level or national authorities. C</w:t>
      </w:r>
      <w:r w:rsidRPr="00542EB9">
        <w:rPr>
          <w:rFonts w:eastAsia="Calibri"/>
          <w:noProof/>
        </w:rPr>
        <w:t>apacity building is also essential to ensure the achievement of the Saving and Investments Union by providing support and training to Member States and local authorities.</w:t>
      </w:r>
    </w:p>
    <w:p w14:paraId="398030BF" w14:textId="77777777" w:rsidR="00DB1BEA" w:rsidRPr="00542EB9" w:rsidRDefault="00DB1BEA" w:rsidP="00DB1BEA">
      <w:pPr>
        <w:spacing w:after="120"/>
        <w:rPr>
          <w:noProof/>
        </w:rPr>
      </w:pPr>
      <w:r w:rsidRPr="00542EB9">
        <w:rPr>
          <w:noProof/>
        </w:rPr>
        <w:t xml:space="preserve">This involves </w:t>
      </w:r>
      <w:r w:rsidRPr="00542EB9">
        <w:rPr>
          <w:b/>
          <w:bCs/>
          <w:noProof/>
        </w:rPr>
        <w:t>capacity-building actions</w:t>
      </w:r>
      <w:r w:rsidRPr="00542EB9">
        <w:rPr>
          <w:noProof/>
        </w:rPr>
        <w:t xml:space="preserve">, promoting the share and re-use of solutions and trainings to businesses which benefit from support via public procurement actions and skill development. For example, in the areas of single market, consumer protection training activities related to product safety, or on verification of compliance could benefit from a common core and branding. It also includes </w:t>
      </w:r>
      <w:r w:rsidRPr="00542EB9">
        <w:rPr>
          <w:b/>
          <w:bCs/>
          <w:noProof/>
        </w:rPr>
        <w:t>training</w:t>
      </w:r>
      <w:r w:rsidRPr="00542EB9">
        <w:rPr>
          <w:noProof/>
        </w:rPr>
        <w:t xml:space="preserve"> for judges on competition law and anti-money laundering, businesses peer reviews and mutual visits for product Market Surveillance Authorities.</w:t>
      </w:r>
    </w:p>
    <w:p w14:paraId="05DAE3E9" w14:textId="77777777" w:rsidR="00DB1BEA" w:rsidRPr="00542EB9" w:rsidRDefault="00DB1BEA" w:rsidP="00DB1BEA">
      <w:pPr>
        <w:spacing w:after="120"/>
        <w:rPr>
          <w:noProof/>
        </w:rPr>
      </w:pPr>
      <w:r w:rsidRPr="00542EB9">
        <w:rPr>
          <w:noProof/>
        </w:rPr>
        <w:t xml:space="preserve">Support is provided to organisations in charge of the enforcement of EU consumer protection laws, and the coordination of actions, while allowing exchange of expertise on product safety. </w:t>
      </w:r>
    </w:p>
    <w:p w14:paraId="396610ED" w14:textId="77777777" w:rsidR="00DB1BEA" w:rsidRPr="00542EB9" w:rsidRDefault="00DB1BEA" w:rsidP="00DB1BEA">
      <w:pPr>
        <w:spacing w:after="120"/>
        <w:rPr>
          <w:noProof/>
        </w:rPr>
      </w:pPr>
      <w:r w:rsidRPr="00542EB9">
        <w:rPr>
          <w:b/>
          <w:bCs/>
          <w:noProof/>
        </w:rPr>
        <w:t>Cooperation and partnerships</w:t>
      </w:r>
      <w:r w:rsidRPr="00542EB9">
        <w:rPr>
          <w:noProof/>
        </w:rPr>
        <w:t xml:space="preserve"> within the European Statistical System allow to further enhance its capacity and deliver high quality and timely statistics, leveraging new data sources and technologies. </w:t>
      </w:r>
    </w:p>
    <w:p w14:paraId="1BA41F2E" w14:textId="77777777" w:rsidR="00DB1BEA" w:rsidRPr="00542EB9" w:rsidRDefault="00DB1BEA" w:rsidP="00DB1BEA">
      <w:pPr>
        <w:rPr>
          <w:noProof/>
        </w:rPr>
      </w:pPr>
      <w:r w:rsidRPr="00542EB9">
        <w:rPr>
          <w:noProof/>
        </w:rPr>
        <w:t xml:space="preserve">Networks and platforms also facilitate cooperation between Member States and with the Commission. This includes </w:t>
      </w:r>
      <w:r w:rsidRPr="00542EB9">
        <w:rPr>
          <w:b/>
          <w:bCs/>
          <w:noProof/>
        </w:rPr>
        <w:t>networks</w:t>
      </w:r>
      <w:r w:rsidRPr="00542EB9">
        <w:rPr>
          <w:noProof/>
        </w:rPr>
        <w:t xml:space="preserve"> in the field of competition (such as the European Competition Network and the International Competition Network), market surveillance and financial services to enable secured data exchange. As regards market surveillance, this also includes joint inspection actions fostering cooperation between authorities. The Internal Market Information System also supports administrative cooperation aimed to implement EU rules in 20 policy areas of the single market. In addition, the Interoperable Europe Act and its governance aim to strengthen cooperation on improving cross-border public services through interoperability. The Beneficial Ownership Register Interconnection system (BORIS) and the forthcoming Bank Account Register Interconnection System (BARIS) are important tools to facilitate the flow of information for Member States’ anti-money laundering efforts and to counter terrorist financing. </w:t>
      </w:r>
    </w:p>
    <w:p w14:paraId="024CDB57" w14:textId="7EC7ECA2" w:rsidR="00DB1BEA" w:rsidRPr="00542EB9" w:rsidRDefault="00DB1BEA" w:rsidP="00DB1BEA">
      <w:pPr>
        <w:spacing w:after="120"/>
        <w:rPr>
          <w:noProof/>
        </w:rPr>
      </w:pPr>
      <w:r w:rsidRPr="00542EB9">
        <w:rPr>
          <w:noProof/>
        </w:rPr>
        <w:t xml:space="preserve">The European Consumer Centres Network (ECC-Net), in addition to providing information, assists consumers in cross-border transactions, </w:t>
      </w:r>
      <w:r w:rsidR="001A46BD" w:rsidRPr="00542EB9">
        <w:rPr>
          <w:noProof/>
        </w:rPr>
        <w:t>ADR</w:t>
      </w:r>
      <w:r w:rsidRPr="00542EB9">
        <w:rPr>
          <w:noProof/>
        </w:rPr>
        <w:t xml:space="preserve"> bodies ensure access to efficient redress, while the Consumer Protection Cooperation (CPC) network and Safety Gate enhance cooperation to enable effective enforcement of consumer law and single market surveillance. </w:t>
      </w:r>
    </w:p>
    <w:p w14:paraId="598751D9" w14:textId="77777777" w:rsidR="00DB1BEA" w:rsidRPr="00542EB9" w:rsidRDefault="00DB1BEA" w:rsidP="00DB1BEA">
      <w:pPr>
        <w:spacing w:after="120"/>
        <w:rPr>
          <w:noProof/>
        </w:rPr>
      </w:pPr>
      <w:r w:rsidRPr="00542EB9">
        <w:rPr>
          <w:b/>
          <w:bCs/>
          <w:noProof/>
        </w:rPr>
        <w:t>Various digital systems</w:t>
      </w:r>
      <w:r w:rsidRPr="00542EB9">
        <w:rPr>
          <w:noProof/>
        </w:rPr>
        <w:t xml:space="preserve"> are used for the cooperation among national</w:t>
      </w:r>
      <w:r w:rsidRPr="00542EB9">
        <w:rPr>
          <w:b/>
          <w:bCs/>
          <w:noProof/>
        </w:rPr>
        <w:t xml:space="preserve"> </w:t>
      </w:r>
      <w:r w:rsidRPr="00542EB9">
        <w:rPr>
          <w:noProof/>
        </w:rPr>
        <w:t xml:space="preserve">competent authorities and with the Commission, often not interoperable or implemented independently due to different legal basis. The delivery of user-friendly cross-border interoperable public services by seamless and secure data exchange [sharing] needs further development, along with access to digital solutions supporting Union’s policies.  </w:t>
      </w:r>
    </w:p>
    <w:p w14:paraId="375BE959" w14:textId="77777777" w:rsidR="00DB1BEA" w:rsidRPr="00542EB9" w:rsidRDefault="00DB1BEA" w:rsidP="00BF0756">
      <w:pPr>
        <w:pStyle w:val="Heading2"/>
        <w:rPr>
          <w:noProof/>
        </w:rPr>
      </w:pPr>
      <w:bookmarkStart w:id="121" w:name="_Toc198549092"/>
      <w:r w:rsidRPr="00542EB9">
        <w:rPr>
          <w:noProof/>
        </w:rPr>
        <w:t>Customs Union</w:t>
      </w:r>
      <w:bookmarkEnd w:id="121"/>
    </w:p>
    <w:p w14:paraId="5C13BAF2" w14:textId="1572FA0E" w:rsidR="00DB1BEA" w:rsidRPr="00542EB9" w:rsidRDefault="00DB1BEA" w:rsidP="00DB1BEA">
      <w:pPr>
        <w:rPr>
          <w:noProof/>
        </w:rPr>
      </w:pPr>
      <w:r w:rsidRPr="00542EB9">
        <w:rPr>
          <w:noProof/>
        </w:rPr>
        <w:t>Sub-optimal functioning of the Customs Union: the Customs Union and the customs authorities struggle in their mission to protect the EU and the internal market</w:t>
      </w:r>
      <w:r w:rsidR="00422188" w:rsidRPr="00542EB9">
        <w:rPr>
          <w:noProof/>
        </w:rPr>
        <w:t>.</w:t>
      </w:r>
    </w:p>
    <w:p w14:paraId="7BF7B7EB" w14:textId="77777777" w:rsidR="00DB1BEA" w:rsidRPr="00542EB9" w:rsidRDefault="00DB1BEA" w:rsidP="00DB1BEA">
      <w:pPr>
        <w:numPr>
          <w:ilvl w:val="0"/>
          <w:numId w:val="56"/>
        </w:numPr>
        <w:contextualSpacing/>
        <w:rPr>
          <w:noProof/>
        </w:rPr>
      </w:pPr>
      <w:r w:rsidRPr="00542EB9">
        <w:rPr>
          <w:noProof/>
        </w:rPr>
        <w:t xml:space="preserve">Fragmented Customs Union governance structure </w:t>
      </w:r>
    </w:p>
    <w:p w14:paraId="6957A2B0" w14:textId="77777777" w:rsidR="00DB1BEA" w:rsidRPr="00542EB9" w:rsidRDefault="00DB1BEA" w:rsidP="00DB1BEA">
      <w:pPr>
        <w:rPr>
          <w:noProof/>
        </w:rPr>
      </w:pPr>
      <w:r w:rsidRPr="00542EB9">
        <w:rPr>
          <w:noProof/>
        </w:rPr>
        <w:t>The current governance structure is not fit for purpose. There are many layers of customs activity with no strategic coherence between them. The operational management of the Customs Union is not coordinated, and its performance depends on the will of Member States to cooperate in addition to their implementation of the EU customs rules.</w:t>
      </w:r>
    </w:p>
    <w:p w14:paraId="62091E90" w14:textId="77777777" w:rsidR="00DB1BEA" w:rsidRPr="00542EB9" w:rsidRDefault="00DB1BEA" w:rsidP="00DB1BEA">
      <w:pPr>
        <w:rPr>
          <w:noProof/>
        </w:rPr>
      </w:pPr>
      <w:r w:rsidRPr="00542EB9">
        <w:rPr>
          <w:noProof/>
        </w:rPr>
        <w:t xml:space="preserve">The governance of the Customs Union is largely unchanged since its creation in 1968. There has been no significant evolution in its strategic and operational management, making it less able to face current and future challenges. </w:t>
      </w:r>
    </w:p>
    <w:p w14:paraId="12E67858" w14:textId="77777777" w:rsidR="00DB1BEA" w:rsidRPr="00542EB9" w:rsidRDefault="41FE1EFE" w:rsidP="00DB1BEA">
      <w:pPr>
        <w:rPr>
          <w:noProof/>
        </w:rPr>
      </w:pPr>
      <w:r w:rsidRPr="00542EB9">
        <w:rPr>
          <w:noProof/>
        </w:rPr>
        <w:t>The responsibility for the implementation of the customs legislation is shared between the Member States and the Commission. The Lisbon Treaty established that the Customs Union is an exclusive competence of the EU and that the single market is a shared competence. Therefore, the EU has exercised its competences by adopting a common legal framework, the Union Customs Code (UCC). Member States implement the customs rules and processes.</w:t>
      </w:r>
      <w:r w:rsidR="00DB1BEA" w:rsidRPr="00542EB9">
        <w:rPr>
          <w:noProof/>
          <w:vertAlign w:val="superscript"/>
        </w:rPr>
        <w:footnoteReference w:id="104"/>
      </w:r>
      <w:r w:rsidRPr="00542EB9">
        <w:rPr>
          <w:noProof/>
        </w:rPr>
        <w:t xml:space="preserve"> </w:t>
      </w:r>
    </w:p>
    <w:p w14:paraId="2EA38F60" w14:textId="3726DEA4" w:rsidR="00DB1BEA" w:rsidRPr="00542EB9" w:rsidRDefault="41FE1EFE" w:rsidP="00DB1BEA">
      <w:pPr>
        <w:rPr>
          <w:noProof/>
        </w:rPr>
      </w:pPr>
      <w:r w:rsidRPr="00542EB9">
        <w:rPr>
          <w:noProof/>
        </w:rPr>
        <w:t xml:space="preserve">The existing legislative process and strategic </w:t>
      </w:r>
      <w:r w:rsidRPr="00542EB9">
        <w:rPr>
          <w:i/>
          <w:iCs/>
          <w:noProof/>
        </w:rPr>
        <w:t>fora</w:t>
      </w:r>
      <w:r w:rsidRPr="00542EB9">
        <w:rPr>
          <w:noProof/>
        </w:rPr>
        <w:t xml:space="preserve"> have proven insufficient to achieve a ‘real’ Customs Union in which legislation is applied uniformly by all Member States and risks are equally covered wherever the goods enter or leave the customs territory based on common, coordinated action. Additional policy and governance instruments have therefore been put in place for better operational </w:t>
      </w:r>
      <w:r w:rsidRPr="00542EB9">
        <w:rPr>
          <w:b/>
          <w:bCs/>
          <w:noProof/>
        </w:rPr>
        <w:t>coordination and cooperation</w:t>
      </w:r>
      <w:r w:rsidRPr="00542EB9">
        <w:rPr>
          <w:noProof/>
        </w:rPr>
        <w:t>, and to support more uniform implementation of the rules on the ground</w:t>
      </w:r>
      <w:r w:rsidR="00DB1BEA" w:rsidRPr="00542EB9">
        <w:rPr>
          <w:noProof/>
          <w:sz w:val="20"/>
          <w:szCs w:val="20"/>
          <w:vertAlign w:val="superscript"/>
        </w:rPr>
        <w:footnoteReference w:id="105"/>
      </w:r>
      <w:r w:rsidR="005051B7" w:rsidRPr="00542EB9">
        <w:rPr>
          <w:noProof/>
          <w:sz w:val="20"/>
          <w:szCs w:val="20"/>
        </w:rPr>
        <w:t>.</w:t>
      </w:r>
    </w:p>
    <w:p w14:paraId="53C033AF" w14:textId="254858D3" w:rsidR="00DB1BEA" w:rsidRPr="00542EB9" w:rsidRDefault="00195331" w:rsidP="00DB1BEA">
      <w:pPr>
        <w:rPr>
          <w:noProof/>
        </w:rPr>
      </w:pPr>
      <w:r w:rsidRPr="00542EB9">
        <w:rPr>
          <w:noProof/>
        </w:rPr>
        <w:t>T</w:t>
      </w:r>
      <w:r w:rsidR="00DB1BEA" w:rsidRPr="00542EB9">
        <w:rPr>
          <w:noProof/>
        </w:rPr>
        <w:t xml:space="preserve">he Customs Union is managed by means of legislative and non-legislative tools that are not designed for that scope and making it difficult to adapt the customs systems and procedures in cases of crisis. A political prioritisation of areas for common, coordinated action in risk management does not exist. Priorities are determined mainly at national level, according to national political preferences, and not following a Union approach required for a homogenous enforcement of the rules and an appropriate protection of the </w:t>
      </w:r>
      <w:r w:rsidR="005459CC" w:rsidRPr="00542EB9">
        <w:rPr>
          <w:noProof/>
        </w:rPr>
        <w:t>single market</w:t>
      </w:r>
      <w:r w:rsidR="00DB1BEA" w:rsidRPr="00542EB9">
        <w:rPr>
          <w:noProof/>
        </w:rPr>
        <w:t xml:space="preserve"> by </w:t>
      </w:r>
      <w:r w:rsidR="00486188" w:rsidRPr="00542EB9">
        <w:rPr>
          <w:noProof/>
        </w:rPr>
        <w:t>c</w:t>
      </w:r>
      <w:r w:rsidR="00DB1BEA" w:rsidRPr="00542EB9">
        <w:rPr>
          <w:noProof/>
        </w:rPr>
        <w:t xml:space="preserve">ustoms. Over time, the multiplication of committees, expert groups, project groups and expert teams dealing with customs matters has resulted in a major co-ordination challenge, further fragmenting the governance. There are many layers of customs activity but there is no strategic coherence. The operational management of the Customs Union is not coordinated and depends on the willingness of Member States to cooperate. </w:t>
      </w:r>
    </w:p>
    <w:p w14:paraId="0F8BAA4D" w14:textId="77777777" w:rsidR="00DB1BEA" w:rsidRPr="00542EB9" w:rsidRDefault="00DB1BEA" w:rsidP="00DB1BEA">
      <w:pPr>
        <w:numPr>
          <w:ilvl w:val="0"/>
          <w:numId w:val="56"/>
        </w:numPr>
        <w:contextualSpacing/>
        <w:rPr>
          <w:noProof/>
        </w:rPr>
      </w:pPr>
      <w:r w:rsidRPr="00542EB9">
        <w:rPr>
          <w:noProof/>
        </w:rPr>
        <w:t xml:space="preserve">Fragmented and complex customs digitalisation </w:t>
      </w:r>
    </w:p>
    <w:p w14:paraId="7C110AC2" w14:textId="77777777" w:rsidR="00DB1BEA" w:rsidRPr="00542EB9" w:rsidRDefault="41FE1EFE" w:rsidP="00DB1BEA">
      <w:pPr>
        <w:rPr>
          <w:noProof/>
        </w:rPr>
      </w:pPr>
      <w:r w:rsidRPr="00542EB9">
        <w:rPr>
          <w:rFonts w:eastAsia="Times New Roman"/>
          <w:noProof/>
          <w:lang w:eastAsia="en-IE"/>
        </w:rPr>
        <w:t>Access to all relevant data to exploit it by cross-checking using artificial intelligence is a major objective pursued in all domains by governments and companies, empowering them to trace behaviours and habits and further adapt their strategies. Big data is today driving the digital revolution. Customs is a pioneer in digitalisation. From 2003, there is the ambition of creating a simple and paperless environment for customs and trade</w:t>
      </w:r>
      <w:r w:rsidR="00DB1BEA" w:rsidRPr="00542EB9">
        <w:rPr>
          <w:rFonts w:eastAsia="Times New Roman"/>
          <w:noProof/>
          <w:vertAlign w:val="superscript"/>
          <w:lang w:eastAsia="en-IE"/>
        </w:rPr>
        <w:footnoteReference w:id="106"/>
      </w:r>
      <w:r w:rsidRPr="00542EB9">
        <w:rPr>
          <w:rFonts w:eastAsia="Times New Roman"/>
          <w:noProof/>
          <w:lang w:eastAsia="en-IE"/>
        </w:rPr>
        <w:t>. Today 99% of traders’ information to customs is digital</w:t>
      </w:r>
      <w:r w:rsidRPr="00542EB9">
        <w:rPr>
          <w:noProof/>
        </w:rPr>
        <w:t xml:space="preserve"> and customs systems react automatically, in less than 5 minutes for 87.3% of the cases. </w:t>
      </w:r>
    </w:p>
    <w:p w14:paraId="34D6BCEC" w14:textId="1FD9BC91" w:rsidR="00DB1BEA" w:rsidRPr="00542EB9" w:rsidRDefault="00DB1BEA" w:rsidP="00DB1BEA">
      <w:pPr>
        <w:rPr>
          <w:noProof/>
        </w:rPr>
      </w:pPr>
      <w:r w:rsidRPr="00542EB9">
        <w:rPr>
          <w:noProof/>
        </w:rPr>
        <w:t>The figures show that the UCC digitali</w:t>
      </w:r>
      <w:r w:rsidR="00D65448" w:rsidRPr="00542EB9">
        <w:rPr>
          <w:noProof/>
        </w:rPr>
        <w:t>s</w:t>
      </w:r>
      <w:r w:rsidRPr="00542EB9">
        <w:rPr>
          <w:noProof/>
        </w:rPr>
        <w:t>ation model, while bringing significant benefits and being therefore necessary to complete, remains complex and fragmented. The model provides poor data quality for customs hindering the accomplishment of its mission, leading to divergent implementation of the customs rules and high administrative compliance costs for businesses as follows:</w:t>
      </w:r>
    </w:p>
    <w:p w14:paraId="2D1A7ABC" w14:textId="77777777" w:rsidR="00DB1BEA" w:rsidRPr="00542EB9" w:rsidRDefault="00DB1BEA" w:rsidP="00DB1BEA">
      <w:pPr>
        <w:numPr>
          <w:ilvl w:val="0"/>
          <w:numId w:val="77"/>
        </w:numPr>
        <w:rPr>
          <w:noProof/>
        </w:rPr>
      </w:pPr>
      <w:r w:rsidRPr="00542EB9">
        <w:rPr>
          <w:noProof/>
        </w:rPr>
        <w:t xml:space="preserve">The Union Customs Code sets a specific, normally national, IT system for each step of the process. Those </w:t>
      </w:r>
      <w:r w:rsidRPr="00542EB9">
        <w:rPr>
          <w:b/>
          <w:bCs/>
          <w:noProof/>
        </w:rPr>
        <w:t>national IT systems</w:t>
      </w:r>
      <w:r w:rsidRPr="00542EB9">
        <w:rPr>
          <w:noProof/>
        </w:rPr>
        <w:t xml:space="preserve"> are not necessarily interconnected, not even within one Member State. Operators have therefore limited (if any) possibilities to save in compliance by reusing the data on a specific consignment for several steps.</w:t>
      </w:r>
    </w:p>
    <w:p w14:paraId="6BE33F55" w14:textId="77777777" w:rsidR="00DB1BEA" w:rsidRPr="00542EB9" w:rsidRDefault="00DB1BEA" w:rsidP="00DB1BEA">
      <w:pPr>
        <w:numPr>
          <w:ilvl w:val="0"/>
          <w:numId w:val="77"/>
        </w:numPr>
        <w:rPr>
          <w:noProof/>
        </w:rPr>
      </w:pPr>
      <w:r w:rsidRPr="00542EB9">
        <w:rPr>
          <w:noProof/>
        </w:rPr>
        <w:t xml:space="preserve">Economic operators provide the information on several national IT systems, which are </w:t>
      </w:r>
      <w:r w:rsidRPr="00542EB9">
        <w:rPr>
          <w:b/>
          <w:bCs/>
          <w:noProof/>
        </w:rPr>
        <w:t>similar but not identical</w:t>
      </w:r>
      <w:r w:rsidRPr="00542EB9">
        <w:rPr>
          <w:noProof/>
        </w:rPr>
        <w:t>. For operators, there are 27 separate customs IT environments, even if there is only one Customs Union. A notable exception is the Commission-built IT system to provide the pre-loading and pre-arrival information, Import Control System or ICS2, which provides a unique trader portal for the entire Union. The Commission has also built a series of trans-European systems to connect the national interfaces to enable operators to complete some formalities from a single location (one stop shop). However, until all national interfaces are updated in 2025, the operators will not perceive that benefit.</w:t>
      </w:r>
    </w:p>
    <w:p w14:paraId="08019333" w14:textId="66F9D031" w:rsidR="00DB1BEA" w:rsidRPr="00542EB9" w:rsidRDefault="41FE1EFE" w:rsidP="00DB1BEA">
      <w:pPr>
        <w:numPr>
          <w:ilvl w:val="0"/>
          <w:numId w:val="77"/>
        </w:numPr>
        <w:rPr>
          <w:noProof/>
        </w:rPr>
      </w:pPr>
      <w:r w:rsidRPr="00542EB9">
        <w:rPr>
          <w:noProof/>
        </w:rPr>
        <w:t xml:space="preserve">The national IT systems produce </w:t>
      </w:r>
      <w:r w:rsidRPr="00542EB9">
        <w:rPr>
          <w:b/>
          <w:bCs/>
          <w:noProof/>
        </w:rPr>
        <w:t>national databases</w:t>
      </w:r>
      <w:r w:rsidRPr="00542EB9">
        <w:rPr>
          <w:noProof/>
        </w:rPr>
        <w:t>. Therefore, neither the Member States nor the Commission have an overview of the consignments or the operators for risk management purposes. Member States conduct their risk analysis based on national data. The Commission has no access to those data, not even to the data stored on the trans-European systems that the Commission has built and manages. The exceptions are the statistical collection of trade data called ‘surveillance’ and a secured system to exchange information on specific risks (CRMS)</w:t>
      </w:r>
      <w:r w:rsidR="00DB1BEA" w:rsidRPr="00542EB9">
        <w:rPr>
          <w:noProof/>
          <w:sz w:val="20"/>
          <w:szCs w:val="20"/>
          <w:vertAlign w:val="superscript"/>
        </w:rPr>
        <w:footnoteReference w:id="107"/>
      </w:r>
      <w:r w:rsidR="005B1B74" w:rsidRPr="00542EB9">
        <w:rPr>
          <w:noProof/>
          <w:vertAlign w:val="superscript"/>
        </w:rPr>
        <w:t>.</w:t>
      </w:r>
    </w:p>
    <w:p w14:paraId="3F78AD9F" w14:textId="77777777" w:rsidR="00DB1BEA" w:rsidRPr="00542EB9" w:rsidRDefault="00DB1BEA" w:rsidP="00DB1BEA">
      <w:pPr>
        <w:numPr>
          <w:ilvl w:val="0"/>
          <w:numId w:val="77"/>
        </w:numPr>
        <w:rPr>
          <w:noProof/>
        </w:rPr>
      </w:pPr>
      <w:r w:rsidRPr="00542EB9">
        <w:rPr>
          <w:noProof/>
        </w:rPr>
        <w:t xml:space="preserve">Maintaining and managing these parallel IT environments is </w:t>
      </w:r>
      <w:r w:rsidRPr="00542EB9">
        <w:rPr>
          <w:b/>
          <w:bCs/>
          <w:noProof/>
        </w:rPr>
        <w:t>costly</w:t>
      </w:r>
      <w:r w:rsidRPr="00542EB9">
        <w:rPr>
          <w:noProof/>
        </w:rPr>
        <w:t xml:space="preserve"> for the EU and Member States. Any change or adaptation is lengthy, requiring a minimum of two years.</w:t>
      </w:r>
    </w:p>
    <w:p w14:paraId="13A9790B" w14:textId="7E92AF1B" w:rsidR="00DB1BEA" w:rsidRPr="00542EB9" w:rsidRDefault="00EA2A69" w:rsidP="00DB1BEA">
      <w:pPr>
        <w:numPr>
          <w:ilvl w:val="0"/>
          <w:numId w:val="77"/>
        </w:numPr>
        <w:rPr>
          <w:noProof/>
        </w:rPr>
      </w:pPr>
      <w:r w:rsidRPr="00542EB9">
        <w:rPr>
          <w:noProof/>
        </w:rPr>
        <w:t>From a personal data protection point of view, the UCC digitalisation model requires further reflection to ensure alignment with  the General Data Protection Regulation, where obligations for data controllers and processors are detailed, and the exercise of data subjects’ rights is fully harmonised.</w:t>
      </w:r>
      <w:r w:rsidR="41FE1EFE" w:rsidRPr="00542EB9">
        <w:rPr>
          <w:noProof/>
        </w:rPr>
        <w:t xml:space="preserve"> </w:t>
      </w:r>
    </w:p>
    <w:p w14:paraId="67954B06" w14:textId="77777777" w:rsidR="00DB1BEA" w:rsidRPr="00542EB9" w:rsidRDefault="00DB1BEA" w:rsidP="00DB1BEA">
      <w:pPr>
        <w:numPr>
          <w:ilvl w:val="0"/>
          <w:numId w:val="56"/>
        </w:numPr>
        <w:contextualSpacing/>
        <w:rPr>
          <w:noProof/>
        </w:rPr>
      </w:pPr>
      <w:r w:rsidRPr="00542EB9">
        <w:rPr>
          <w:noProof/>
        </w:rPr>
        <w:t>Member States diverge significantly in the application of the customs rules</w:t>
      </w:r>
    </w:p>
    <w:p w14:paraId="656C0F93" w14:textId="77777777" w:rsidR="00DB1BEA" w:rsidRPr="00542EB9" w:rsidRDefault="00DB1BEA" w:rsidP="00DB1BEA">
      <w:pPr>
        <w:rPr>
          <w:noProof/>
        </w:rPr>
      </w:pPr>
      <w:r w:rsidRPr="00542EB9">
        <w:rPr>
          <w:noProof/>
        </w:rPr>
        <w:t>While the Customs Union exists for more than 50 years and is backed up by harmonised EU legislation, and while EU funding has been supporting the Customs Union and the national customs authorities to harmonise interpretation and unified results throughout the EU (“acting as one”), there are still significant variations and shortcomings in the interpretation and uniform implementation of EU law, leading to market distortion, hampering the EU’s financial interests, and allowing non-compliant operators to target EU points of entry with lower levels of controls.</w:t>
      </w:r>
    </w:p>
    <w:p w14:paraId="7D9E77E7" w14:textId="77777777" w:rsidR="00DB1BEA" w:rsidRPr="00542EB9" w:rsidRDefault="00DB1BEA" w:rsidP="00DB1BEA">
      <w:pPr>
        <w:rPr>
          <w:noProof/>
        </w:rPr>
      </w:pPr>
      <w:r w:rsidRPr="00542EB9">
        <w:rPr>
          <w:noProof/>
        </w:rPr>
        <w:t xml:space="preserve">The identified problems show that the problems derive from structural elements of the Customs Union. The divergence between Member States has its roots in the national responsibilities for parts of the Customs Union, without an EU perspective. The fragmentation of data is directly linked to the approach to IT systems and to the individual customs processes. Despite the consistent efforts to ‘act as one’, the cooperation between customs authorities has not reduced the divergent operational implementation. The cooperation with other authorities remains inefficient, and predominantly at national level. More effort in the same system does not bring a solution. The independent Wise Person Group similarly concluded in 2022: ‘There is a need for systemic change both in terms of Customs processes and in putting more Union in the European Customs. This is today an urgent matter of strategic sovereignty and reinforced resilience.’ The trends identified in the foresight report affecting the work of customs in 2040, such as larger trade volumes, increasingly complex non-customs regulatory environment for products, growing use of technology and enlarged access to, use and analysis of data implying new skills for customs officers, do not align with the current capacity of customs. The urgency becomes also visible in the dramatic increase of declarations. And while the number of controls increased, the proportion of goods controlled dropped. </w:t>
      </w:r>
    </w:p>
    <w:p w14:paraId="65AD29E5" w14:textId="77777777" w:rsidR="00826278" w:rsidRPr="00542EB9" w:rsidRDefault="00DB1BEA" w:rsidP="00DB1BEA">
      <w:pPr>
        <w:rPr>
          <w:noProof/>
        </w:rPr>
      </w:pPr>
      <w:r w:rsidRPr="00542EB9">
        <w:rPr>
          <w:noProof/>
        </w:rPr>
        <w:t>In response, on 17 May 2023 the Commission presented a proposal for an ambitious and comprehensive reform of the Customs Union. The aim is to simplify customs processes and make them smarter and safer, including by means of an increased use of artificial intelligence, a new EU Customs Authority, that would also manage the new the EU Data Hub.</w:t>
      </w:r>
      <w:r w:rsidR="00822128" w:rsidRPr="00542EB9">
        <w:rPr>
          <w:noProof/>
        </w:rPr>
        <w:t xml:space="preserve"> </w:t>
      </w:r>
    </w:p>
    <w:p w14:paraId="436AE2A3" w14:textId="7CBD24C5" w:rsidR="00DB1BEA" w:rsidRPr="00542EB9" w:rsidRDefault="00822128" w:rsidP="00DB1BEA">
      <w:pPr>
        <w:rPr>
          <w:noProof/>
        </w:rPr>
      </w:pPr>
      <w:r w:rsidRPr="00542EB9">
        <w:rPr>
          <w:noProof/>
        </w:rPr>
        <w:t xml:space="preserve">The EU funding </w:t>
      </w:r>
      <w:r w:rsidR="00302CAF" w:rsidRPr="00542EB9">
        <w:rPr>
          <w:noProof/>
        </w:rPr>
        <w:t xml:space="preserve">is </w:t>
      </w:r>
      <w:r w:rsidR="00546517" w:rsidRPr="00542EB9">
        <w:rPr>
          <w:noProof/>
        </w:rPr>
        <w:t xml:space="preserve">needed to support </w:t>
      </w:r>
      <w:r w:rsidR="003401E8" w:rsidRPr="00542EB9">
        <w:rPr>
          <w:noProof/>
        </w:rPr>
        <w:t>the functioning of the Customs Union</w:t>
      </w:r>
      <w:r w:rsidR="007B52E3" w:rsidRPr="00542EB9">
        <w:rPr>
          <w:noProof/>
        </w:rPr>
        <w:t xml:space="preserve"> </w:t>
      </w:r>
      <w:r w:rsidR="00227090" w:rsidRPr="00542EB9">
        <w:rPr>
          <w:noProof/>
        </w:rPr>
        <w:t xml:space="preserve">including the </w:t>
      </w:r>
      <w:r w:rsidR="009D645D" w:rsidRPr="00542EB9">
        <w:rPr>
          <w:noProof/>
        </w:rPr>
        <w:t xml:space="preserve">development </w:t>
      </w:r>
      <w:r w:rsidR="00E65FA6" w:rsidRPr="00542EB9">
        <w:rPr>
          <w:noProof/>
        </w:rPr>
        <w:t xml:space="preserve">and operation of </w:t>
      </w:r>
      <w:r w:rsidR="002B67A9" w:rsidRPr="00542EB9">
        <w:rPr>
          <w:noProof/>
        </w:rPr>
        <w:t xml:space="preserve">electronic </w:t>
      </w:r>
      <w:r w:rsidR="006C74C7" w:rsidRPr="00542EB9">
        <w:rPr>
          <w:noProof/>
        </w:rPr>
        <w:t xml:space="preserve">systems and </w:t>
      </w:r>
      <w:r w:rsidR="004913B3" w:rsidRPr="00542EB9">
        <w:rPr>
          <w:noProof/>
        </w:rPr>
        <w:t>digita</w:t>
      </w:r>
      <w:r w:rsidR="009D455A" w:rsidRPr="00542EB9">
        <w:rPr>
          <w:noProof/>
        </w:rPr>
        <w:t>l</w:t>
      </w:r>
      <w:r w:rsidR="00202DD6" w:rsidRPr="00542EB9">
        <w:rPr>
          <w:noProof/>
        </w:rPr>
        <w:t xml:space="preserve"> </w:t>
      </w:r>
      <w:r w:rsidR="006C74C7" w:rsidRPr="00542EB9">
        <w:rPr>
          <w:noProof/>
        </w:rPr>
        <w:t xml:space="preserve">solutions </w:t>
      </w:r>
      <w:r w:rsidR="00721A18" w:rsidRPr="00542EB9">
        <w:rPr>
          <w:noProof/>
        </w:rPr>
        <w:t>and tools</w:t>
      </w:r>
      <w:r w:rsidR="007B52E3" w:rsidRPr="00542EB9">
        <w:rPr>
          <w:noProof/>
        </w:rPr>
        <w:t xml:space="preserve">, </w:t>
      </w:r>
      <w:r w:rsidR="006F621D" w:rsidRPr="00542EB9">
        <w:rPr>
          <w:noProof/>
        </w:rPr>
        <w:t xml:space="preserve">the work </w:t>
      </w:r>
      <w:r w:rsidR="003E2E43" w:rsidRPr="00542EB9">
        <w:rPr>
          <w:noProof/>
        </w:rPr>
        <w:t xml:space="preserve">of the customs authorities </w:t>
      </w:r>
      <w:r w:rsidR="00A87DEE" w:rsidRPr="00542EB9">
        <w:rPr>
          <w:noProof/>
        </w:rPr>
        <w:t>and th</w:t>
      </w:r>
      <w:r w:rsidR="00B57B92" w:rsidRPr="00542EB9">
        <w:rPr>
          <w:noProof/>
        </w:rPr>
        <w:t xml:space="preserve">e </w:t>
      </w:r>
      <w:r w:rsidR="00F95396" w:rsidRPr="00542EB9">
        <w:rPr>
          <w:noProof/>
        </w:rPr>
        <w:t xml:space="preserve">transition </w:t>
      </w:r>
      <w:r w:rsidR="00D05EC4" w:rsidRPr="00542EB9">
        <w:rPr>
          <w:noProof/>
        </w:rPr>
        <w:t xml:space="preserve">to </w:t>
      </w:r>
      <w:r w:rsidR="00D346B4" w:rsidRPr="00542EB9">
        <w:rPr>
          <w:noProof/>
        </w:rPr>
        <w:t xml:space="preserve">the renewed </w:t>
      </w:r>
      <w:r w:rsidR="00F24F4C" w:rsidRPr="00542EB9">
        <w:rPr>
          <w:noProof/>
        </w:rPr>
        <w:t>EU Customs Union</w:t>
      </w:r>
      <w:r w:rsidR="004A1B23" w:rsidRPr="00542EB9">
        <w:rPr>
          <w:noProof/>
        </w:rPr>
        <w:t xml:space="preserve">, on the basis of the agreement to be reached </w:t>
      </w:r>
      <w:r w:rsidR="00B76630" w:rsidRPr="00542EB9">
        <w:rPr>
          <w:noProof/>
        </w:rPr>
        <w:t xml:space="preserve">by the co-legislators </w:t>
      </w:r>
      <w:r w:rsidR="009353C9" w:rsidRPr="00542EB9">
        <w:rPr>
          <w:noProof/>
        </w:rPr>
        <w:t>on the Commission’s proposal</w:t>
      </w:r>
      <w:r w:rsidR="000D2EB5" w:rsidRPr="00542EB9">
        <w:rPr>
          <w:noProof/>
        </w:rPr>
        <w:t xml:space="preserve"> </w:t>
      </w:r>
      <w:r w:rsidR="0016152E" w:rsidRPr="00542EB9">
        <w:rPr>
          <w:noProof/>
        </w:rPr>
        <w:t>on the Customs Union Re</w:t>
      </w:r>
      <w:r w:rsidR="000D2EB5" w:rsidRPr="00542EB9">
        <w:rPr>
          <w:noProof/>
        </w:rPr>
        <w:t>form.</w:t>
      </w:r>
    </w:p>
    <w:p w14:paraId="76855BA8" w14:textId="77777777" w:rsidR="00DB1BEA" w:rsidRPr="00542EB9" w:rsidRDefault="00DB1BEA" w:rsidP="00BF0756">
      <w:pPr>
        <w:pStyle w:val="Heading2"/>
        <w:rPr>
          <w:noProof/>
        </w:rPr>
      </w:pPr>
      <w:bookmarkStart w:id="122" w:name="_Toc198549093"/>
      <w:r w:rsidRPr="00542EB9">
        <w:rPr>
          <w:noProof/>
        </w:rPr>
        <w:t>Taxation</w:t>
      </w:r>
      <w:bookmarkEnd w:id="122"/>
    </w:p>
    <w:p w14:paraId="751A3111" w14:textId="77777777" w:rsidR="00DB1BEA" w:rsidRPr="00542EB9" w:rsidRDefault="00DB1BEA" w:rsidP="00DB1BEA">
      <w:pPr>
        <w:rPr>
          <w:noProof/>
        </w:rPr>
      </w:pPr>
      <w:r w:rsidRPr="00542EB9">
        <w:rPr>
          <w:noProof/>
        </w:rPr>
        <w:t xml:space="preserve">Sub-optimal functioning of the internal market: national tax authorities and the EU demonstrate inefficiency in their function to protect the financial and economic interests of the EU and its Member States and specifically to address tax fraud, tax evasion and tax avoidance, and to improve tax collection.  </w:t>
      </w:r>
    </w:p>
    <w:p w14:paraId="08D94EE4" w14:textId="77777777" w:rsidR="00DB1BEA" w:rsidRPr="00542EB9" w:rsidRDefault="00DB1BEA" w:rsidP="00DB1BEA">
      <w:pPr>
        <w:numPr>
          <w:ilvl w:val="0"/>
          <w:numId w:val="55"/>
        </w:numPr>
        <w:contextualSpacing/>
        <w:rPr>
          <w:noProof/>
        </w:rPr>
      </w:pPr>
      <w:r w:rsidRPr="00542EB9">
        <w:rPr>
          <w:noProof/>
        </w:rPr>
        <w:t>Distortion of competition and lower revenues of Member States and the EU</w:t>
      </w:r>
    </w:p>
    <w:p w14:paraId="13B44218" w14:textId="77777777" w:rsidR="00DB1BEA" w:rsidRPr="00542EB9" w:rsidRDefault="00DB1BEA" w:rsidP="00DB1BEA">
      <w:pPr>
        <w:rPr>
          <w:noProof/>
        </w:rPr>
      </w:pPr>
      <w:r w:rsidRPr="00542EB9">
        <w:rPr>
          <w:noProof/>
        </w:rPr>
        <w:t>Businesses and citizens not paying their fair share results in lower revenues of Member States and the EU. It also leads to obstacles in the single market and distortion of competition. In the context of the discussions and negotiations about the Commission’s proposal to revise the multiannual financial framework, the urgency for securing additional funding became clear, making it even more important to narrow tax gaps, fight fraud and ensure optimal revenue collection. Efficient cooperation and exchange of tax related information through secure digital systems are important elements to prevent and fight tax fraud and evasion, thereby protecting the financial interest of the Member States and the EU while ensuring an equal level playing field.</w:t>
      </w:r>
    </w:p>
    <w:p w14:paraId="05584E37" w14:textId="71CE1AF7" w:rsidR="00DB1BEA" w:rsidRPr="00542EB9" w:rsidRDefault="00DB1BEA" w:rsidP="00DB1BEA">
      <w:pPr>
        <w:rPr>
          <w:noProof/>
        </w:rPr>
      </w:pPr>
      <w:r w:rsidRPr="00542EB9">
        <w:rPr>
          <w:noProof/>
        </w:rPr>
        <w:t xml:space="preserve">The number of tax European electronic systems (EES) to be designed, developed, and operated is continuously increasing. Currently, there are around 30 operational EU-level digital tax systems including new commitments to reinforce fair taxation and to better fight fraud in the </w:t>
      </w:r>
      <w:r w:rsidR="005459CC" w:rsidRPr="00542EB9">
        <w:rPr>
          <w:noProof/>
        </w:rPr>
        <w:t>single market</w:t>
      </w:r>
      <w:r w:rsidRPr="00542EB9">
        <w:rPr>
          <w:noProof/>
        </w:rPr>
        <w:t>.  Work to deliver software architecture templates for major systems in the field of direct and indirect taxation is ongoing.</w:t>
      </w:r>
    </w:p>
    <w:p w14:paraId="27BD5000" w14:textId="77777777" w:rsidR="00DB1BEA" w:rsidRPr="00542EB9" w:rsidRDefault="00DB1BEA" w:rsidP="00DB1BEA">
      <w:pPr>
        <w:numPr>
          <w:ilvl w:val="0"/>
          <w:numId w:val="55"/>
        </w:numPr>
        <w:contextualSpacing/>
        <w:rPr>
          <w:noProof/>
        </w:rPr>
      </w:pPr>
      <w:r w:rsidRPr="00542EB9">
        <w:rPr>
          <w:noProof/>
        </w:rPr>
        <w:t>Obstacles in the functioning of the single market</w:t>
      </w:r>
    </w:p>
    <w:p w14:paraId="24B2D66F" w14:textId="77777777" w:rsidR="00DB1BEA" w:rsidRPr="00581B34" w:rsidRDefault="00DB1BEA" w:rsidP="00DB1BEA">
      <w:pPr>
        <w:rPr>
          <w:noProof/>
        </w:rPr>
      </w:pPr>
      <w:r w:rsidRPr="00542EB9">
        <w:rPr>
          <w:noProof/>
        </w:rPr>
        <w:t xml:space="preserve">In the taxation domain, obstacles in the single market are often driven by differences in interpretation of EU taxation law and fragmented national tax systems. Despite years of work and progress made, differences in interpretation and fragmentations continue to arise. Ensuring operational and administrative cooperation and collaboration between tax authorities are important elements to ensure a common interpretation of EU tax law and find solutions for fragmented </w:t>
      </w:r>
      <w:r w:rsidRPr="00581B34">
        <w:rPr>
          <w:noProof/>
        </w:rPr>
        <w:t>national tax systems in cross border situations.</w:t>
      </w:r>
    </w:p>
    <w:p w14:paraId="7BD93045" w14:textId="77777777" w:rsidR="00DB1BEA" w:rsidRPr="00581B34" w:rsidRDefault="41FE1EFE" w:rsidP="00DB1BEA">
      <w:pPr>
        <w:rPr>
          <w:noProof/>
        </w:rPr>
      </w:pPr>
      <w:r w:rsidRPr="00581B34">
        <w:rPr>
          <w:noProof/>
        </w:rPr>
        <w:t>The challenges of legislative fragmentation and different interpretation are especially visible and urgent to address in implementation of legislation in VAT</w:t>
      </w:r>
      <w:r w:rsidR="00DB1BEA" w:rsidRPr="00581B34">
        <w:rPr>
          <w:noProof/>
          <w:sz w:val="20"/>
          <w:szCs w:val="20"/>
          <w:vertAlign w:val="superscript"/>
        </w:rPr>
        <w:footnoteReference w:id="108"/>
      </w:r>
      <w:r w:rsidRPr="00581B34">
        <w:rPr>
          <w:noProof/>
        </w:rPr>
        <w:t>, crypto currency assets</w:t>
      </w:r>
      <w:r w:rsidR="00DB1BEA" w:rsidRPr="00581B34">
        <w:rPr>
          <w:noProof/>
          <w:vertAlign w:val="superscript"/>
        </w:rPr>
        <w:footnoteReference w:id="109"/>
      </w:r>
      <w:r w:rsidRPr="00581B34">
        <w:rPr>
          <w:noProof/>
        </w:rPr>
        <w:t>, withholding tax on dividend</w:t>
      </w:r>
      <w:r w:rsidR="00DB1BEA" w:rsidRPr="00581B34">
        <w:rPr>
          <w:noProof/>
          <w:sz w:val="20"/>
          <w:szCs w:val="20"/>
          <w:vertAlign w:val="superscript"/>
        </w:rPr>
        <w:footnoteReference w:id="110"/>
      </w:r>
      <w:r w:rsidRPr="00581B34">
        <w:rPr>
          <w:noProof/>
        </w:rPr>
        <w:t>, energy and environmental taxation</w:t>
      </w:r>
      <w:r w:rsidR="00DB1BEA" w:rsidRPr="00581B34">
        <w:rPr>
          <w:noProof/>
          <w:sz w:val="20"/>
          <w:szCs w:val="20"/>
          <w:vertAlign w:val="superscript"/>
        </w:rPr>
        <w:footnoteReference w:id="111"/>
      </w:r>
      <w:r w:rsidRPr="00581B34">
        <w:rPr>
          <w:noProof/>
        </w:rPr>
        <w:t>.</w:t>
      </w:r>
    </w:p>
    <w:p w14:paraId="561DC000" w14:textId="77777777" w:rsidR="00DB1BEA" w:rsidRPr="00542EB9" w:rsidRDefault="00DB1BEA" w:rsidP="00DB1BEA">
      <w:pPr>
        <w:numPr>
          <w:ilvl w:val="0"/>
          <w:numId w:val="55"/>
        </w:numPr>
        <w:contextualSpacing/>
        <w:rPr>
          <w:noProof/>
        </w:rPr>
      </w:pPr>
      <w:r w:rsidRPr="00581B34">
        <w:rPr>
          <w:noProof/>
        </w:rPr>
        <w:t>Insufficient capacity and insufficient</w:t>
      </w:r>
      <w:r w:rsidRPr="00542EB9">
        <w:rPr>
          <w:noProof/>
        </w:rPr>
        <w:t xml:space="preserve"> cooperation of tax administrations and the EU</w:t>
      </w:r>
    </w:p>
    <w:p w14:paraId="4E5BA06F" w14:textId="77777777" w:rsidR="00DB1BEA" w:rsidRPr="00542EB9" w:rsidRDefault="00DB1BEA" w:rsidP="00DB1BEA">
      <w:pPr>
        <w:rPr>
          <w:noProof/>
        </w:rPr>
      </w:pPr>
      <w:r w:rsidRPr="00542EB9">
        <w:rPr>
          <w:noProof/>
        </w:rPr>
        <w:t xml:space="preserve">The EU and the national tax administrations suffer from insufficient capacity and insufficient cooperation, both within the EU as well as with third countries, to carry out their missions effectively and efficiently. </w:t>
      </w:r>
    </w:p>
    <w:p w14:paraId="2C269366" w14:textId="77777777" w:rsidR="00DB1BEA" w:rsidRPr="00542EB9" w:rsidRDefault="00DB1BEA" w:rsidP="00DB1BEA">
      <w:pPr>
        <w:rPr>
          <w:noProof/>
        </w:rPr>
      </w:pPr>
      <w:r w:rsidRPr="00542EB9">
        <w:rPr>
          <w:noProof/>
        </w:rPr>
        <w:t>The effect of an inadequate functioning of tax systems in the EU, which in turn jeopardises the functioning of the single market and the 4 freedoms, undermines social fairness and affects EU competitiveness because of its indirect effects: negative effect on tax bases (tax fraud, erosion, avoidance, etc.) and subsequently EU and national budgets. Existing, administrative burden falling on citizens and businesses has a negative impact on competitive positioning of EU, leading to less EU companies operating across external borders and foreign companies are discouraged from entering and operating on the EU market. In addition, country operators may be unduly advantaged by the possibilities to avoid for example VAT, created by insufficient cooperation between EU tax administrations.</w:t>
      </w:r>
    </w:p>
    <w:p w14:paraId="5EF1780F" w14:textId="77777777" w:rsidR="00DB1BEA" w:rsidRPr="00542EB9" w:rsidRDefault="41FE1EFE" w:rsidP="00DB1BEA">
      <w:pPr>
        <w:rPr>
          <w:noProof/>
        </w:rPr>
      </w:pPr>
      <w:r w:rsidRPr="00542EB9">
        <w:rPr>
          <w:noProof/>
        </w:rPr>
        <w:t>In a globally interconnected and digital transition context, the need for cooperation has only grown stronger. This has also been demonstrated by the several legal instruments</w:t>
      </w:r>
      <w:r w:rsidR="00DB1BEA" w:rsidRPr="00542EB9">
        <w:rPr>
          <w:noProof/>
          <w:vertAlign w:val="superscript"/>
        </w:rPr>
        <w:footnoteReference w:id="112"/>
      </w:r>
      <w:r w:rsidRPr="00542EB9">
        <w:rPr>
          <w:noProof/>
        </w:rPr>
        <w:t xml:space="preserve"> for cooperation in different taxation areas in the EU. Contact on a (semi-) permanent basis allows Member States to see the full pictures of cases which helps to prevent disputes, double taxation and provides certainty at an early stage. Some examples of the legal instruments for advanced administrative cooperations available to Member States are multilateral controls and presence in administrative offices and participating in administrative enquiries. </w:t>
      </w:r>
    </w:p>
    <w:p w14:paraId="6233ECC5" w14:textId="62CF31FF" w:rsidR="00972E66" w:rsidRPr="00542EB9" w:rsidRDefault="00972E66" w:rsidP="00DB1BEA">
      <w:pPr>
        <w:rPr>
          <w:noProof/>
        </w:rPr>
      </w:pPr>
      <w:r w:rsidRPr="00542EB9">
        <w:rPr>
          <w:noProof/>
        </w:rPr>
        <w:t>The EU funding is needed to continue addressing above mentioned challenges</w:t>
      </w:r>
      <w:r w:rsidR="00D61D31" w:rsidRPr="00542EB9">
        <w:rPr>
          <w:noProof/>
        </w:rPr>
        <w:t xml:space="preserve"> and provide EU level solutions</w:t>
      </w:r>
      <w:r w:rsidRPr="00542EB9">
        <w:rPr>
          <w:noProof/>
        </w:rPr>
        <w:t xml:space="preserve">. </w:t>
      </w:r>
    </w:p>
    <w:p w14:paraId="7097C6A4" w14:textId="02F3E921" w:rsidR="00DB1BEA" w:rsidRPr="00542EB9" w:rsidRDefault="00DC2122" w:rsidP="00625F2C">
      <w:pPr>
        <w:pStyle w:val="Heading2"/>
        <w:rPr>
          <w:noProof/>
        </w:rPr>
      </w:pPr>
      <w:r w:rsidRPr="00542EB9">
        <w:rPr>
          <w:noProof/>
        </w:rPr>
        <w:t xml:space="preserve"> </w:t>
      </w:r>
      <w:bookmarkStart w:id="123" w:name="_Toc198549094"/>
      <w:r w:rsidR="00DB1BEA" w:rsidRPr="00542EB9">
        <w:rPr>
          <w:noProof/>
        </w:rPr>
        <w:t>Union Anti-fraud</w:t>
      </w:r>
      <w:bookmarkEnd w:id="123"/>
      <w:r w:rsidR="00DB1BEA" w:rsidRPr="00542EB9">
        <w:rPr>
          <w:noProof/>
        </w:rPr>
        <w:t xml:space="preserve">  </w:t>
      </w:r>
    </w:p>
    <w:p w14:paraId="09AC70B3" w14:textId="77777777" w:rsidR="00DB1BEA" w:rsidRPr="00542EB9" w:rsidRDefault="00DB1BEA" w:rsidP="00DB1BEA">
      <w:pPr>
        <w:rPr>
          <w:noProof/>
        </w:rPr>
      </w:pPr>
      <w:r w:rsidRPr="00542EB9">
        <w:rPr>
          <w:noProof/>
        </w:rPr>
        <w:t>The current programme supports anti-fraud activities of Member States on both the expenditure and the revenue components of the Union budget. It combines the financing and implementation of three different, previously separated activities implemented by OLAF: 1) the “Hercule” funding part (financial support to Member States for anti-fraud measures), 2) the Anti-Fraud Information System (AFIS) and 3) the Irregularity Management System (IMS).</w:t>
      </w:r>
    </w:p>
    <w:p w14:paraId="376C44E4" w14:textId="77777777" w:rsidR="00DB1BEA" w:rsidRPr="00542EB9" w:rsidRDefault="00DB1BEA" w:rsidP="00DB1BEA">
      <w:pPr>
        <w:spacing w:after="160" w:line="257" w:lineRule="auto"/>
        <w:rPr>
          <w:rFonts w:eastAsia="Calibri"/>
          <w:noProof/>
        </w:rPr>
      </w:pPr>
      <w:r w:rsidRPr="00542EB9">
        <w:rPr>
          <w:noProof/>
        </w:rPr>
        <w:t>Due</w:t>
      </w:r>
      <w:r w:rsidRPr="00542EB9">
        <w:rPr>
          <w:rFonts w:ascii="Calibri" w:eastAsia="Calibri" w:hAnsi="Calibri" w:cs="Calibri"/>
          <w:noProof/>
          <w:sz w:val="22"/>
          <w:szCs w:val="22"/>
        </w:rPr>
        <w:t xml:space="preserve"> </w:t>
      </w:r>
      <w:r w:rsidRPr="00542EB9">
        <w:rPr>
          <w:rFonts w:eastAsia="Calibri"/>
          <w:noProof/>
        </w:rPr>
        <w:t xml:space="preserve">to their specific nature linked to </w:t>
      </w:r>
      <w:r w:rsidRPr="00542EB9">
        <w:rPr>
          <w:noProof/>
        </w:rPr>
        <w:t>the Commission’s operational activities in support of Member States, the work within AFIS and IMS would be considered indispensable</w:t>
      </w:r>
      <w:r w:rsidRPr="00542EB9">
        <w:rPr>
          <w:rFonts w:eastAsia="Calibri"/>
          <w:noProof/>
        </w:rPr>
        <w:t xml:space="preserve">. The AFIS component finances operational activities, necessary for independent investigation, while the IMS component finances the maintenance, development and user support of a system under the Commission. </w:t>
      </w:r>
    </w:p>
    <w:p w14:paraId="4F9BABB4" w14:textId="0AED6959" w:rsidR="00DB1BEA" w:rsidRPr="00542EB9" w:rsidRDefault="00DB1BEA" w:rsidP="00DB1BEA">
      <w:pPr>
        <w:rPr>
          <w:rFonts w:eastAsia="Times New Roman"/>
          <w:noProof/>
          <w:szCs w:val="20"/>
        </w:rPr>
      </w:pPr>
      <w:r w:rsidRPr="00542EB9">
        <w:rPr>
          <w:rFonts w:eastAsia="Times New Roman"/>
          <w:noProof/>
          <w:szCs w:val="20"/>
        </w:rPr>
        <w:t xml:space="preserve">In addition, the fraud landscape is rapidly evolving, affecting both the expenditure and the revenue components of the Union budget. The EU should continue and enhance its financial support to Member States in developing and strengthening effective anti-fraud capacities, ensuring a sound and safe-guarded </w:t>
      </w:r>
      <w:r w:rsidR="005459CC" w:rsidRPr="00542EB9">
        <w:rPr>
          <w:rFonts w:eastAsia="Times New Roman"/>
          <w:noProof/>
          <w:szCs w:val="20"/>
        </w:rPr>
        <w:t>single market</w:t>
      </w:r>
      <w:r w:rsidRPr="00542EB9">
        <w:rPr>
          <w:rFonts w:eastAsia="Times New Roman"/>
          <w:noProof/>
          <w:szCs w:val="20"/>
        </w:rPr>
        <w:t>.</w:t>
      </w:r>
    </w:p>
    <w:p w14:paraId="071E566A" w14:textId="00AFA66D" w:rsidR="00DB1BEA" w:rsidRPr="00542EB9" w:rsidRDefault="00DB1BEA" w:rsidP="00625F2C">
      <w:pPr>
        <w:pStyle w:val="Heading1"/>
        <w:rPr>
          <w:rFonts w:eastAsia="Calibri"/>
          <w:noProof/>
          <w:color w:val="000000" w:themeColor="text1"/>
        </w:rPr>
      </w:pPr>
      <w:bookmarkStart w:id="124" w:name="_Toc198549096"/>
      <w:r w:rsidRPr="00542EB9">
        <w:rPr>
          <w:bCs/>
          <w:noProof/>
        </w:rPr>
        <w:t>Rulemaking</w:t>
      </w:r>
      <w:r w:rsidRPr="00542EB9">
        <w:rPr>
          <w:noProof/>
        </w:rPr>
        <w:t xml:space="preserve">, standard-setting and enforcement at EU level may </w:t>
      </w:r>
      <w:r w:rsidR="00113D72" w:rsidRPr="00542EB9">
        <w:rPr>
          <w:bCs/>
          <w:noProof/>
        </w:rPr>
        <w:t>hamper their adaptability</w:t>
      </w:r>
      <w:bookmarkEnd w:id="124"/>
    </w:p>
    <w:p w14:paraId="5AB13409" w14:textId="77777777" w:rsidR="00DB1BEA" w:rsidRPr="00542EB9" w:rsidRDefault="00DB1BEA" w:rsidP="00625F2C">
      <w:pPr>
        <w:pStyle w:val="Heading2"/>
        <w:rPr>
          <w:noProof/>
        </w:rPr>
      </w:pPr>
      <w:bookmarkStart w:id="125" w:name="_Toc198549097"/>
      <w:r w:rsidRPr="00542EB9">
        <w:rPr>
          <w:noProof/>
        </w:rPr>
        <w:t>Single market</w:t>
      </w:r>
      <w:bookmarkEnd w:id="125"/>
    </w:p>
    <w:p w14:paraId="5B262917" w14:textId="77777777" w:rsidR="00DB1BEA" w:rsidRPr="00542EB9" w:rsidRDefault="00DB1BEA" w:rsidP="00DB1BEA">
      <w:pPr>
        <w:spacing w:after="120"/>
        <w:rPr>
          <w:noProof/>
        </w:rPr>
      </w:pPr>
      <w:r w:rsidRPr="00542EB9">
        <w:rPr>
          <w:noProof/>
        </w:rPr>
        <w:t xml:space="preserve">The </w:t>
      </w:r>
      <w:r w:rsidRPr="00542EB9">
        <w:rPr>
          <w:b/>
          <w:bCs/>
          <w:noProof/>
        </w:rPr>
        <w:t>effective functioning of the single market can be ensured through standardisation processes</w:t>
      </w:r>
      <w:r w:rsidRPr="00542EB9">
        <w:rPr>
          <w:noProof/>
        </w:rPr>
        <w:t xml:space="preserve"> for which support is to be provided. This concerns notably standard-setting efforts by European and international standardisation organisations and bodies involved in financial and non-financial reporting and auditing, or statistical standards but also the contribution to the development of international standards. </w:t>
      </w:r>
      <w:r w:rsidRPr="00542EB9">
        <w:rPr>
          <w:rFonts w:eastAsia="Calibri"/>
          <w:noProof/>
        </w:rPr>
        <w:t xml:space="preserve">Ensuring that the EU continues to be a global standard-setter in terms of consumer protection and product safety is essential. </w:t>
      </w:r>
      <w:r w:rsidRPr="00542EB9">
        <w:rPr>
          <w:noProof/>
        </w:rPr>
        <w:t>The development of new standards should lead to a more efficient and well-functioning single market supported by high-quality standards that are coherent with EU priorities, interests, and legislation.</w:t>
      </w:r>
    </w:p>
    <w:p w14:paraId="62033FCE" w14:textId="10B5AD41" w:rsidR="00DB1BEA" w:rsidRPr="00542EB9" w:rsidRDefault="41FE1EFE" w:rsidP="00DB1BEA">
      <w:pPr>
        <w:spacing w:after="120"/>
        <w:rPr>
          <w:rFonts w:eastAsia="Calibri"/>
          <w:noProof/>
        </w:rPr>
      </w:pPr>
      <w:r w:rsidRPr="00542EB9">
        <w:rPr>
          <w:noProof/>
        </w:rPr>
        <w:t xml:space="preserve">Authorities and bodies benefit from the </w:t>
      </w:r>
      <w:r w:rsidRPr="00542EB9">
        <w:rPr>
          <w:b/>
          <w:bCs/>
          <w:noProof/>
        </w:rPr>
        <w:t xml:space="preserve">financing of the development and maintenance of facilities and Digital tools </w:t>
      </w:r>
      <w:r w:rsidRPr="00542EB9">
        <w:rPr>
          <w:noProof/>
        </w:rPr>
        <w:t>serving supporting rulemaking and enforcement. It facilitates case management, investigations, and document storage and analysis, as facilitate interaction among Member States. It facilitates the enforcement of EU law by providing standardised workflows and information exchange forms for authorities in different scenarios where cross border cooperation is required, thus ensuring the rules are applied in a same way by all participants. In terms of enforcement of competition rules, forensic IT capacity is increasingly crucial in gathering potential evidence during inspections. Proof of anticompetitive conduct is by now predominantly found in electronic format and kept in places and maintained in a form which may facilitate that the proof is concealed. AI tools will also be crucial in the process of ensuring efficient discovery and the treatment of large bodies of evidence. The development of digital business solutions dedicated to modernising case management and the secure exchange of confidential information will continue to be necessary to effectively conduct competition cases. Increasing the investigative capacity of the Commission</w:t>
      </w:r>
      <w:r w:rsidR="00DB1BEA" w:rsidRPr="00542EB9">
        <w:rPr>
          <w:noProof/>
        </w:rPr>
        <w:footnoteReference w:id="113"/>
      </w:r>
      <w:r w:rsidRPr="00542EB9">
        <w:rPr>
          <w:noProof/>
        </w:rPr>
        <w:t xml:space="preserve"> in competition enforcement is thus necessary considering the increased complexity of competition cases.  The financing of </w:t>
      </w:r>
      <w:r w:rsidRPr="00542EB9">
        <w:rPr>
          <w:b/>
          <w:bCs/>
          <w:noProof/>
        </w:rPr>
        <w:t>coordinated actions by national authorities</w:t>
      </w:r>
      <w:r w:rsidRPr="00542EB9">
        <w:rPr>
          <w:noProof/>
        </w:rPr>
        <w:t xml:space="preserve"> such as joint enforcement by market surveillance authorities in case of unsafe/non-compliant products or supports joint actions of national consumer protection authorities in investigation and enforcement actions result in a decrease of unsafe products, disease outbreaks and respectively tackles widespread breaches of EU consumer laws. In the field of consumer protection, t</w:t>
      </w:r>
      <w:r w:rsidRPr="00542EB9">
        <w:rPr>
          <w:rFonts w:eastAsia="Calibri"/>
          <w:noProof/>
        </w:rPr>
        <w:t>he CPC Network</w:t>
      </w:r>
      <w:r w:rsidRPr="00542EB9">
        <w:rPr>
          <w:rFonts w:eastAsia="Calibri"/>
          <w:b/>
          <w:bCs/>
          <w:noProof/>
        </w:rPr>
        <w:t xml:space="preserve"> </w:t>
      </w:r>
      <w:r w:rsidRPr="00542EB9">
        <w:rPr>
          <w:rFonts w:eastAsia="Calibri"/>
          <w:noProof/>
        </w:rPr>
        <w:t>facilitates cooperation and information sharing between national consumer protection authorities, enabling them to jointly address violations of consumer rights, including unfair practices, unsafe products, and fraud that affect consumers in multiple Member States</w:t>
      </w:r>
      <w:r w:rsidR="00C63049" w:rsidRPr="00542EB9">
        <w:rPr>
          <w:rStyle w:val="FootnoteReference"/>
          <w:rFonts w:eastAsia="Calibri"/>
          <w:noProof/>
        </w:rPr>
        <w:footnoteReference w:id="114"/>
      </w:r>
      <w:r w:rsidRPr="00542EB9">
        <w:rPr>
          <w:rFonts w:eastAsia="Calibri"/>
          <w:noProof/>
        </w:rPr>
        <w:t>. It plays a critical part in enhancing consumer confidence and promoting a safer, fairer market for all.</w:t>
      </w:r>
    </w:p>
    <w:p w14:paraId="31B3A39E" w14:textId="6BE8C37C" w:rsidR="00DB1BEA" w:rsidRPr="00542EB9" w:rsidRDefault="00DB1BEA" w:rsidP="00DB1BEA">
      <w:pPr>
        <w:spacing w:after="120"/>
        <w:rPr>
          <w:noProof/>
        </w:rPr>
      </w:pPr>
      <w:r w:rsidRPr="00542EB9">
        <w:rPr>
          <w:noProof/>
        </w:rPr>
        <w:t xml:space="preserve">Data collection, studies, assessments, and evaluations enable data gathering, market analysis, and information dissemination activities, such as annual surveys, ad hoc projects and market reviews are necessary to support legislative revisions to the functioning of the </w:t>
      </w:r>
      <w:r w:rsidR="005459CC" w:rsidRPr="00542EB9">
        <w:rPr>
          <w:noProof/>
        </w:rPr>
        <w:t>single market</w:t>
      </w:r>
      <w:r w:rsidRPr="00542EB9">
        <w:rPr>
          <w:noProof/>
        </w:rPr>
        <w:t>.</w:t>
      </w:r>
    </w:p>
    <w:p w14:paraId="5398BFCF" w14:textId="77777777" w:rsidR="00DB1BEA" w:rsidRPr="00542EB9" w:rsidRDefault="00DB1BEA" w:rsidP="00DB1BEA">
      <w:pPr>
        <w:spacing w:after="120"/>
        <w:rPr>
          <w:b/>
          <w:bCs/>
          <w:noProof/>
        </w:rPr>
      </w:pPr>
      <w:r w:rsidRPr="00542EB9">
        <w:rPr>
          <w:noProof/>
        </w:rPr>
        <w:t xml:space="preserve">This is relevant for diverse policy areas regarding the single market, including consumer policy, consumer enforcement and redress and product safety. </w:t>
      </w:r>
      <w:r w:rsidRPr="00542EB9">
        <w:rPr>
          <w:b/>
          <w:bCs/>
          <w:noProof/>
        </w:rPr>
        <w:t xml:space="preserve"> </w:t>
      </w:r>
    </w:p>
    <w:p w14:paraId="2603591E" w14:textId="77777777" w:rsidR="00DB1BEA" w:rsidRPr="00542EB9" w:rsidRDefault="00DB1BEA" w:rsidP="00DB1BEA">
      <w:pPr>
        <w:spacing w:after="120"/>
        <w:rPr>
          <w:noProof/>
        </w:rPr>
      </w:pPr>
      <w:r w:rsidRPr="00542EB9">
        <w:rPr>
          <w:b/>
          <w:noProof/>
        </w:rPr>
        <w:t>Flexibility</w:t>
      </w:r>
      <w:r w:rsidRPr="00542EB9">
        <w:rPr>
          <w:noProof/>
        </w:rPr>
        <w:t xml:space="preserve"> is required in areas where standardisation is used to implement legislation, for instance, the absence of common budget lines for standardisation and food safety lead to a three-year delay in developing necessary standards following the entry into force of the Regulation on the placing on the market and use of feed.</w:t>
      </w:r>
    </w:p>
    <w:p w14:paraId="697EA378" w14:textId="77777777" w:rsidR="00DB1BEA" w:rsidRPr="00542EB9" w:rsidRDefault="00DB1BEA" w:rsidP="00DB1BEA">
      <w:pPr>
        <w:spacing w:after="120"/>
        <w:rPr>
          <w:noProof/>
        </w:rPr>
      </w:pPr>
      <w:r w:rsidRPr="00542EB9">
        <w:rPr>
          <w:noProof/>
        </w:rPr>
        <w:t>Through financing of the EU-coordinated actions, including the development and modernisation of standards and methodologies, the European Statistical System (ESS) is strengthened, gaining further efficiencies and high-quality evidence to inform policymaking is available.</w:t>
      </w:r>
    </w:p>
    <w:p w14:paraId="3A522F0D" w14:textId="77777777" w:rsidR="00DB1BEA" w:rsidRPr="00542EB9" w:rsidRDefault="00DB1BEA" w:rsidP="00DB1BEA">
      <w:pPr>
        <w:spacing w:after="120"/>
        <w:rPr>
          <w:noProof/>
        </w:rPr>
      </w:pPr>
      <w:r w:rsidRPr="00542EB9">
        <w:rPr>
          <w:noProof/>
        </w:rPr>
        <w:t>Provision of services and expert consultations to assist enforcement authorities in their duties on regular or occasional basis further increase the support of standards or conformity assessments and help to monitor the enforcement of EU law by Member States. This results in improved enforcement capabilities of authorities to ensure they fulfil their duty associated with their roles, deriving from such advice and expertise or membership of international bodies.</w:t>
      </w:r>
    </w:p>
    <w:p w14:paraId="7DE3D43E" w14:textId="77777777" w:rsidR="00DB1BEA" w:rsidRPr="00542EB9" w:rsidRDefault="00DB1BEA" w:rsidP="00625F2C">
      <w:pPr>
        <w:pStyle w:val="Heading2"/>
        <w:rPr>
          <w:noProof/>
        </w:rPr>
      </w:pPr>
      <w:bookmarkStart w:id="126" w:name="_Toc198549098"/>
      <w:r w:rsidRPr="00542EB9">
        <w:rPr>
          <w:noProof/>
        </w:rPr>
        <w:t>Customs Union</w:t>
      </w:r>
      <w:bookmarkEnd w:id="126"/>
    </w:p>
    <w:p w14:paraId="28525C84" w14:textId="77777777" w:rsidR="00DB1BEA" w:rsidRPr="00542EB9" w:rsidRDefault="41FE1EFE" w:rsidP="00DB1BEA">
      <w:pPr>
        <w:spacing w:after="0"/>
        <w:rPr>
          <w:noProof/>
        </w:rPr>
      </w:pPr>
      <w:r w:rsidRPr="00542EB9">
        <w:rPr>
          <w:noProof/>
        </w:rPr>
        <w:t>The effective implementation of customs legislation depends on Member States’ customs authorities and their ability to overcome challenges related to risk management and cooperation with market surveillance authorities, law-enforcement authorities and bodies, tax authorities and other partners. Furthermore, lack of effective implementation of customs legislations could result in the administrative burden for trade, difficulties in the performing of controls on e-commerce, limited data quality and access, as well as divergences of implementation between Member States</w:t>
      </w:r>
      <w:r w:rsidR="00DB1BEA" w:rsidRPr="00542EB9">
        <w:rPr>
          <w:noProof/>
          <w:sz w:val="20"/>
          <w:szCs w:val="20"/>
          <w:vertAlign w:val="superscript"/>
        </w:rPr>
        <w:footnoteReference w:id="115"/>
      </w:r>
      <w:r w:rsidRPr="00542EB9">
        <w:rPr>
          <w:noProof/>
        </w:rPr>
        <w:t>.</w:t>
      </w:r>
    </w:p>
    <w:p w14:paraId="7AB3EF85" w14:textId="77777777" w:rsidR="00DB1BEA" w:rsidRPr="00542EB9" w:rsidRDefault="00DB1BEA" w:rsidP="00DB1BEA">
      <w:pPr>
        <w:spacing w:after="0"/>
        <w:rPr>
          <w:noProof/>
        </w:rPr>
      </w:pPr>
    </w:p>
    <w:p w14:paraId="63F8AAAA" w14:textId="77777777" w:rsidR="00DB1BEA" w:rsidRPr="00542EB9" w:rsidRDefault="41FE1EFE" w:rsidP="00DB1BEA">
      <w:pPr>
        <w:spacing w:after="0"/>
        <w:rPr>
          <w:noProof/>
        </w:rPr>
      </w:pPr>
      <w:r w:rsidRPr="00542EB9">
        <w:rPr>
          <w:noProof/>
        </w:rPr>
        <w:t>The European Court of Auditors identified structural challenges on the risk management of financial risks</w:t>
      </w:r>
      <w:r w:rsidR="00DB1BEA" w:rsidRPr="00542EB9">
        <w:rPr>
          <w:noProof/>
          <w:vertAlign w:val="superscript"/>
        </w:rPr>
        <w:footnoteReference w:id="116"/>
      </w:r>
      <w:r w:rsidRPr="00542EB9">
        <w:rPr>
          <w:noProof/>
        </w:rPr>
        <w:t>:  the lack of uniform application of customs controls and of harmonised risk management and analysis hampers EU financial interests. It limits the correct establishment and collection of the customs duties. </w:t>
      </w:r>
    </w:p>
    <w:p w14:paraId="55B82495" w14:textId="77777777" w:rsidR="00DB1BEA" w:rsidRPr="00542EB9" w:rsidRDefault="00DB1BEA" w:rsidP="00DB1BEA">
      <w:pPr>
        <w:spacing w:after="0"/>
        <w:rPr>
          <w:noProof/>
        </w:rPr>
      </w:pPr>
    </w:p>
    <w:p w14:paraId="14604664" w14:textId="5BA06E6C" w:rsidR="00DB1BEA" w:rsidRPr="00581B34" w:rsidRDefault="41FE1EFE" w:rsidP="00DB1BEA">
      <w:pPr>
        <w:spacing w:after="0"/>
        <w:rPr>
          <w:noProof/>
        </w:rPr>
      </w:pPr>
      <w:r w:rsidRPr="00581B34">
        <w:rPr>
          <w:noProof/>
        </w:rPr>
        <w:t>This extends to non-financial risks where the current risk management framework does not adequately address the increasing number of non-financial issues of concern for EU citizens in a globalised world (human rights, labour rights, sustainability, environmental protection, health, safety, peace, and security, etc.). The current performance on prohibitions and restrictions is weak. For example, Member States reported very low figures of refusals in the field of product compliance</w:t>
      </w:r>
      <w:r w:rsidR="00DB1BEA" w:rsidRPr="00581B34">
        <w:rPr>
          <w:noProof/>
          <w:vertAlign w:val="superscript"/>
        </w:rPr>
        <w:footnoteReference w:id="117"/>
      </w:r>
      <w:r w:rsidRPr="00581B34">
        <w:rPr>
          <w:noProof/>
        </w:rPr>
        <w:t xml:space="preserve">. As a result, non-compliant products enter the EU </w:t>
      </w:r>
      <w:r w:rsidR="005459CC" w:rsidRPr="00581B34">
        <w:rPr>
          <w:noProof/>
        </w:rPr>
        <w:t>single market</w:t>
      </w:r>
      <w:r w:rsidRPr="00581B34">
        <w:rPr>
          <w:noProof/>
        </w:rPr>
        <w:t>, some of which might entail safety and security risk with potentially severe consequences. Customs supervision helps detect criminal activities that exploit legitimate trade flows.</w:t>
      </w:r>
    </w:p>
    <w:p w14:paraId="4C793123" w14:textId="77777777" w:rsidR="00DB1BEA" w:rsidRPr="00581B34" w:rsidRDefault="00DB1BEA" w:rsidP="00DB1BEA">
      <w:pPr>
        <w:spacing w:after="0"/>
        <w:rPr>
          <w:noProof/>
        </w:rPr>
      </w:pPr>
    </w:p>
    <w:p w14:paraId="605ED824" w14:textId="77777777" w:rsidR="00DB1BEA" w:rsidRPr="00581B34" w:rsidRDefault="41FE1EFE" w:rsidP="00DB1BEA">
      <w:pPr>
        <w:rPr>
          <w:noProof/>
        </w:rPr>
      </w:pPr>
      <w:r w:rsidRPr="00581B34">
        <w:rPr>
          <w:noProof/>
        </w:rPr>
        <w:t>An additional difficulty is that customs must work with other authorities across a wide range of challenges, but the quality and effectiveness of this co-operation is often sub-optimal and varies across the EU.  Customs is in the lead for co-ordinating controls at the border, but at EU level, there is no common risk management, strategy building or coordinated action with other competent authorities. Even at national level, the performance of this co-operation is weak. For example, in the field of product compliance, Member States report</w:t>
      </w:r>
      <w:r w:rsidR="00DB1BEA" w:rsidRPr="00581B34">
        <w:rPr>
          <w:noProof/>
          <w:sz w:val="20"/>
          <w:szCs w:val="20"/>
          <w:vertAlign w:val="superscript"/>
        </w:rPr>
        <w:footnoteReference w:id="118"/>
      </w:r>
      <w:r w:rsidRPr="00581B34">
        <w:rPr>
          <w:noProof/>
        </w:rPr>
        <w:t> a high share of cases where customs stop goods but must release them again because the sectoral authority did not respond within the legal deadline</w:t>
      </w:r>
      <w:r w:rsidR="00DB1BEA" w:rsidRPr="00581B34">
        <w:rPr>
          <w:noProof/>
          <w:sz w:val="20"/>
          <w:szCs w:val="20"/>
          <w:vertAlign w:val="superscript"/>
        </w:rPr>
        <w:footnoteReference w:id="119"/>
      </w:r>
      <w:r w:rsidRPr="00581B34">
        <w:rPr>
          <w:noProof/>
        </w:rPr>
        <w:t>.  </w:t>
      </w:r>
    </w:p>
    <w:p w14:paraId="7F8694EF" w14:textId="7019A18F" w:rsidR="00DB1BEA" w:rsidRPr="00581B34" w:rsidRDefault="00DB1BEA" w:rsidP="00DB1BEA">
      <w:pPr>
        <w:spacing w:after="0"/>
        <w:rPr>
          <w:noProof/>
          <w:lang w:eastAsia="en-IE"/>
        </w:rPr>
      </w:pPr>
      <w:r w:rsidRPr="00581B34">
        <w:rPr>
          <w:noProof/>
        </w:rPr>
        <w:t>Law enforcement in these circumstances is increasingly challenging. One may also question the fundamental flaw in the concept: Member States who are less strict in their controls and sanctioning may attract trade flows in their direction, potentially increasing the national revenues. At the same time, stronger controls and more severe sanctions and law enforcement measures may penalise even legitimate trade (e.g. slow down, additional administrative burden).</w:t>
      </w:r>
    </w:p>
    <w:p w14:paraId="690C9314" w14:textId="77777777" w:rsidR="00DB1BEA" w:rsidRPr="00581B34" w:rsidRDefault="00DB1BEA" w:rsidP="00DB1BEA">
      <w:pPr>
        <w:spacing w:after="0"/>
        <w:rPr>
          <w:noProof/>
        </w:rPr>
      </w:pPr>
    </w:p>
    <w:p w14:paraId="227342A8" w14:textId="77777777" w:rsidR="00DB1BEA" w:rsidRPr="00581B34" w:rsidRDefault="00DB1BEA" w:rsidP="00625F2C">
      <w:pPr>
        <w:pStyle w:val="Heading2"/>
        <w:rPr>
          <w:noProof/>
        </w:rPr>
      </w:pPr>
      <w:bookmarkStart w:id="127" w:name="_Toc198549099"/>
      <w:r w:rsidRPr="00581B34">
        <w:rPr>
          <w:noProof/>
        </w:rPr>
        <w:t>Taxation</w:t>
      </w:r>
      <w:bookmarkEnd w:id="127"/>
    </w:p>
    <w:p w14:paraId="3AD0D916" w14:textId="77777777" w:rsidR="00DB1BEA" w:rsidRPr="00581B34" w:rsidRDefault="00DB1BEA" w:rsidP="00DB1BEA">
      <w:pPr>
        <w:rPr>
          <w:noProof/>
        </w:rPr>
      </w:pPr>
      <w:r w:rsidRPr="00581B34">
        <w:rPr>
          <w:noProof/>
        </w:rPr>
        <w:t xml:space="preserve">The fundamentals of tax systems and legislation in the Union had been conceptualised and introduced in and inherited from a pre-single market era. Their evolution faces resistance from the Member States who maintain their sovereignty and challenge any attempts for a more harmonised or streamlined approach. The approximation of tax law would support a more even level playing field in the Union and its enforcement could benefit from more coordinated cross-border control and audit opportunities.  </w:t>
      </w:r>
    </w:p>
    <w:p w14:paraId="6A388C74" w14:textId="2EEE1B9D" w:rsidR="00185541" w:rsidRPr="00581B34" w:rsidRDefault="00185541" w:rsidP="00DB1BEA">
      <w:pPr>
        <w:spacing w:before="245" w:after="0" w:line="228" w:lineRule="auto"/>
        <w:ind w:right="443"/>
        <w:rPr>
          <w:rFonts w:eastAsia="Calibri"/>
          <w:noProof/>
          <w:color w:val="000000" w:themeColor="text1"/>
        </w:rPr>
      </w:pPr>
      <w:r w:rsidRPr="00581B34">
        <w:rPr>
          <w:rFonts w:eastAsia="Calibri"/>
          <w:noProof/>
          <w:color w:val="000000" w:themeColor="text1"/>
        </w:rPr>
        <w:t xml:space="preserve">The table below offers an overview of the constitutive predecessor programmes. </w:t>
      </w:r>
    </w:p>
    <w:tbl>
      <w:tblPr>
        <w:tblW w:w="93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3"/>
        <w:gridCol w:w="1319"/>
        <w:gridCol w:w="5848"/>
      </w:tblGrid>
      <w:tr w:rsidR="00EF2AE3" w:rsidRPr="00581B34" w14:paraId="28BE43D0" w14:textId="77777777" w:rsidTr="0057769D">
        <w:trPr>
          <w:trHeight w:val="300"/>
        </w:trPr>
        <w:tc>
          <w:tcPr>
            <w:tcW w:w="2206" w:type="dxa"/>
            <w:tcBorders>
              <w:top w:val="single" w:sz="6" w:space="0" w:color="auto"/>
              <w:left w:val="single" w:sz="6" w:space="0" w:color="auto"/>
              <w:bottom w:val="single" w:sz="6" w:space="0" w:color="auto"/>
              <w:right w:val="single" w:sz="6" w:space="0" w:color="auto"/>
            </w:tcBorders>
            <w:shd w:val="clear" w:color="auto" w:fill="1F497D" w:themeFill="text2"/>
            <w:hideMark/>
          </w:tcPr>
          <w:p w14:paraId="47C9F617" w14:textId="5E9EDF28" w:rsidR="00EF2AE3" w:rsidRPr="00581B34" w:rsidRDefault="00EF2AE3" w:rsidP="00EF2AE3">
            <w:pPr>
              <w:spacing w:before="245" w:after="0" w:line="228" w:lineRule="auto"/>
              <w:ind w:right="443"/>
              <w:rPr>
                <w:rFonts w:eastAsia="Calibri"/>
                <w:noProof/>
                <w:color w:val="FFFFFF" w:themeColor="background1"/>
              </w:rPr>
            </w:pPr>
            <w:r w:rsidRPr="00581B34">
              <w:rPr>
                <w:rFonts w:eastAsia="Calibri"/>
                <w:b/>
                <w:bCs/>
                <w:noProof/>
                <w:color w:val="FFFFFF" w:themeColor="background1"/>
              </w:rPr>
              <w:t>Programme/ Budget line</w:t>
            </w:r>
            <w:r w:rsidRPr="00581B34">
              <w:rPr>
                <w:rFonts w:eastAsia="Calibri"/>
                <w:noProof/>
                <w:color w:val="FFFFFF" w:themeColor="background1"/>
              </w:rPr>
              <w:t> </w:t>
            </w:r>
          </w:p>
        </w:tc>
        <w:tc>
          <w:tcPr>
            <w:tcW w:w="984" w:type="dxa"/>
            <w:tcBorders>
              <w:top w:val="single" w:sz="6" w:space="0" w:color="auto"/>
              <w:left w:val="single" w:sz="6" w:space="0" w:color="auto"/>
              <w:bottom w:val="single" w:sz="6" w:space="0" w:color="auto"/>
              <w:right w:val="single" w:sz="6" w:space="0" w:color="auto"/>
            </w:tcBorders>
            <w:shd w:val="clear" w:color="auto" w:fill="1F497D" w:themeFill="text2"/>
            <w:hideMark/>
          </w:tcPr>
          <w:p w14:paraId="29F2A04E" w14:textId="77777777" w:rsidR="00EF2AE3" w:rsidRPr="00581B34" w:rsidRDefault="00EF2AE3" w:rsidP="00EF2AE3">
            <w:pPr>
              <w:spacing w:before="245" w:after="0" w:line="228" w:lineRule="auto"/>
              <w:ind w:right="443"/>
              <w:rPr>
                <w:rFonts w:eastAsia="Calibri"/>
                <w:noProof/>
                <w:color w:val="FFFFFF" w:themeColor="background1"/>
              </w:rPr>
            </w:pPr>
            <w:r w:rsidRPr="00581B34">
              <w:rPr>
                <w:rFonts w:eastAsia="Calibri"/>
                <w:b/>
                <w:bCs/>
                <w:noProof/>
                <w:color w:val="FFFFFF" w:themeColor="background1"/>
              </w:rPr>
              <w:t>Current MFF</w:t>
            </w:r>
            <w:r w:rsidRPr="00581B34">
              <w:rPr>
                <w:rFonts w:eastAsia="Calibri"/>
                <w:noProof/>
                <w:color w:val="FFFFFF" w:themeColor="background1"/>
              </w:rPr>
              <w:t> </w:t>
            </w:r>
          </w:p>
          <w:p w14:paraId="5BFCA2E8" w14:textId="77777777" w:rsidR="00EF2AE3" w:rsidRPr="00581B34" w:rsidRDefault="00EF2AE3" w:rsidP="00EF2AE3">
            <w:pPr>
              <w:spacing w:before="245" w:after="0" w:line="228" w:lineRule="auto"/>
              <w:ind w:right="443"/>
              <w:rPr>
                <w:rFonts w:eastAsia="Calibri"/>
                <w:noProof/>
                <w:color w:val="FFFFFF" w:themeColor="background1"/>
              </w:rPr>
            </w:pPr>
            <w:r w:rsidRPr="00581B34">
              <w:rPr>
                <w:rFonts w:eastAsia="Calibri"/>
                <w:b/>
                <w:bCs/>
                <w:noProof/>
                <w:color w:val="FFFFFF" w:themeColor="background1"/>
              </w:rPr>
              <w:t>(EUR in million)</w:t>
            </w:r>
            <w:r w:rsidRPr="00581B34">
              <w:rPr>
                <w:rFonts w:eastAsia="Calibri"/>
                <w:noProof/>
                <w:color w:val="FFFFFF" w:themeColor="background1"/>
              </w:rPr>
              <w:t> </w:t>
            </w:r>
          </w:p>
        </w:tc>
        <w:tc>
          <w:tcPr>
            <w:tcW w:w="6150" w:type="dxa"/>
            <w:tcBorders>
              <w:top w:val="single" w:sz="6" w:space="0" w:color="auto"/>
              <w:left w:val="single" w:sz="6" w:space="0" w:color="auto"/>
              <w:bottom w:val="single" w:sz="6" w:space="0" w:color="auto"/>
              <w:right w:val="single" w:sz="6" w:space="0" w:color="auto"/>
            </w:tcBorders>
            <w:shd w:val="clear" w:color="auto" w:fill="1F497D" w:themeFill="text2"/>
            <w:vAlign w:val="center"/>
            <w:hideMark/>
          </w:tcPr>
          <w:p w14:paraId="06027E91" w14:textId="77777777" w:rsidR="00EF2AE3" w:rsidRPr="00581B34" w:rsidRDefault="00EF2AE3" w:rsidP="00EF2AE3">
            <w:pPr>
              <w:spacing w:before="245" w:after="0" w:line="228" w:lineRule="auto"/>
              <w:ind w:right="443"/>
              <w:rPr>
                <w:rFonts w:eastAsia="Calibri"/>
                <w:noProof/>
                <w:color w:val="FFFFFF" w:themeColor="background1"/>
              </w:rPr>
            </w:pPr>
            <w:r w:rsidRPr="00581B34">
              <w:rPr>
                <w:rFonts w:eastAsia="Calibri"/>
                <w:b/>
                <w:bCs/>
                <w:noProof/>
                <w:color w:val="FFFFFF" w:themeColor="background1"/>
              </w:rPr>
              <w:t>Description</w:t>
            </w:r>
            <w:r w:rsidRPr="00581B34">
              <w:rPr>
                <w:rFonts w:eastAsia="Calibri"/>
                <w:noProof/>
                <w:color w:val="FFFFFF" w:themeColor="background1"/>
              </w:rPr>
              <w:t> </w:t>
            </w:r>
          </w:p>
        </w:tc>
      </w:tr>
      <w:tr w:rsidR="00EF2AE3" w:rsidRPr="00542EB9" w14:paraId="38C0606D" w14:textId="77777777">
        <w:trPr>
          <w:trHeight w:val="300"/>
        </w:trPr>
        <w:tc>
          <w:tcPr>
            <w:tcW w:w="2206" w:type="dxa"/>
            <w:tcBorders>
              <w:top w:val="single" w:sz="6" w:space="0" w:color="auto"/>
              <w:left w:val="single" w:sz="6" w:space="0" w:color="auto"/>
              <w:bottom w:val="single" w:sz="6" w:space="0" w:color="auto"/>
              <w:right w:val="single" w:sz="6" w:space="0" w:color="auto"/>
            </w:tcBorders>
            <w:vAlign w:val="center"/>
            <w:hideMark/>
          </w:tcPr>
          <w:p w14:paraId="263C52D0" w14:textId="77777777" w:rsidR="00EF2AE3" w:rsidRPr="00581B34" w:rsidRDefault="00EF2AE3" w:rsidP="00EF2AE3">
            <w:pPr>
              <w:spacing w:before="245" w:after="0" w:line="228" w:lineRule="auto"/>
              <w:ind w:right="443"/>
              <w:rPr>
                <w:rFonts w:eastAsia="Calibri"/>
                <w:b/>
                <w:bCs/>
                <w:noProof/>
                <w:color w:val="000000" w:themeColor="text1"/>
              </w:rPr>
            </w:pPr>
            <w:r w:rsidRPr="00581B34">
              <w:rPr>
                <w:rFonts w:eastAsia="Calibri"/>
                <w:b/>
                <w:bCs/>
                <w:noProof/>
                <w:color w:val="000000" w:themeColor="text1"/>
              </w:rPr>
              <w:t>Single market Programme</w:t>
            </w:r>
          </w:p>
        </w:tc>
        <w:tc>
          <w:tcPr>
            <w:tcW w:w="984" w:type="dxa"/>
            <w:tcBorders>
              <w:top w:val="single" w:sz="6" w:space="0" w:color="auto"/>
              <w:left w:val="single" w:sz="6" w:space="0" w:color="auto"/>
              <w:bottom w:val="single" w:sz="6" w:space="0" w:color="auto"/>
              <w:right w:val="single" w:sz="6" w:space="0" w:color="auto"/>
            </w:tcBorders>
            <w:vAlign w:val="center"/>
            <w:hideMark/>
          </w:tcPr>
          <w:p w14:paraId="7341BDA4" w14:textId="77777777" w:rsidR="00EF2AE3" w:rsidRPr="00581B34" w:rsidRDefault="00EF2AE3" w:rsidP="00EF2AE3">
            <w:pPr>
              <w:spacing w:before="245" w:after="0" w:line="228" w:lineRule="auto"/>
              <w:ind w:right="443"/>
              <w:rPr>
                <w:rFonts w:eastAsia="Calibri"/>
                <w:noProof/>
                <w:color w:val="000000" w:themeColor="text1"/>
              </w:rPr>
            </w:pPr>
            <w:r w:rsidRPr="00581B34">
              <w:rPr>
                <w:rFonts w:eastAsia="Calibri"/>
                <w:noProof/>
                <w:color w:val="000000" w:themeColor="text1"/>
              </w:rPr>
              <w:t>4350</w:t>
            </w:r>
            <w:r w:rsidRPr="00581B34">
              <w:rPr>
                <w:rFonts w:eastAsia="Calibri"/>
                <w:noProof/>
                <w:color w:val="000000" w:themeColor="text1"/>
                <w:sz w:val="20"/>
                <w:szCs w:val="20"/>
                <w:vertAlign w:val="superscript"/>
              </w:rPr>
              <w:footnoteReference w:id="120"/>
            </w:r>
          </w:p>
        </w:tc>
        <w:tc>
          <w:tcPr>
            <w:tcW w:w="6150" w:type="dxa"/>
            <w:tcBorders>
              <w:top w:val="single" w:sz="6" w:space="0" w:color="auto"/>
              <w:left w:val="single" w:sz="6" w:space="0" w:color="auto"/>
              <w:bottom w:val="single" w:sz="6" w:space="0" w:color="auto"/>
              <w:right w:val="single" w:sz="6" w:space="0" w:color="auto"/>
            </w:tcBorders>
            <w:vAlign w:val="center"/>
            <w:hideMark/>
          </w:tcPr>
          <w:p w14:paraId="3C1532BE" w14:textId="77777777" w:rsidR="00EF2AE3" w:rsidRPr="00581B34" w:rsidRDefault="00EF2AE3" w:rsidP="00EF2AE3">
            <w:pPr>
              <w:spacing w:before="245" w:after="0" w:line="228" w:lineRule="auto"/>
              <w:ind w:right="443"/>
              <w:rPr>
                <w:rFonts w:eastAsia="Calibri"/>
                <w:noProof/>
                <w:color w:val="000000" w:themeColor="text1"/>
              </w:rPr>
            </w:pPr>
            <w:r w:rsidRPr="00581B34">
              <w:rPr>
                <w:rFonts w:eastAsia="Calibri"/>
                <w:noProof/>
                <w:color w:val="000000" w:themeColor="text1"/>
              </w:rPr>
              <w:t xml:space="preserve">The Single Market Programme (SMP) supports the well-functioning of the single market and helps protect and empower citizens, consumers and businesses, including small and medium-sized enterprises (24% of the budget relates to SMEs). It assists the digitalisation of services and businesses and facilitates single market access and international cooperation, especially in the areas of company law, contract and extra-contractual law, anti-money laundering, free movement of capital, financial services and competition, consumer protection and product safety.  It also contributes to a high level of health and safety for humans, animals and plants, and supports the improvement of animal welfare, the fight against antimicrobial resistance and the development of sustainable food production and consumption (the major share with 40% of the SMP budget). </w:t>
            </w:r>
          </w:p>
          <w:p w14:paraId="144867BC" w14:textId="77777777" w:rsidR="00EF2AE3" w:rsidRPr="00542EB9" w:rsidRDefault="00EF2AE3" w:rsidP="00EF2AE3">
            <w:pPr>
              <w:spacing w:before="245" w:after="0" w:line="228" w:lineRule="auto"/>
              <w:ind w:right="443"/>
              <w:rPr>
                <w:rFonts w:eastAsia="Calibri"/>
                <w:noProof/>
                <w:color w:val="000000" w:themeColor="text1"/>
              </w:rPr>
            </w:pPr>
            <w:r w:rsidRPr="00581B34">
              <w:rPr>
                <w:rFonts w:eastAsia="Calibri"/>
                <w:noProof/>
                <w:color w:val="000000" w:themeColor="text1"/>
              </w:rPr>
              <w:t>Contributing to all pillars, the programme supports the development, production and dissemination of European statistics on all EU policies (13% share).</w:t>
            </w:r>
          </w:p>
        </w:tc>
      </w:tr>
      <w:tr w:rsidR="00EF2AE3" w:rsidRPr="00542EB9" w14:paraId="1ABA25FD" w14:textId="77777777">
        <w:trPr>
          <w:trHeight w:val="300"/>
        </w:trPr>
        <w:tc>
          <w:tcPr>
            <w:tcW w:w="2206" w:type="dxa"/>
            <w:tcBorders>
              <w:top w:val="single" w:sz="6" w:space="0" w:color="auto"/>
              <w:left w:val="single" w:sz="6" w:space="0" w:color="auto"/>
              <w:bottom w:val="single" w:sz="6" w:space="0" w:color="auto"/>
              <w:right w:val="single" w:sz="6" w:space="0" w:color="auto"/>
            </w:tcBorders>
            <w:vAlign w:val="center"/>
          </w:tcPr>
          <w:p w14:paraId="47401A3A" w14:textId="77777777" w:rsidR="00EF2AE3" w:rsidRPr="00542EB9" w:rsidRDefault="00EF2AE3" w:rsidP="00EF2AE3">
            <w:pPr>
              <w:spacing w:before="245" w:after="0" w:line="228" w:lineRule="auto"/>
              <w:ind w:right="443"/>
              <w:rPr>
                <w:rFonts w:eastAsia="Calibri"/>
                <w:b/>
                <w:bCs/>
                <w:noProof/>
                <w:color w:val="000000" w:themeColor="text1"/>
              </w:rPr>
            </w:pPr>
            <w:r w:rsidRPr="00542EB9">
              <w:rPr>
                <w:rFonts w:eastAsia="Calibri"/>
                <w:b/>
                <w:bCs/>
                <w:noProof/>
                <w:color w:val="000000" w:themeColor="text1"/>
              </w:rPr>
              <w:t>Customs programme</w:t>
            </w:r>
          </w:p>
        </w:tc>
        <w:tc>
          <w:tcPr>
            <w:tcW w:w="984" w:type="dxa"/>
            <w:tcBorders>
              <w:top w:val="single" w:sz="6" w:space="0" w:color="auto"/>
              <w:left w:val="single" w:sz="6" w:space="0" w:color="auto"/>
              <w:bottom w:val="single" w:sz="6" w:space="0" w:color="auto"/>
              <w:right w:val="single" w:sz="6" w:space="0" w:color="auto"/>
            </w:tcBorders>
            <w:vAlign w:val="center"/>
          </w:tcPr>
          <w:p w14:paraId="013AFABE"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950</w:t>
            </w:r>
          </w:p>
        </w:tc>
        <w:tc>
          <w:tcPr>
            <w:tcW w:w="6150" w:type="dxa"/>
            <w:tcBorders>
              <w:top w:val="single" w:sz="6" w:space="0" w:color="auto"/>
              <w:left w:val="single" w:sz="6" w:space="0" w:color="auto"/>
              <w:bottom w:val="single" w:sz="6" w:space="0" w:color="auto"/>
              <w:right w:val="single" w:sz="6" w:space="0" w:color="auto"/>
            </w:tcBorders>
            <w:vAlign w:val="center"/>
          </w:tcPr>
          <w:p w14:paraId="4EB1EC11"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The Customs programme supports the development and operation of central EU information technology systems for customs. It facilitates collaborative activities between customs officials, including the exchange of good practices and knowledge in customs policy and law and their practical implementation. The programme is restricted to customs authorities in the EU and in the eligible non-EU countries. The programme facilitates the work of customs administrations in dealing with increasing trade flows and emerging trends and technologies, such as e-commerce and blockchain. It provides for better response to security threats and contributes to the financial and economic interests of the European Union and its Member States.</w:t>
            </w:r>
          </w:p>
        </w:tc>
      </w:tr>
      <w:tr w:rsidR="00EF2AE3" w:rsidRPr="00542EB9" w14:paraId="5065156A" w14:textId="77777777">
        <w:trPr>
          <w:trHeight w:val="300"/>
        </w:trPr>
        <w:tc>
          <w:tcPr>
            <w:tcW w:w="2206" w:type="dxa"/>
            <w:tcBorders>
              <w:top w:val="single" w:sz="6" w:space="0" w:color="auto"/>
              <w:left w:val="single" w:sz="6" w:space="0" w:color="auto"/>
              <w:bottom w:val="single" w:sz="6" w:space="0" w:color="auto"/>
              <w:right w:val="single" w:sz="6" w:space="0" w:color="auto"/>
            </w:tcBorders>
            <w:vAlign w:val="center"/>
          </w:tcPr>
          <w:p w14:paraId="725029BB" w14:textId="77777777" w:rsidR="00EF2AE3" w:rsidRPr="00542EB9" w:rsidRDefault="00EF2AE3" w:rsidP="00EF2AE3">
            <w:pPr>
              <w:spacing w:before="245" w:after="0" w:line="228" w:lineRule="auto"/>
              <w:ind w:right="443"/>
              <w:rPr>
                <w:rFonts w:eastAsia="Calibri"/>
                <w:b/>
                <w:bCs/>
                <w:noProof/>
                <w:color w:val="000000" w:themeColor="text1"/>
              </w:rPr>
            </w:pPr>
            <w:r w:rsidRPr="00542EB9">
              <w:rPr>
                <w:rFonts w:eastAsia="Calibri"/>
                <w:b/>
                <w:bCs/>
                <w:noProof/>
                <w:color w:val="000000" w:themeColor="text1"/>
              </w:rPr>
              <w:t>Customs Control Equipment Instrument</w:t>
            </w:r>
          </w:p>
        </w:tc>
        <w:tc>
          <w:tcPr>
            <w:tcW w:w="984" w:type="dxa"/>
            <w:tcBorders>
              <w:top w:val="single" w:sz="6" w:space="0" w:color="auto"/>
              <w:left w:val="single" w:sz="6" w:space="0" w:color="auto"/>
              <w:bottom w:val="single" w:sz="6" w:space="0" w:color="auto"/>
              <w:right w:val="single" w:sz="6" w:space="0" w:color="auto"/>
            </w:tcBorders>
            <w:vAlign w:val="center"/>
          </w:tcPr>
          <w:p w14:paraId="085DEE70"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1006</w:t>
            </w:r>
          </w:p>
        </w:tc>
        <w:tc>
          <w:tcPr>
            <w:tcW w:w="6150" w:type="dxa"/>
            <w:tcBorders>
              <w:top w:val="single" w:sz="6" w:space="0" w:color="auto"/>
              <w:left w:val="single" w:sz="6" w:space="0" w:color="auto"/>
              <w:bottom w:val="single" w:sz="6" w:space="0" w:color="auto"/>
              <w:right w:val="single" w:sz="6" w:space="0" w:color="auto"/>
            </w:tcBorders>
            <w:vAlign w:val="center"/>
          </w:tcPr>
          <w:p w14:paraId="1690E9C6"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 xml:space="preserve">The Customs Control Equipment Instrument (CCEI) supports Member States to reinforce their customs control capacities with state-of-the-art equipment with a view to contributing to adequate and equivalent results of customs controls. The CCEI specifically provides financial support to the customs authorities of European Union Member States for the transparent purchase, maintenance and upgrade of customs control equipment. </w:t>
            </w:r>
          </w:p>
        </w:tc>
      </w:tr>
      <w:tr w:rsidR="00EF2AE3" w:rsidRPr="00542EB9" w14:paraId="137ABD0D" w14:textId="77777777">
        <w:trPr>
          <w:trHeight w:val="300"/>
        </w:trPr>
        <w:tc>
          <w:tcPr>
            <w:tcW w:w="2206" w:type="dxa"/>
            <w:tcBorders>
              <w:top w:val="single" w:sz="6" w:space="0" w:color="auto"/>
              <w:left w:val="single" w:sz="6" w:space="0" w:color="auto"/>
              <w:bottom w:val="single" w:sz="6" w:space="0" w:color="auto"/>
              <w:right w:val="single" w:sz="6" w:space="0" w:color="auto"/>
            </w:tcBorders>
            <w:vAlign w:val="center"/>
          </w:tcPr>
          <w:p w14:paraId="50F35E18" w14:textId="77777777" w:rsidR="00EF2AE3" w:rsidRPr="00542EB9" w:rsidRDefault="00EF2AE3" w:rsidP="00EF2AE3">
            <w:pPr>
              <w:spacing w:before="245" w:after="0" w:line="228" w:lineRule="auto"/>
              <w:ind w:right="443"/>
              <w:rPr>
                <w:rFonts w:eastAsia="Calibri"/>
                <w:b/>
                <w:bCs/>
                <w:noProof/>
                <w:color w:val="000000" w:themeColor="text1"/>
              </w:rPr>
            </w:pPr>
            <w:r w:rsidRPr="00542EB9">
              <w:rPr>
                <w:rFonts w:eastAsia="Calibri"/>
                <w:b/>
                <w:bCs/>
                <w:noProof/>
                <w:color w:val="000000" w:themeColor="text1"/>
              </w:rPr>
              <w:t>Fiscalis programme</w:t>
            </w:r>
          </w:p>
        </w:tc>
        <w:tc>
          <w:tcPr>
            <w:tcW w:w="984" w:type="dxa"/>
            <w:tcBorders>
              <w:top w:val="single" w:sz="6" w:space="0" w:color="auto"/>
              <w:left w:val="single" w:sz="6" w:space="0" w:color="auto"/>
              <w:bottom w:val="single" w:sz="6" w:space="0" w:color="auto"/>
              <w:right w:val="single" w:sz="6" w:space="0" w:color="auto"/>
            </w:tcBorders>
            <w:vAlign w:val="center"/>
          </w:tcPr>
          <w:p w14:paraId="236DAFB6"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269</w:t>
            </w:r>
          </w:p>
        </w:tc>
        <w:tc>
          <w:tcPr>
            <w:tcW w:w="6150" w:type="dxa"/>
            <w:tcBorders>
              <w:top w:val="single" w:sz="6" w:space="0" w:color="auto"/>
              <w:left w:val="single" w:sz="6" w:space="0" w:color="auto"/>
              <w:bottom w:val="single" w:sz="6" w:space="0" w:color="auto"/>
              <w:right w:val="single" w:sz="6" w:space="0" w:color="auto"/>
            </w:tcBorders>
            <w:vAlign w:val="center"/>
          </w:tcPr>
          <w:p w14:paraId="41FAAFA9"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The Fiscalis programme focuses on supporting tax authorities in order to enhance the functioning of the single market, to foster the competitiveness of the Union and fair competition in the Union and to protect the financial and economic interests of the Union and its Member States, including protecting those interests from tax fraud, tax evasion and tax avoidance, and to improve tax collection.</w:t>
            </w:r>
          </w:p>
          <w:p w14:paraId="4931B85E"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It supports the development and operation of central EU information technology systems for taxation. It also supports the relevant authorities in the implementation of the EU taxation law by ensuring exchange of information, supporting administrative and project-based cooperation as well as human capacity building, and helping to reduce the administrative burden of tax authorities and compliance costs for taxpayers when needed.</w:t>
            </w:r>
          </w:p>
        </w:tc>
      </w:tr>
      <w:tr w:rsidR="00EF2AE3" w:rsidRPr="00542EB9" w14:paraId="5C6D8B60" w14:textId="77777777">
        <w:trPr>
          <w:trHeight w:val="300"/>
        </w:trPr>
        <w:tc>
          <w:tcPr>
            <w:tcW w:w="2206" w:type="dxa"/>
            <w:tcBorders>
              <w:top w:val="single" w:sz="6" w:space="0" w:color="auto"/>
              <w:left w:val="single" w:sz="6" w:space="0" w:color="auto"/>
              <w:bottom w:val="single" w:sz="6" w:space="0" w:color="auto"/>
              <w:right w:val="single" w:sz="6" w:space="0" w:color="auto"/>
            </w:tcBorders>
            <w:vAlign w:val="center"/>
          </w:tcPr>
          <w:p w14:paraId="66B35976" w14:textId="77777777" w:rsidR="00EF2AE3" w:rsidRPr="00542EB9" w:rsidRDefault="00EF2AE3" w:rsidP="00EF2AE3">
            <w:pPr>
              <w:spacing w:before="245" w:after="0" w:line="228" w:lineRule="auto"/>
              <w:ind w:right="443"/>
              <w:rPr>
                <w:rFonts w:eastAsia="Calibri"/>
                <w:b/>
                <w:bCs/>
                <w:noProof/>
                <w:color w:val="000000" w:themeColor="text1"/>
              </w:rPr>
            </w:pPr>
            <w:r w:rsidRPr="00542EB9">
              <w:rPr>
                <w:rFonts w:eastAsia="Calibri"/>
                <w:b/>
                <w:bCs/>
                <w:noProof/>
                <w:color w:val="000000" w:themeColor="text1"/>
              </w:rPr>
              <w:t>Union Anti-Fraud Programme</w:t>
            </w:r>
          </w:p>
        </w:tc>
        <w:tc>
          <w:tcPr>
            <w:tcW w:w="984" w:type="dxa"/>
            <w:tcBorders>
              <w:top w:val="single" w:sz="6" w:space="0" w:color="auto"/>
              <w:left w:val="single" w:sz="6" w:space="0" w:color="auto"/>
              <w:bottom w:val="single" w:sz="6" w:space="0" w:color="auto"/>
              <w:right w:val="single" w:sz="6" w:space="0" w:color="auto"/>
            </w:tcBorders>
            <w:vAlign w:val="center"/>
          </w:tcPr>
          <w:p w14:paraId="097BF77C"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181</w:t>
            </w:r>
          </w:p>
        </w:tc>
        <w:tc>
          <w:tcPr>
            <w:tcW w:w="6150" w:type="dxa"/>
            <w:tcBorders>
              <w:top w:val="single" w:sz="6" w:space="0" w:color="auto"/>
              <w:left w:val="single" w:sz="6" w:space="0" w:color="auto"/>
              <w:bottom w:val="single" w:sz="6" w:space="0" w:color="auto"/>
              <w:right w:val="single" w:sz="6" w:space="0" w:color="auto"/>
            </w:tcBorders>
            <w:vAlign w:val="center"/>
          </w:tcPr>
          <w:p w14:paraId="73D20DEF"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The Union Anti-Fraud programme supports the prevention of and the combat against fraud, corruption and any other illegal activities affecting the financial interests of the EU. It addressed both the expenditure and the revenue components of the fight against fraud affecting the Union’s budget. Through its three strands, it helps Member States and beneficiaries fight fraud through financial support for advanced operational equipment and tools and by organising mutual administrative assistance and cooperation in customs and agricultural matters, notably via the Anti-Fraud Information System (AFIS) and the Irregularity Management System (IMS).</w:t>
            </w:r>
          </w:p>
        </w:tc>
      </w:tr>
      <w:tr w:rsidR="00EF2AE3" w:rsidRPr="00EF2AE3" w14:paraId="0F464443" w14:textId="77777777">
        <w:trPr>
          <w:trHeight w:val="300"/>
        </w:trPr>
        <w:tc>
          <w:tcPr>
            <w:tcW w:w="220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188BDF6" w14:textId="77777777" w:rsidR="00EF2AE3" w:rsidRPr="00542EB9" w:rsidRDefault="00EF2AE3" w:rsidP="00EF2AE3">
            <w:pPr>
              <w:spacing w:before="245" w:after="0" w:line="228" w:lineRule="auto"/>
              <w:ind w:right="443"/>
              <w:rPr>
                <w:rFonts w:eastAsia="Calibri"/>
                <w:noProof/>
                <w:color w:val="000000" w:themeColor="text1"/>
              </w:rPr>
            </w:pPr>
            <w:r w:rsidRPr="00542EB9">
              <w:rPr>
                <w:rFonts w:eastAsia="Calibri"/>
                <w:b/>
                <w:bCs/>
                <w:noProof/>
                <w:color w:val="000000" w:themeColor="text1"/>
              </w:rPr>
              <w:t>Total </w:t>
            </w:r>
            <w:r w:rsidRPr="00542EB9">
              <w:rPr>
                <w:rFonts w:eastAsia="Calibri"/>
                <w:noProof/>
                <w:color w:val="000000" w:themeColor="text1"/>
              </w:rPr>
              <w:t> </w:t>
            </w:r>
          </w:p>
        </w:tc>
        <w:tc>
          <w:tcPr>
            <w:tcW w:w="98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5EC6946" w14:textId="77777777" w:rsidR="00EF2AE3" w:rsidRPr="00EF2AE3" w:rsidRDefault="00EF2AE3" w:rsidP="00EF2AE3">
            <w:pPr>
              <w:spacing w:before="245" w:after="0" w:line="228" w:lineRule="auto"/>
              <w:ind w:right="443"/>
              <w:rPr>
                <w:rFonts w:eastAsia="Calibri"/>
                <w:noProof/>
                <w:color w:val="000000" w:themeColor="text1"/>
              </w:rPr>
            </w:pPr>
            <w:r w:rsidRPr="00542EB9">
              <w:rPr>
                <w:rFonts w:eastAsia="Calibri"/>
                <w:noProof/>
                <w:color w:val="000000" w:themeColor="text1"/>
              </w:rPr>
              <w:t>6756</w:t>
            </w:r>
          </w:p>
        </w:tc>
        <w:tc>
          <w:tcPr>
            <w:tcW w:w="6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98F7346" w14:textId="77777777" w:rsidR="00EF2AE3" w:rsidRPr="00EF2AE3" w:rsidRDefault="00EF2AE3" w:rsidP="00EF2AE3">
            <w:pPr>
              <w:spacing w:before="245" w:after="0" w:line="228" w:lineRule="auto"/>
              <w:ind w:right="443"/>
              <w:rPr>
                <w:rFonts w:eastAsia="Calibri"/>
                <w:noProof/>
                <w:color w:val="000000" w:themeColor="text1"/>
              </w:rPr>
            </w:pPr>
            <w:r w:rsidRPr="00EF2AE3">
              <w:rPr>
                <w:rFonts w:eastAsia="Calibri"/>
                <w:noProof/>
                <w:color w:val="000000" w:themeColor="text1"/>
              </w:rPr>
              <w:t> </w:t>
            </w:r>
          </w:p>
        </w:tc>
      </w:tr>
    </w:tbl>
    <w:p w14:paraId="4570FBE8" w14:textId="4D2C2FD3" w:rsidR="00D20FD1" w:rsidRPr="00B20226" w:rsidRDefault="00D20FD1" w:rsidP="002A1865">
      <w:pPr>
        <w:pStyle w:val="AnnexTitle"/>
        <w:jc w:val="both"/>
        <w:rPr>
          <w:noProof/>
        </w:rPr>
      </w:pPr>
    </w:p>
    <w:sectPr w:rsidR="00D20FD1" w:rsidRPr="00B20226" w:rsidSect="0053316B">
      <w:headerReference w:type="even" r:id="rId53"/>
      <w:headerReference w:type="default" r:id="rId54"/>
      <w:footerReference w:type="even" r:id="rId55"/>
      <w:footerReference w:type="default" r:id="rId56"/>
      <w:headerReference w:type="first" r:id="rId57"/>
      <w:footerReference w:type="first" r:id="rId58"/>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96CC2" w14:textId="77777777" w:rsidR="00C75798" w:rsidRDefault="00C75798" w:rsidP="000E3086">
      <w:r>
        <w:separator/>
      </w:r>
    </w:p>
  </w:endnote>
  <w:endnote w:type="continuationSeparator" w:id="0">
    <w:p w14:paraId="40FDAEC2" w14:textId="77777777" w:rsidR="00C75798" w:rsidRDefault="00C75798" w:rsidP="000E3086">
      <w:r>
        <w:continuationSeparator/>
      </w:r>
    </w:p>
  </w:endnote>
  <w:endnote w:type="continuationNotice" w:id="1">
    <w:p w14:paraId="565DFF52" w14:textId="77777777" w:rsidR="00C75798" w:rsidRDefault="00C75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yriadPro-Light">
    <w:altName w:val="MS Gothic"/>
    <w:charset w:val="80"/>
    <w:family w:val="swiss"/>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B0EF" w14:textId="73AA8A37" w:rsidR="00112D5D" w:rsidRPr="00112D5D" w:rsidRDefault="00112D5D" w:rsidP="00112D5D">
    <w:pPr>
      <w:pStyle w:val="FooterCoverPage"/>
      <w:rPr>
        <w:rFonts w:ascii="Arial" w:hAnsi="Arial" w:cs="Arial"/>
        <w:b/>
        <w:sz w:val="48"/>
      </w:rPr>
    </w:pPr>
    <w:r w:rsidRPr="00112D5D">
      <w:rPr>
        <w:rFonts w:ascii="Arial" w:hAnsi="Arial" w:cs="Arial"/>
        <w:b/>
        <w:sz w:val="48"/>
      </w:rPr>
      <w:t>EN</w:t>
    </w:r>
    <w:r w:rsidRPr="00112D5D">
      <w:rPr>
        <w:rFonts w:ascii="Arial" w:hAnsi="Arial" w:cs="Arial"/>
        <w:b/>
        <w:sz w:val="48"/>
      </w:rPr>
      <w:tab/>
    </w:r>
    <w:r w:rsidRPr="00112D5D">
      <w:rPr>
        <w:rFonts w:ascii="Arial" w:hAnsi="Arial" w:cs="Arial"/>
        <w:b/>
        <w:sz w:val="48"/>
      </w:rPr>
      <w:tab/>
    </w:r>
    <w:r w:rsidRPr="00112D5D">
      <w:tab/>
    </w:r>
    <w:r w:rsidRPr="00112D5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39ECB" w14:textId="1136C034" w:rsidR="00112D5D" w:rsidRPr="00112D5D" w:rsidRDefault="00112D5D" w:rsidP="00112D5D">
    <w:pPr>
      <w:pStyle w:val="FooterCoverPage"/>
      <w:rPr>
        <w:rFonts w:ascii="Arial" w:hAnsi="Arial" w:cs="Arial"/>
        <w:b/>
        <w:sz w:val="48"/>
      </w:rPr>
    </w:pPr>
    <w:r w:rsidRPr="00112D5D">
      <w:rPr>
        <w:rFonts w:ascii="Arial" w:hAnsi="Arial" w:cs="Arial"/>
        <w:b/>
        <w:sz w:val="48"/>
      </w:rPr>
      <w:t>EN</w:t>
    </w:r>
    <w:r w:rsidRPr="00112D5D">
      <w:rPr>
        <w:rFonts w:ascii="Arial" w:hAnsi="Arial" w:cs="Arial"/>
        <w:b/>
        <w:sz w:val="48"/>
      </w:rPr>
      <w:tab/>
    </w:r>
    <w:r w:rsidRPr="00112D5D">
      <w:rPr>
        <w:rFonts w:ascii="Arial" w:hAnsi="Arial" w:cs="Arial"/>
        <w:b/>
        <w:sz w:val="48"/>
      </w:rPr>
      <w:tab/>
    </w:r>
    <w:r w:rsidRPr="00112D5D">
      <w:tab/>
    </w:r>
    <w:r w:rsidRPr="00112D5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D849" w14:textId="77777777" w:rsidR="00112D5D" w:rsidRPr="00112D5D" w:rsidRDefault="00112D5D" w:rsidP="00112D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81AD" w14:textId="77777777" w:rsidR="00CB14B2" w:rsidRDefault="00CB14B2" w:rsidP="00E06220">
    <w:pPr>
      <w:pStyle w:val="HeaderSensitivity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CE2C" w14:textId="4CEC1AB5" w:rsidR="00CB14B2" w:rsidRDefault="00CB14B2" w:rsidP="00F92EAE">
    <w:pPr>
      <w:pStyle w:val="Footer"/>
      <w:jc w:val="center"/>
    </w:pPr>
    <w:r>
      <w:fldChar w:fldCharType="begin"/>
    </w:r>
    <w:r>
      <w:instrText>PAGE</w:instrText>
    </w:r>
    <w:r>
      <w:fldChar w:fldCharType="separate"/>
    </w:r>
    <w:r w:rsidR="00112D5D">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99700"/>
      <w:docPartObj>
        <w:docPartGallery w:val="Page Numbers (Bottom of Page)"/>
        <w:docPartUnique/>
      </w:docPartObj>
    </w:sdtPr>
    <w:sdtEndPr>
      <w:rPr>
        <w:noProof/>
      </w:rPr>
    </w:sdtEndPr>
    <w:sdtContent>
      <w:p w14:paraId="23BC81F8" w14:textId="669B5A7E" w:rsidR="00CB14B2" w:rsidRDefault="00CB14B2" w:rsidP="00502DAA">
        <w:pPr>
          <w:pStyle w:val="Footer"/>
          <w:jc w:val="center"/>
        </w:pPr>
        <w:r>
          <w:fldChar w:fldCharType="begin"/>
        </w:r>
        <w:r>
          <w:instrText xml:space="preserve"> PAGE   \* MERGEFORMAT </w:instrText>
        </w:r>
        <w:r>
          <w:fldChar w:fldCharType="separate"/>
        </w:r>
        <w:r w:rsidR="00112D5D">
          <w:rPr>
            <w:noProof/>
          </w:rPr>
          <w:t>1</w:t>
        </w:r>
        <w:r>
          <w:rPr>
            <w:noProof/>
          </w:rPr>
          <w:fldChar w:fldCharType="end"/>
        </w:r>
      </w:p>
    </w:sdtContent>
  </w:sdt>
  <w:p w14:paraId="11D2BDDF" w14:textId="77777777" w:rsidR="00CB14B2" w:rsidRDefault="00CB14B2" w:rsidP="000E30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4CD6" w14:textId="77777777" w:rsidR="00CB14B2" w:rsidRDefault="00CB14B2" w:rsidP="00E06220">
    <w:pPr>
      <w:pStyle w:val="HeaderSensitivity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5927" w14:textId="2833EB3C" w:rsidR="00CB14B2" w:rsidRPr="00CD516A" w:rsidRDefault="4AE8BB88" w:rsidP="005F23BF">
    <w:pPr>
      <w:pStyle w:val="Footer"/>
      <w:ind w:left="0"/>
      <w:jc w:val="center"/>
    </w:pPr>
    <w:r>
      <w:fldChar w:fldCharType="begin"/>
    </w:r>
    <w:r>
      <w:instrText>PAGE</w:instrText>
    </w:r>
    <w:r>
      <w:fldChar w:fldCharType="separate"/>
    </w:r>
    <w:r w:rsidR="002A2128">
      <w:rPr>
        <w:noProof/>
      </w:rPr>
      <w:t>64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505229"/>
      <w:docPartObj>
        <w:docPartGallery w:val="Page Numbers (Bottom of Page)"/>
        <w:docPartUnique/>
      </w:docPartObj>
    </w:sdtPr>
    <w:sdtEndPr>
      <w:rPr>
        <w:noProof/>
      </w:rPr>
    </w:sdtEndPr>
    <w:sdtContent>
      <w:p w14:paraId="06C35B24" w14:textId="49BCFD08" w:rsidR="00CB14B2" w:rsidRDefault="004B1CD1" w:rsidP="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8C54C" w14:textId="77777777" w:rsidR="00C75798" w:rsidRDefault="00C75798" w:rsidP="000E3086">
      <w:r>
        <w:separator/>
      </w:r>
    </w:p>
  </w:footnote>
  <w:footnote w:type="continuationSeparator" w:id="0">
    <w:p w14:paraId="64C5B5D0" w14:textId="77777777" w:rsidR="00C75798" w:rsidRDefault="00C75798" w:rsidP="000E3086">
      <w:r>
        <w:continuationSeparator/>
      </w:r>
    </w:p>
  </w:footnote>
  <w:footnote w:type="continuationNotice" w:id="1">
    <w:p w14:paraId="25189F0E" w14:textId="77777777" w:rsidR="00C75798" w:rsidRDefault="00C75798">
      <w:pPr>
        <w:spacing w:after="0"/>
      </w:pPr>
    </w:p>
  </w:footnote>
  <w:footnote w:id="2">
    <w:p w14:paraId="321AF169" w14:textId="443F23AC" w:rsidR="00044017" w:rsidRPr="00E74CE2" w:rsidRDefault="00044017" w:rsidP="00044017">
      <w:pPr>
        <w:pStyle w:val="FootnoteText"/>
        <w:rPr>
          <w:lang w:val="fr-FR"/>
        </w:rPr>
      </w:pPr>
      <w:r w:rsidRPr="00E74CE2">
        <w:rPr>
          <w:rStyle w:val="FootnoteReference"/>
        </w:rPr>
        <w:footnoteRef/>
      </w:r>
      <w:r w:rsidRPr="00E74CE2">
        <w:rPr>
          <w:lang w:val="fr-FR"/>
        </w:rPr>
        <w:t xml:space="preserve"> European Act, </w:t>
      </w:r>
      <w:hyperlink r:id="rId1">
        <w:r w:rsidRPr="00E74CE2">
          <w:rPr>
            <w:lang w:val="fr-FR"/>
          </w:rPr>
          <w:t>EUR-Lex - 11986U/TXT - EN - EUR-Lex</w:t>
        </w:r>
      </w:hyperlink>
      <w:r w:rsidRPr="00E74CE2">
        <w:rPr>
          <w:lang w:val="fr-FR"/>
        </w:rPr>
        <w:t>.</w:t>
      </w:r>
    </w:p>
  </w:footnote>
  <w:footnote w:id="3">
    <w:p w14:paraId="7CD9979E" w14:textId="77777777" w:rsidR="00981E60" w:rsidRPr="00E74CE2" w:rsidRDefault="00981E60" w:rsidP="00981E60">
      <w:pPr>
        <w:pStyle w:val="FootnoteText"/>
      </w:pPr>
      <w:r w:rsidRPr="00E74CE2">
        <w:rPr>
          <w:rStyle w:val="FootnoteReference"/>
        </w:rPr>
        <w:footnoteRef/>
      </w:r>
      <w:r w:rsidRPr="00E74CE2">
        <w:t xml:space="preserve"> </w:t>
      </w:r>
      <w:hyperlink r:id="rId2" w:anchor=":~:text=Europe%E2%80%99s%20competitiveness%20%E2%80%93%20and%20its%20position%20in%20the" w:history="1">
        <w:r w:rsidRPr="00E74CE2">
          <w:rPr>
            <w:rStyle w:val="Hyperlink"/>
          </w:rPr>
          <w:t>European Commission political guidelines for 2024-2029</w:t>
        </w:r>
      </w:hyperlink>
      <w:r w:rsidRPr="00E74CE2">
        <w:t>.</w:t>
      </w:r>
    </w:p>
  </w:footnote>
  <w:footnote w:id="4">
    <w:p w14:paraId="429A872D" w14:textId="77777777" w:rsidR="00981E60" w:rsidRPr="00E74CE2" w:rsidRDefault="00981E60" w:rsidP="00981E60">
      <w:pPr>
        <w:pStyle w:val="FootnoteText"/>
      </w:pPr>
      <w:r w:rsidRPr="00E74CE2">
        <w:rPr>
          <w:rStyle w:val="FootnoteReference"/>
        </w:rPr>
        <w:footnoteRef/>
      </w:r>
      <w:r w:rsidRPr="00E74CE2">
        <w:t xml:space="preserve"> Draghi Report”, </w:t>
      </w:r>
      <w:hyperlink r:id="rId3" w:anchor="paragraph_47059" w:history="1">
        <w:r w:rsidRPr="00E74CE2">
          <w:rPr>
            <w:rStyle w:val="Hyperlink"/>
          </w:rPr>
          <w:t>EU competitiveness: Looking ahead - European Commission</w:t>
        </w:r>
      </w:hyperlink>
      <w:r w:rsidRPr="00E74CE2">
        <w:t xml:space="preserve">. “Letta Report”, </w:t>
      </w:r>
      <w:hyperlink r:id="rId4" w:history="1">
        <w:r w:rsidRPr="00E74CE2">
          <w:rPr>
            <w:rStyle w:val="Hyperlink"/>
          </w:rPr>
          <w:t>Enrico Letta - Much more than a market (April 2024)</w:t>
        </w:r>
      </w:hyperlink>
      <w:r w:rsidRPr="00E74CE2">
        <w:t>.</w:t>
      </w:r>
    </w:p>
  </w:footnote>
  <w:footnote w:id="5">
    <w:p w14:paraId="257D1FC0" w14:textId="2A5E610F" w:rsidR="005D4E05" w:rsidRPr="00E74CE2" w:rsidRDefault="005D4E05">
      <w:pPr>
        <w:pStyle w:val="FootnoteText"/>
        <w:rPr>
          <w:lang w:val="en-IE"/>
        </w:rPr>
      </w:pPr>
      <w:r w:rsidRPr="00E74CE2">
        <w:rPr>
          <w:rStyle w:val="FootnoteReference"/>
        </w:rPr>
        <w:footnoteRef/>
      </w:r>
      <w:r w:rsidRPr="00E74CE2">
        <w:rPr>
          <w:lang w:val="en-IE"/>
        </w:rPr>
        <w:t xml:space="preserve"> </w:t>
      </w:r>
      <w:hyperlink r:id="rId5" w:history="1">
        <w:r w:rsidR="00520E7E" w:rsidRPr="00E74CE2">
          <w:rPr>
            <w:rStyle w:val="Hyperlink"/>
            <w:lang w:val="en-IE"/>
          </w:rPr>
          <w:t>EU Customs Union: facts and figures</w:t>
        </w:r>
      </w:hyperlink>
    </w:p>
  </w:footnote>
  <w:footnote w:id="6">
    <w:p w14:paraId="6C281708" w14:textId="7901088E" w:rsidR="1349A2FA" w:rsidRPr="00E74CE2" w:rsidRDefault="1349A2FA">
      <w:pPr>
        <w:rPr>
          <w:sz w:val="20"/>
          <w:szCs w:val="20"/>
        </w:rPr>
      </w:pPr>
      <w:r w:rsidRPr="00E74CE2">
        <w:rPr>
          <w:rStyle w:val="FootnoteReference"/>
          <w:rFonts w:eastAsiaTheme="minorEastAsia"/>
          <w:sz w:val="20"/>
          <w:szCs w:val="20"/>
        </w:rPr>
        <w:footnoteRef/>
      </w:r>
      <w:r w:rsidRPr="00E74CE2">
        <w:rPr>
          <w:sz w:val="20"/>
          <w:szCs w:val="20"/>
        </w:rPr>
        <w:t xml:space="preserve"> </w:t>
      </w:r>
      <w:r w:rsidR="0095756E" w:rsidRPr="00E74CE2">
        <w:rPr>
          <w:sz w:val="20"/>
          <w:szCs w:val="20"/>
        </w:rPr>
        <w:t xml:space="preserve">Source: </w:t>
      </w:r>
      <w:hyperlink r:id="rId6" w:history="1">
        <w:r w:rsidRPr="00E74CE2">
          <w:rPr>
            <w:rStyle w:val="Hyperlink"/>
            <w:sz w:val="20"/>
            <w:szCs w:val="20"/>
          </w:rPr>
          <w:t>Eurostat</w:t>
        </w:r>
        <w:r w:rsidR="003B451D" w:rsidRPr="00E74CE2">
          <w:rPr>
            <w:rStyle w:val="Hyperlink"/>
            <w:sz w:val="20"/>
            <w:szCs w:val="20"/>
          </w:rPr>
          <w:t xml:space="preserve"> data</w:t>
        </w:r>
      </w:hyperlink>
      <w:r w:rsidR="003B451D" w:rsidRPr="00E74CE2">
        <w:rPr>
          <w:sz w:val="20"/>
          <w:szCs w:val="20"/>
        </w:rPr>
        <w:t>.</w:t>
      </w:r>
    </w:p>
  </w:footnote>
  <w:footnote w:id="7">
    <w:p w14:paraId="0F376B28" w14:textId="6031C718" w:rsidR="00BB019A" w:rsidRPr="00E74CE2" w:rsidRDefault="00BB019A" w:rsidP="00A65696">
      <w:pPr>
        <w:spacing w:after="0"/>
        <w:rPr>
          <w:sz w:val="20"/>
          <w:szCs w:val="20"/>
          <w:lang w:val="en-IE"/>
        </w:rPr>
      </w:pPr>
      <w:r w:rsidRPr="00E74CE2">
        <w:rPr>
          <w:rStyle w:val="FootnoteReference"/>
          <w:sz w:val="20"/>
          <w:szCs w:val="20"/>
        </w:rPr>
        <w:footnoteRef/>
      </w:r>
      <w:r w:rsidRPr="00E74CE2">
        <w:rPr>
          <w:sz w:val="20"/>
          <w:szCs w:val="20"/>
          <w:lang w:val="en-IE"/>
        </w:rPr>
        <w:t xml:space="preserve"> European Parliament resolution of 18.1.2023 on the 30th anniversary of the </w:t>
      </w:r>
      <w:r w:rsidR="00EF24F1" w:rsidRPr="00E74CE2">
        <w:rPr>
          <w:sz w:val="20"/>
          <w:szCs w:val="20"/>
          <w:lang w:val="en-IE"/>
        </w:rPr>
        <w:t>single market</w:t>
      </w:r>
      <w:r w:rsidRPr="00E74CE2">
        <w:rPr>
          <w:sz w:val="20"/>
          <w:szCs w:val="20"/>
          <w:lang w:val="en-IE"/>
        </w:rPr>
        <w:t>: celebrating achievements and looking towards future developments, P9_TA(2023)0007.</w:t>
      </w:r>
    </w:p>
  </w:footnote>
  <w:footnote w:id="8">
    <w:p w14:paraId="2A7E0D76" w14:textId="77777777" w:rsidR="00BB019A" w:rsidRPr="00E74CE2" w:rsidRDefault="00BB019A" w:rsidP="00A65696">
      <w:pPr>
        <w:pStyle w:val="FootnoteText"/>
      </w:pPr>
      <w:r w:rsidRPr="00E74CE2">
        <w:rPr>
          <w:rStyle w:val="FootnoteReference"/>
        </w:rPr>
        <w:footnoteRef/>
      </w:r>
      <w:r w:rsidRPr="00E74CE2">
        <w:t xml:space="preserve"> </w:t>
      </w:r>
      <w:hyperlink r:id="rId7" w:history="1">
        <w:r w:rsidRPr="00E74CE2">
          <w:rPr>
            <w:rStyle w:val="Hyperlink"/>
          </w:rPr>
          <w:t>European Council conclusions, 9 February 2023</w:t>
        </w:r>
      </w:hyperlink>
      <w:r w:rsidRPr="00E74CE2">
        <w:t>.</w:t>
      </w:r>
    </w:p>
  </w:footnote>
  <w:footnote w:id="9">
    <w:p w14:paraId="21704495" w14:textId="0C4A2AD7" w:rsidR="658819FF" w:rsidRPr="00E74CE2" w:rsidRDefault="658819FF" w:rsidP="00B26F84">
      <w:pPr>
        <w:spacing w:after="0"/>
        <w:rPr>
          <w:sz w:val="20"/>
          <w:szCs w:val="20"/>
        </w:rPr>
      </w:pPr>
      <w:r w:rsidRPr="00E74CE2">
        <w:rPr>
          <w:sz w:val="20"/>
          <w:szCs w:val="20"/>
          <w:vertAlign w:val="superscript"/>
        </w:rPr>
        <w:footnoteRef/>
      </w:r>
      <w:r w:rsidRPr="00E74CE2">
        <w:rPr>
          <w:sz w:val="20"/>
          <w:szCs w:val="20"/>
        </w:rPr>
        <w:t xml:space="preserve"> Enrico Letta, Much more than a market</w:t>
      </w:r>
      <w:r w:rsidR="008B07A7" w:rsidRPr="00E74CE2">
        <w:rPr>
          <w:sz w:val="20"/>
          <w:szCs w:val="20"/>
        </w:rPr>
        <w:t>.</w:t>
      </w:r>
    </w:p>
  </w:footnote>
  <w:footnote w:id="10">
    <w:p w14:paraId="33453228" w14:textId="7B658735" w:rsidR="658819FF" w:rsidRPr="00E74CE2" w:rsidRDefault="658819FF" w:rsidP="00B26F84">
      <w:pPr>
        <w:spacing w:after="0" w:line="257" w:lineRule="auto"/>
        <w:rPr>
          <w:rFonts w:eastAsia="Aptos"/>
          <w:i/>
          <w:iCs/>
          <w:sz w:val="20"/>
          <w:szCs w:val="20"/>
        </w:rPr>
      </w:pPr>
      <w:r w:rsidRPr="00E74CE2">
        <w:rPr>
          <w:rFonts w:eastAsia="Times New Roman"/>
          <w:sz w:val="20"/>
          <w:szCs w:val="20"/>
          <w:vertAlign w:val="superscript"/>
        </w:rPr>
        <w:footnoteRef/>
      </w:r>
      <w:r w:rsidRPr="00E74CE2">
        <w:rPr>
          <w:rFonts w:eastAsia="Times New Roman"/>
          <w:iCs/>
          <w:sz w:val="20"/>
          <w:szCs w:val="20"/>
        </w:rPr>
        <w:t xml:space="preserve">For </w:t>
      </w:r>
      <w:r w:rsidRPr="00E74CE2">
        <w:rPr>
          <w:iCs/>
          <w:sz w:val="20"/>
          <w:szCs w:val="20"/>
        </w:rPr>
        <w:t>example</w:t>
      </w:r>
      <w:r w:rsidRPr="00E74CE2">
        <w:rPr>
          <w:rFonts w:eastAsia="Times New Roman"/>
          <w:iCs/>
          <w:sz w:val="20"/>
          <w:szCs w:val="20"/>
        </w:rPr>
        <w:t>, the Interoperable Europe Board, established by the Interoperable Europe Act, brings together high-level representatives from Member States and the European Commission to cooperate on matters related to cross-border interoperability of public services across the EU</w:t>
      </w:r>
      <w:r w:rsidRPr="00E74CE2">
        <w:rPr>
          <w:rFonts w:eastAsia="Times New Roman"/>
          <w:i/>
          <w:sz w:val="20"/>
          <w:szCs w:val="20"/>
        </w:rPr>
        <w:t>.</w:t>
      </w:r>
    </w:p>
  </w:footnote>
  <w:footnote w:id="11">
    <w:p w14:paraId="093AEFAF" w14:textId="19CDD7C5" w:rsidR="0057223B" w:rsidRPr="00E74CE2" w:rsidRDefault="0057223B">
      <w:pPr>
        <w:pStyle w:val="FootnoteText"/>
      </w:pPr>
      <w:r w:rsidRPr="00E74CE2">
        <w:rPr>
          <w:rStyle w:val="FootnoteReference"/>
        </w:rPr>
        <w:footnoteRef/>
      </w:r>
      <w:r w:rsidRPr="00E74CE2">
        <w:t xml:space="preserve"> </w:t>
      </w:r>
      <w:r w:rsidR="00D05865" w:rsidRPr="00E74CE2">
        <w:t xml:space="preserve">The interim evaluation of the SMP found that </w:t>
      </w:r>
      <w:r w:rsidR="00830622" w:rsidRPr="00E74CE2">
        <w:t>timeliness of stat</w:t>
      </w:r>
      <w:r w:rsidR="004A4C03" w:rsidRPr="00E74CE2">
        <w:t xml:space="preserve">istics </w:t>
      </w:r>
      <w:r w:rsidR="009C25F7" w:rsidRPr="00E74CE2">
        <w:t>has improved during the evaluation period</w:t>
      </w:r>
      <w:r w:rsidR="00B30DCD" w:rsidRPr="00E74CE2">
        <w:t>, quarterly statistics timeliness improved from 82.5 days in 2021 to 81.7 days in 2023, and monthly statistics from 32.5 days in 2021 to 29.2 days in 2023.</w:t>
      </w:r>
      <w:r w:rsidR="00295794" w:rsidRPr="00E74CE2">
        <w:t xml:space="preserve"> These measures are based on new releases of a set of quarterly and monthly statistics, being calculated from the release day of the news releases published by Eurostat as the number of days between the last day of the statistics’ reference period and the release day of the related news release.</w:t>
      </w:r>
    </w:p>
  </w:footnote>
  <w:footnote w:id="12">
    <w:p w14:paraId="5F32140C" w14:textId="77777777" w:rsidR="005422AC" w:rsidRPr="00E74CE2" w:rsidRDefault="005422AC" w:rsidP="005422AC">
      <w:pPr>
        <w:pStyle w:val="Footnote"/>
        <w:jc w:val="both"/>
        <w:rPr>
          <w:rFonts w:cs="Times New Roman"/>
          <w:lang w:val="en-IE"/>
        </w:rPr>
      </w:pPr>
      <w:r w:rsidRPr="00E74CE2">
        <w:rPr>
          <w:rStyle w:val="FootnoteReference"/>
          <w:rFonts w:cs="Times New Roman"/>
        </w:rPr>
        <w:footnoteRef/>
      </w:r>
      <w:r w:rsidRPr="00E74CE2">
        <w:rPr>
          <w:rFonts w:cs="Times New Roman"/>
          <w:lang w:val="en-IE"/>
        </w:rPr>
        <w:t xml:space="preserve"> Mapping the Cost of Non-Europe 2019-24, Study of the European Parliamentary Research Service, 2019.</w:t>
      </w:r>
    </w:p>
  </w:footnote>
  <w:footnote w:id="13">
    <w:p w14:paraId="2C0CFF3B" w14:textId="10B661A1" w:rsidR="658819FF" w:rsidRPr="00E74CE2" w:rsidRDefault="658819FF" w:rsidP="00CA0665">
      <w:pPr>
        <w:spacing w:after="0"/>
        <w:rPr>
          <w:sz w:val="20"/>
          <w:szCs w:val="20"/>
        </w:rPr>
      </w:pPr>
      <w:r w:rsidRPr="00E74CE2">
        <w:rPr>
          <w:sz w:val="20"/>
          <w:szCs w:val="20"/>
          <w:vertAlign w:val="superscript"/>
        </w:rPr>
        <w:footnoteRef/>
      </w:r>
      <w:r w:rsidRPr="00E74CE2">
        <w:rPr>
          <w:sz w:val="20"/>
          <w:szCs w:val="20"/>
        </w:rPr>
        <w:t xml:space="preserve"> There is strong and consistent economic evidence that industries which face greater competition experience stronger productivity growth and that weak competition undermines productivity growth, see for example OECD Factsheet on how competition policy affects macro-economic outcomes (2014). </w:t>
      </w:r>
    </w:p>
  </w:footnote>
  <w:footnote w:id="14">
    <w:p w14:paraId="125B8FE3" w14:textId="5968CEDF" w:rsidR="00731B2C" w:rsidRPr="00E74CE2" w:rsidRDefault="00731B2C">
      <w:pPr>
        <w:pStyle w:val="FootnoteText"/>
      </w:pPr>
      <w:r w:rsidRPr="00E74CE2">
        <w:rPr>
          <w:rStyle w:val="FootnoteReference"/>
        </w:rPr>
        <w:footnoteRef/>
      </w:r>
      <w:r w:rsidRPr="00E74CE2">
        <w:t xml:space="preserve"> </w:t>
      </w:r>
      <w:hyperlink r:id="rId8" w:history="1">
        <w:r w:rsidRPr="00E74CE2">
          <w:rPr>
            <w:rStyle w:val="Hyperlink"/>
          </w:rPr>
          <w:t>Proposal for a Regulation - 52023PC0258 - EN - EUR-Lex (europa.eu)</w:t>
        </w:r>
      </w:hyperlink>
      <w:r w:rsidRPr="00E74CE2">
        <w:t>, currently under negotiations.</w:t>
      </w:r>
    </w:p>
  </w:footnote>
  <w:footnote w:id="15">
    <w:p w14:paraId="70129B6F" w14:textId="372B3205" w:rsidR="00731B2C" w:rsidRPr="00E74CE2" w:rsidRDefault="00731B2C">
      <w:pPr>
        <w:pStyle w:val="FootnoteText"/>
      </w:pPr>
      <w:r w:rsidRPr="00E74CE2">
        <w:rPr>
          <w:rStyle w:val="FootnoteReference"/>
        </w:rPr>
        <w:footnoteRef/>
      </w:r>
      <w:r w:rsidRPr="00E74CE2">
        <w:t xml:space="preserve"> See footnote above and </w:t>
      </w:r>
      <w:hyperlink r:id="rId9" w:history="1">
        <w:r w:rsidRPr="00E74CE2">
          <w:rPr>
            <w:rStyle w:val="Hyperlink"/>
          </w:rPr>
          <w:t>EU Customs Reform | European Commission (europa.eu)</w:t>
        </w:r>
      </w:hyperlink>
      <w:r w:rsidRPr="00E74CE2">
        <w:rPr>
          <w:rStyle w:val="Hyperlink"/>
        </w:rPr>
        <w:t>.</w:t>
      </w:r>
    </w:p>
  </w:footnote>
  <w:footnote w:id="16">
    <w:p w14:paraId="4043E8A2" w14:textId="696EC36C" w:rsidR="00CB7312" w:rsidRPr="00E74CE2" w:rsidRDefault="00CB7312">
      <w:pPr>
        <w:pStyle w:val="FootnoteText"/>
      </w:pPr>
      <w:r w:rsidRPr="00E74CE2">
        <w:rPr>
          <w:rStyle w:val="FootnoteReference"/>
        </w:rPr>
        <w:footnoteRef/>
      </w:r>
      <w:r w:rsidRPr="00E74CE2">
        <w:t xml:space="preserve"> </w:t>
      </w:r>
      <w:hyperlink r:id="rId10" w:history="1">
        <w:r w:rsidRPr="00E74CE2">
          <w:rPr>
            <w:rStyle w:val="Hyperlink"/>
          </w:rPr>
          <w:t>Programme Performance Statements - European Commission</w:t>
        </w:r>
      </w:hyperlink>
      <w:r w:rsidRPr="00E74CE2">
        <w:t>.</w:t>
      </w:r>
    </w:p>
  </w:footnote>
  <w:footnote w:id="17">
    <w:p w14:paraId="6A6ADCF2" w14:textId="77777777" w:rsidR="00B1185E" w:rsidRPr="00E74CE2" w:rsidRDefault="00B1185E" w:rsidP="00B1185E">
      <w:pPr>
        <w:pStyle w:val="FootnoteText"/>
      </w:pPr>
      <w:r w:rsidRPr="00E74CE2">
        <w:rPr>
          <w:rStyle w:val="FootnoteReference"/>
        </w:rPr>
        <w:footnoteRef/>
      </w:r>
      <w:r w:rsidRPr="00E74CE2">
        <w:t xml:space="preserve"> Single Digital Gateway, Internal Market Information System, SOLVIT.</w:t>
      </w:r>
    </w:p>
  </w:footnote>
  <w:footnote w:id="18">
    <w:p w14:paraId="1D0E03B5" w14:textId="1F963669" w:rsidR="00912566" w:rsidRPr="00E74CE2" w:rsidRDefault="00912566" w:rsidP="00912566">
      <w:pPr>
        <w:pStyle w:val="FootnoteText"/>
        <w:tabs>
          <w:tab w:val="left" w:pos="142"/>
        </w:tabs>
      </w:pPr>
      <w:r w:rsidRPr="00E74CE2">
        <w:rPr>
          <w:rStyle w:val="FootnoteReference"/>
        </w:rPr>
        <w:footnoteRef/>
      </w:r>
      <w:r w:rsidRPr="00E74CE2">
        <w:t xml:space="preserve"> </w:t>
      </w:r>
      <w:hyperlink r:id="rId11">
        <w:r w:rsidRPr="00E74CE2">
          <w:rPr>
            <w:rStyle w:val="Hyperlink"/>
          </w:rPr>
          <w:t>Internal Market Information System (IMI) | Single Market Scoreboard</w:t>
        </w:r>
      </w:hyperlink>
      <w:r w:rsidR="008419E3" w:rsidRPr="00E74CE2">
        <w:rPr>
          <w:rStyle w:val="Hyperlink"/>
        </w:rPr>
        <w:t xml:space="preserve">. </w:t>
      </w:r>
      <w:r w:rsidR="008419E3" w:rsidRPr="00E74CE2">
        <w:rPr>
          <w:color w:val="0000FF" w:themeColor="hyperlink"/>
          <w:u w:val="single"/>
        </w:rPr>
        <w:t>The number of policy areas covered by IMI increased from 17 to 20 by December 2023, meaning that eight additional administrative cooperation procedures were covered by IMI, bringing the number of total procedures to 97.</w:t>
      </w:r>
    </w:p>
  </w:footnote>
  <w:footnote w:id="19">
    <w:p w14:paraId="03C44F98" w14:textId="13F52A03" w:rsidR="00CA313D" w:rsidRPr="00E74CE2" w:rsidRDefault="00CA313D">
      <w:pPr>
        <w:pStyle w:val="FootnoteText"/>
      </w:pPr>
      <w:r w:rsidRPr="00E74CE2">
        <w:rPr>
          <w:rStyle w:val="FootnoteReference"/>
        </w:rPr>
        <w:footnoteRef/>
      </w:r>
      <w:r w:rsidRPr="00E74CE2">
        <w:t xml:space="preserve"> </w:t>
      </w:r>
      <w:r w:rsidR="00450197" w:rsidRPr="00E74CE2">
        <w:t>The interim evaluation of the SMP indicated that SMP funding supports the development of legally required digital tools, such as interfaces to facilitate the exchange of electronic data between national customs systems and the ICSMS, as well as between market surveillance systems and the ICSMS. Other digital tools include Safety Gate, the rapid alert system for dangerous non-food products.</w:t>
      </w:r>
    </w:p>
  </w:footnote>
  <w:footnote w:id="20">
    <w:p w14:paraId="2B85C9EB" w14:textId="146371F7" w:rsidR="00002351" w:rsidRPr="00E74CE2" w:rsidRDefault="00B7377E">
      <w:pPr>
        <w:pStyle w:val="FootnoteText"/>
      </w:pPr>
      <w:r w:rsidRPr="00E74CE2">
        <w:rPr>
          <w:rStyle w:val="FootnoteReference"/>
        </w:rPr>
        <w:footnoteRef/>
      </w:r>
      <w:r w:rsidRPr="00E74CE2">
        <w:t xml:space="preserve"> </w:t>
      </w:r>
      <w:r w:rsidR="0083222A" w:rsidRPr="00E74CE2">
        <w:t xml:space="preserve">Customs programme: </w:t>
      </w:r>
      <w:r w:rsidR="00483F38" w:rsidRPr="00E74CE2">
        <w:t>Further details</w:t>
      </w:r>
      <w:r w:rsidR="00B32194" w:rsidRPr="00E74CE2">
        <w:t xml:space="preserve">, work programmes and annual progress reports: </w:t>
      </w:r>
      <w:hyperlink r:id="rId12" w:history="1">
        <w:r w:rsidR="00B32194" w:rsidRPr="00E74CE2">
          <w:rPr>
            <w:rStyle w:val="Hyperlink"/>
          </w:rPr>
          <w:t>https://taxation-customs.ec.europa.eu/about-us/eu-funding-customs-and-tax/customs-programme_en</w:t>
        </w:r>
      </w:hyperlink>
      <w:r w:rsidR="00B32194" w:rsidRPr="00E74CE2">
        <w:t xml:space="preserve"> </w:t>
      </w:r>
    </w:p>
  </w:footnote>
  <w:footnote w:id="21">
    <w:p w14:paraId="45434930" w14:textId="21556F9C" w:rsidR="008A751E" w:rsidRPr="00E74CE2" w:rsidRDefault="008A751E">
      <w:pPr>
        <w:pStyle w:val="FootnoteText"/>
      </w:pPr>
      <w:r w:rsidRPr="00E74CE2">
        <w:rPr>
          <w:rStyle w:val="FootnoteReference"/>
        </w:rPr>
        <w:footnoteRef/>
      </w:r>
      <w:r w:rsidRPr="00E74CE2">
        <w:t xml:space="preserve"> </w:t>
      </w:r>
      <w:r w:rsidR="00205703" w:rsidRPr="00E74CE2">
        <w:t xml:space="preserve">Customs Control Equipment Instrument: </w:t>
      </w:r>
      <w:r w:rsidR="00A55A90" w:rsidRPr="00E74CE2">
        <w:t>Further details, w</w:t>
      </w:r>
      <w:r w:rsidR="00592EC0" w:rsidRPr="00E74CE2">
        <w:t xml:space="preserve">ork programmes and annual progress reports: </w:t>
      </w:r>
      <w:hyperlink r:id="rId13" w:history="1">
        <w:r w:rsidR="00592EC0" w:rsidRPr="00E74CE2">
          <w:rPr>
            <w:rStyle w:val="Hyperlink"/>
          </w:rPr>
          <w:t>https://taxation-customs.ec.europa.eu/about-us/eu-funding-customs-and-tax/customs-control-equipment-instrument_en</w:t>
        </w:r>
      </w:hyperlink>
      <w:r w:rsidR="00592EC0" w:rsidRPr="00E74CE2">
        <w:t xml:space="preserve"> </w:t>
      </w:r>
    </w:p>
  </w:footnote>
  <w:footnote w:id="22">
    <w:p w14:paraId="3B607AF1" w14:textId="30486556" w:rsidR="00592EC0" w:rsidRPr="00E74CE2" w:rsidRDefault="00592EC0">
      <w:pPr>
        <w:pStyle w:val="FootnoteText"/>
      </w:pPr>
      <w:r w:rsidRPr="00E74CE2">
        <w:rPr>
          <w:rStyle w:val="FootnoteReference"/>
        </w:rPr>
        <w:footnoteRef/>
      </w:r>
      <w:r w:rsidRPr="00E74CE2">
        <w:t xml:space="preserve"> </w:t>
      </w:r>
      <w:r w:rsidR="0083222A" w:rsidRPr="00E74CE2">
        <w:t xml:space="preserve">Fiscalis programme: </w:t>
      </w:r>
      <w:r w:rsidR="00A55A90" w:rsidRPr="00E74CE2">
        <w:t>Further details, w</w:t>
      </w:r>
      <w:r w:rsidR="00D56155" w:rsidRPr="00E74CE2">
        <w:t>ork programme</w:t>
      </w:r>
      <w:r w:rsidR="00A55A90" w:rsidRPr="00E74CE2">
        <w:t xml:space="preserve">s and annual progress reports: </w:t>
      </w:r>
      <w:hyperlink r:id="rId14" w:history="1">
        <w:r w:rsidR="00483F38" w:rsidRPr="00E74CE2">
          <w:rPr>
            <w:rStyle w:val="Hyperlink"/>
          </w:rPr>
          <w:t>https://taxation-customs.ec.europa.eu/about-us/eu-funding-customs-and-tax/fiscalis-programme_en</w:t>
        </w:r>
      </w:hyperlink>
      <w:r w:rsidR="00483F38" w:rsidRPr="00E74CE2">
        <w:t xml:space="preserve"> </w:t>
      </w:r>
    </w:p>
  </w:footnote>
  <w:footnote w:id="23">
    <w:p w14:paraId="05A3F613" w14:textId="0830624D" w:rsidR="5D30A8A5" w:rsidRPr="00E74CE2" w:rsidRDefault="5D30A8A5" w:rsidP="5D30A8A5">
      <w:pPr>
        <w:rPr>
          <w:rFonts w:eastAsia="Times New Roman"/>
          <w:sz w:val="20"/>
          <w:szCs w:val="20"/>
        </w:rPr>
      </w:pPr>
      <w:r w:rsidRPr="00E74CE2">
        <w:rPr>
          <w:rStyle w:val="FootnoteReference"/>
          <w:rFonts w:eastAsiaTheme="minorEastAsia"/>
          <w:sz w:val="20"/>
          <w:szCs w:val="20"/>
        </w:rPr>
        <w:footnoteRef/>
      </w:r>
      <w:r w:rsidRPr="00E74CE2">
        <w:rPr>
          <w:sz w:val="20"/>
          <w:szCs w:val="20"/>
        </w:rPr>
        <w:t xml:space="preserve"> </w:t>
      </w:r>
      <w:hyperlink r:id="rId15" w:anchor=":~:text=The%20EU%20Anti-Fraud%20Programme%20%28UAFP%29%20provides%20financial%20support,countries%20to%20fight%20fraud%20against%20the%20EU%20budget." w:history="1">
        <w:r w:rsidRPr="00E74CE2">
          <w:rPr>
            <w:rFonts w:eastAsiaTheme="minorEastAsia"/>
            <w:sz w:val="20"/>
            <w:szCs w:val="20"/>
          </w:rPr>
          <w:t>Union Anti-Fraud Programme (UAFP) - European Commission</w:t>
        </w:r>
      </w:hyperlink>
      <w:r w:rsidR="00B262AF" w:rsidRPr="00E74CE2">
        <w:rPr>
          <w:rFonts w:eastAsiaTheme="minorEastAsia"/>
          <w:sz w:val="20"/>
          <w:szCs w:val="20"/>
        </w:rPr>
        <w:t>.</w:t>
      </w:r>
    </w:p>
  </w:footnote>
  <w:footnote w:id="24">
    <w:p w14:paraId="51F5523A" w14:textId="3B6199FC" w:rsidR="0069268A" w:rsidRPr="00E74CE2" w:rsidRDefault="0069268A">
      <w:pPr>
        <w:pStyle w:val="FootnoteText"/>
      </w:pPr>
      <w:r w:rsidRPr="00E74CE2">
        <w:rPr>
          <w:rStyle w:val="FootnoteReference"/>
        </w:rPr>
        <w:footnoteRef/>
      </w:r>
      <w:r w:rsidRPr="00E74CE2">
        <w:t xml:space="preserve"> The feedback collected during the public consultation </w:t>
      </w:r>
      <w:r w:rsidR="00B345AA" w:rsidRPr="00E74CE2">
        <w:t xml:space="preserve">indicated that </w:t>
      </w:r>
      <w:r w:rsidRPr="00E74CE2">
        <w:t>ensuring that rulemaking, standard-setting, and enforcement at the EU level remain evidence-based, effective, and tailored to evolving needs (</w:t>
      </w:r>
      <w:r w:rsidR="003A2748" w:rsidRPr="00E74CE2">
        <w:t>92</w:t>
      </w:r>
      <w:r w:rsidRPr="00E74CE2">
        <w:t xml:space="preserve">%, </w:t>
      </w:r>
      <w:r w:rsidR="00C76120" w:rsidRPr="00E74CE2">
        <w:t>615 out of 673</w:t>
      </w:r>
      <w:r w:rsidRPr="00E74CE2">
        <w:t>) and improving cooperation, collaborative efforts, and integration among member states and the Commission (</w:t>
      </w:r>
      <w:r w:rsidR="001070D9" w:rsidRPr="00E74CE2">
        <w:t>87%, 587 out of 672</w:t>
      </w:r>
      <w:r w:rsidRPr="00E74CE2">
        <w:t>) emerged as the most widely recognised challenges.</w:t>
      </w:r>
    </w:p>
  </w:footnote>
  <w:footnote w:id="25">
    <w:p w14:paraId="62562325" w14:textId="09D372E5" w:rsidR="00AF409F" w:rsidRPr="00E74CE2" w:rsidRDefault="00AF409F">
      <w:pPr>
        <w:pStyle w:val="FootnoteText"/>
      </w:pPr>
      <w:r w:rsidRPr="00E74CE2">
        <w:rPr>
          <w:rStyle w:val="FootnoteReference"/>
        </w:rPr>
        <w:footnoteRef/>
      </w:r>
      <w:r w:rsidRPr="00E74CE2">
        <w:t xml:space="preserve"> </w:t>
      </w:r>
      <w:r w:rsidR="00995FC9" w:rsidRPr="00E74CE2">
        <w:t>Communication on the R</w:t>
      </w:r>
      <w:r w:rsidR="00F5276E" w:rsidRPr="00E74CE2">
        <w:t>oad to the next multiannual financial framework, COM(2025)46 final</w:t>
      </w:r>
      <w:r w:rsidR="00343185">
        <w:t>.</w:t>
      </w:r>
    </w:p>
  </w:footnote>
  <w:footnote w:id="26">
    <w:p w14:paraId="44842D2B" w14:textId="49412877" w:rsidR="004637E0" w:rsidRPr="00E74CE2" w:rsidRDefault="004637E0">
      <w:pPr>
        <w:pStyle w:val="FootnoteText"/>
        <w:rPr>
          <w:lang w:val="en-IE"/>
        </w:rPr>
      </w:pPr>
      <w:r w:rsidRPr="00E74CE2">
        <w:rPr>
          <w:rStyle w:val="FootnoteReference"/>
        </w:rPr>
        <w:footnoteRef/>
      </w:r>
      <w:r w:rsidRPr="00E74CE2">
        <w:t xml:space="preserve"> </w:t>
      </w:r>
      <w:r w:rsidR="00A144B6" w:rsidRPr="00E74CE2">
        <w:t xml:space="preserve">The public consultation demonstrated that the following intervention areas were </w:t>
      </w:r>
      <w:r w:rsidR="000006EF" w:rsidRPr="00E74CE2">
        <w:t>identified as</w:t>
      </w:r>
      <w:r w:rsidR="005C6E8B" w:rsidRPr="00E74CE2">
        <w:t xml:space="preserve"> most important:</w:t>
      </w:r>
      <w:r w:rsidR="00A144B6" w:rsidRPr="00E74CE2">
        <w:t xml:space="preserve"> supporting fair competition ranked highest, with </w:t>
      </w:r>
      <w:r w:rsidR="001434C7" w:rsidRPr="00E74CE2">
        <w:t>83</w:t>
      </w:r>
      <w:r w:rsidR="00A144B6" w:rsidRPr="00E74CE2">
        <w:t>% (</w:t>
      </w:r>
      <w:r w:rsidR="00352E8A" w:rsidRPr="00E74CE2">
        <w:t>546 out of 655</w:t>
      </w:r>
      <w:r w:rsidR="00A144B6" w:rsidRPr="00E74CE2">
        <w:t>) rating it as (very)</w:t>
      </w:r>
      <w:r w:rsidR="005C6E8B" w:rsidRPr="00E74CE2">
        <w:t xml:space="preserve">, </w:t>
      </w:r>
      <w:r w:rsidR="00A144B6" w:rsidRPr="00E74CE2">
        <w:t>followed by supporting standardisation efforts (</w:t>
      </w:r>
      <w:r w:rsidR="00492D5D" w:rsidRPr="00E74CE2">
        <w:t>81%, 550 out of 682</w:t>
      </w:r>
      <w:r w:rsidR="00A144B6" w:rsidRPr="00E74CE2">
        <w:t>) and deploying common and/or interoperable digital solutions, including portals and tools (</w:t>
      </w:r>
      <w:r w:rsidR="00E73FC4" w:rsidRPr="00E74CE2">
        <w:t>76</w:t>
      </w:r>
      <w:r w:rsidR="00A144B6" w:rsidRPr="00E74CE2">
        <w:t xml:space="preserve">%, </w:t>
      </w:r>
      <w:r w:rsidR="00861FFF" w:rsidRPr="00E74CE2">
        <w:t xml:space="preserve">492 </w:t>
      </w:r>
      <w:r w:rsidR="00A144B6" w:rsidRPr="00E74CE2">
        <w:t xml:space="preserve">out of </w:t>
      </w:r>
      <w:r w:rsidR="00E73FC4" w:rsidRPr="00E74CE2">
        <w:t>648</w:t>
      </w:r>
      <w:r w:rsidR="00A144B6" w:rsidRPr="00E74CE2">
        <w:t>)</w:t>
      </w:r>
      <w:r w:rsidR="005C6E8B" w:rsidRPr="00E74CE2">
        <w:t>.</w:t>
      </w:r>
    </w:p>
  </w:footnote>
  <w:footnote w:id="27">
    <w:p w14:paraId="1587D639" w14:textId="5E747B10" w:rsidR="00D273EE" w:rsidRPr="00E74CE2" w:rsidRDefault="00D273EE">
      <w:pPr>
        <w:pStyle w:val="FootnoteText"/>
      </w:pPr>
    </w:p>
  </w:footnote>
  <w:footnote w:id="28">
    <w:p w14:paraId="096EFA04" w14:textId="21C08E2F" w:rsidR="008F4081" w:rsidRPr="00E74CE2" w:rsidRDefault="008F4081">
      <w:pPr>
        <w:pStyle w:val="FootnoteText"/>
        <w:rPr>
          <w:lang w:val="en-IE"/>
        </w:rPr>
      </w:pPr>
      <w:r w:rsidRPr="00E74CE2">
        <w:rPr>
          <w:rStyle w:val="FootnoteReference"/>
        </w:rPr>
        <w:footnoteRef/>
      </w:r>
      <w:r w:rsidRPr="00E74CE2">
        <w:t xml:space="preserve"> </w:t>
      </w:r>
      <w:r w:rsidR="00CA3FD9" w:rsidRPr="00E74CE2">
        <w:t xml:space="preserve">Including </w:t>
      </w:r>
      <w:r w:rsidR="00753E28" w:rsidRPr="00E74CE2">
        <w:t>80</w:t>
      </w:r>
      <w:r w:rsidR="00CA3FD9" w:rsidRPr="00E74CE2">
        <w:t>% of member states authorities (</w:t>
      </w:r>
      <w:r w:rsidR="00753E28" w:rsidRPr="00E74CE2">
        <w:t>76</w:t>
      </w:r>
      <w:r w:rsidR="00AB545E" w:rsidRPr="00E74CE2">
        <w:t xml:space="preserve"> out of </w:t>
      </w:r>
      <w:r w:rsidR="00753E28" w:rsidRPr="00E74CE2">
        <w:t>95</w:t>
      </w:r>
      <w:r w:rsidR="00AB545E" w:rsidRPr="00E74CE2">
        <w:t>)</w:t>
      </w:r>
      <w:r w:rsidR="00CA3FD9" w:rsidRPr="00E74CE2">
        <w:t>.</w:t>
      </w:r>
    </w:p>
  </w:footnote>
  <w:footnote w:id="29">
    <w:p w14:paraId="7609E1F6" w14:textId="41CE8B87" w:rsidR="00EF42FC" w:rsidRPr="00E74CE2" w:rsidRDefault="00EF42FC">
      <w:pPr>
        <w:pStyle w:val="FootnoteText"/>
      </w:pPr>
      <w:r w:rsidRPr="00E74CE2">
        <w:rPr>
          <w:rStyle w:val="FootnoteReference"/>
        </w:rPr>
        <w:footnoteRef/>
      </w:r>
      <w:r w:rsidRPr="00E74CE2">
        <w:t xml:space="preserve"> </w:t>
      </w:r>
      <w:hyperlink r:id="rId16" w:history="1">
        <w:r w:rsidR="00A5730C" w:rsidRPr="00E74CE2">
          <w:rPr>
            <w:rStyle w:val="Hyperlink"/>
          </w:rPr>
          <w:t>Letta</w:t>
        </w:r>
      </w:hyperlink>
      <w:r w:rsidR="00A5730C" w:rsidRPr="00E74CE2">
        <w:t xml:space="preserve"> Report and other </w:t>
      </w:r>
      <w:hyperlink r:id="rId17" w:history="1">
        <w:r w:rsidR="00A5730C" w:rsidRPr="00E74CE2">
          <w:rPr>
            <w:rStyle w:val="Hyperlink"/>
          </w:rPr>
          <w:t>Commission reports</w:t>
        </w:r>
      </w:hyperlink>
      <w:r w:rsidR="00A5730C" w:rsidRPr="00E74CE2">
        <w:t>.</w:t>
      </w:r>
    </w:p>
  </w:footnote>
  <w:footnote w:id="30">
    <w:p w14:paraId="4B006AB9" w14:textId="37F92071" w:rsidR="00B7799D" w:rsidRPr="00E74CE2" w:rsidRDefault="00B7799D">
      <w:pPr>
        <w:pStyle w:val="FootnoteText"/>
      </w:pPr>
      <w:r w:rsidRPr="00E74CE2">
        <w:rPr>
          <w:rStyle w:val="FootnoteReference"/>
        </w:rPr>
        <w:footnoteRef/>
      </w:r>
      <w:r w:rsidRPr="00E74CE2">
        <w:t xml:space="preserve"> </w:t>
      </w:r>
      <w:r w:rsidR="00700433" w:rsidRPr="00E74CE2">
        <w:t>Initiatives such as Consumer Law Ready and Consumer PRO have successfully raised awareness of consumer rights among SMEs and strengthen the capacity of consumer professionals. For instance, Consumer Law Ready trained 1 069 people between July 2021 and March 2023, with SME trainers (i.e. multipliers) representing 49% and SMEs representing 51% of the total participants (</w:t>
      </w:r>
      <w:hyperlink r:id="rId18" w:history="1">
        <w:r w:rsidR="0018467F" w:rsidRPr="00E74CE2">
          <w:rPr>
            <w:rStyle w:val="Hyperlink"/>
          </w:rPr>
          <w:t xml:space="preserve">SME homepage | </w:t>
        </w:r>
        <w:bookmarkStart w:id="15" w:name="_Hlt178685409"/>
        <w:bookmarkStart w:id="16" w:name="_Hlt178685410"/>
        <w:r w:rsidR="0018467F" w:rsidRPr="00E74CE2">
          <w:rPr>
            <w:rStyle w:val="Hyperlink"/>
          </w:rPr>
          <w:t>C</w:t>
        </w:r>
        <w:bookmarkEnd w:id="15"/>
        <w:bookmarkEnd w:id="16"/>
        <w:r w:rsidR="0018467F" w:rsidRPr="00E74CE2">
          <w:rPr>
            <w:rStyle w:val="Hyperlink"/>
          </w:rPr>
          <w:t>onsumer Law Ready</w:t>
        </w:r>
      </w:hyperlink>
      <w:r w:rsidR="0018467F" w:rsidRPr="00E74CE2">
        <w:t>).</w:t>
      </w:r>
    </w:p>
  </w:footnote>
  <w:footnote w:id="31">
    <w:p w14:paraId="1E57DB6D" w14:textId="77777777" w:rsidR="00C35639" w:rsidRPr="00E74CE2" w:rsidRDefault="00C35639" w:rsidP="00C35639">
      <w:pPr>
        <w:pStyle w:val="FootnoteText"/>
      </w:pPr>
      <w:r w:rsidRPr="00E74CE2">
        <w:rPr>
          <w:rStyle w:val="FootnoteReference"/>
        </w:rPr>
        <w:footnoteRef/>
      </w:r>
      <w:r w:rsidRPr="00E74CE2">
        <w:t xml:space="preserve"> Eurobarometer 430: European Union citizenship, March 2016.</w:t>
      </w:r>
    </w:p>
  </w:footnote>
  <w:footnote w:id="32">
    <w:p w14:paraId="6817DFF1" w14:textId="34743799" w:rsidR="00092EBF" w:rsidRPr="00E74CE2" w:rsidRDefault="00092EBF">
      <w:pPr>
        <w:pStyle w:val="FootnoteText"/>
      </w:pPr>
      <w:r w:rsidRPr="00E74CE2">
        <w:rPr>
          <w:rStyle w:val="FootnoteReference"/>
        </w:rPr>
        <w:footnoteRef/>
      </w:r>
      <w:r w:rsidRPr="00E74CE2">
        <w:t xml:space="preserve"> </w:t>
      </w:r>
      <w:hyperlink r:id="rId19" w:history="1">
        <w:r w:rsidR="00776A17" w:rsidRPr="00E74CE2">
          <w:rPr>
            <w:rStyle w:val="Hyperlink"/>
          </w:rPr>
          <w:t>Single Market Strategy</w:t>
        </w:r>
      </w:hyperlink>
      <w:r w:rsidR="00F4386B" w:rsidRPr="00E74CE2">
        <w:t>.</w:t>
      </w:r>
    </w:p>
  </w:footnote>
  <w:footnote w:id="33">
    <w:p w14:paraId="54B2E8A9" w14:textId="4F10C1A0" w:rsidR="00155892" w:rsidRPr="00E74CE2" w:rsidRDefault="00155892">
      <w:pPr>
        <w:pStyle w:val="FootnoteText"/>
      </w:pPr>
      <w:r w:rsidRPr="00E74CE2">
        <w:rPr>
          <w:rStyle w:val="FootnoteReference"/>
        </w:rPr>
        <w:footnoteRef/>
      </w:r>
      <w:r w:rsidRPr="00E74CE2">
        <w:t xml:space="preserve"> </w:t>
      </w:r>
      <w:r w:rsidR="00CA0665" w:rsidRPr="00E74CE2">
        <w:t>F</w:t>
      </w:r>
      <w:r w:rsidR="008B7F4C" w:rsidRPr="00E74CE2">
        <w:t>or example, the National enforcement authorities within the Consumer Protection Cooperation network (CPC), are responsible for the enforcement of consumer protections laws and takes action to address cross-border compliance with EU laws impacting consumers</w:t>
      </w:r>
      <w:r w:rsidR="007203D1" w:rsidRPr="00E74CE2">
        <w:t>, (</w:t>
      </w:r>
      <w:hyperlink r:id="rId20" w:anchor=":~:text=Learn%20how%20national%20and%20EU%20authorities" w:history="1">
        <w:r w:rsidR="007203D1" w:rsidRPr="00E74CE2">
          <w:rPr>
            <w:rStyle w:val="Hyperlink"/>
          </w:rPr>
          <w:t>Consumer Protection Cooperation Network - European Commission</w:t>
        </w:r>
      </w:hyperlink>
      <w:r w:rsidR="007203D1" w:rsidRPr="00E74CE2">
        <w:t>)</w:t>
      </w:r>
      <w:r w:rsidR="007203D1" w:rsidRPr="00E74CE2">
        <w:rPr>
          <w:u w:val="single"/>
        </w:rPr>
        <w:t>.</w:t>
      </w:r>
    </w:p>
  </w:footnote>
  <w:footnote w:id="34">
    <w:p w14:paraId="70919E1D" w14:textId="151D41D3" w:rsidR="00745B6F" w:rsidRPr="00E74CE2" w:rsidRDefault="00745B6F">
      <w:pPr>
        <w:pStyle w:val="FootnoteText"/>
      </w:pPr>
      <w:r w:rsidRPr="00E74CE2">
        <w:rPr>
          <w:rStyle w:val="FootnoteReference"/>
        </w:rPr>
        <w:footnoteRef/>
      </w:r>
      <w:r w:rsidRPr="00E74CE2">
        <w:t xml:space="preserve"> </w:t>
      </w:r>
      <w:r w:rsidR="00616FC8" w:rsidRPr="00E74CE2">
        <w:t xml:space="preserve">At the time of writing the draft impact assessment, </w:t>
      </w:r>
      <w:r w:rsidR="00696B6B" w:rsidRPr="00E74CE2">
        <w:t xml:space="preserve">the interim evaluation of the EU Customs programme </w:t>
      </w:r>
      <w:r w:rsidR="00204A92" w:rsidRPr="00E74CE2">
        <w:t xml:space="preserve">has not yet been completed, therefore </w:t>
      </w:r>
      <w:r w:rsidR="00F107D1" w:rsidRPr="00E74CE2">
        <w:t>any findings should be considered as preliminary.</w:t>
      </w:r>
      <w:r w:rsidRPr="00E74CE2">
        <w:t xml:space="preserve"> The studies and the related Commission report and SWD can </w:t>
      </w:r>
      <w:r w:rsidR="00587F32" w:rsidRPr="00E74CE2">
        <w:t xml:space="preserve">therefore </w:t>
      </w:r>
      <w:r w:rsidRPr="00E74CE2">
        <w:t xml:space="preserve">be made available at a later stage. </w:t>
      </w:r>
    </w:p>
  </w:footnote>
  <w:footnote w:id="35">
    <w:p w14:paraId="5A2B8479" w14:textId="77777777" w:rsidR="009F56B4" w:rsidRPr="00E74CE2" w:rsidDel="002C1F8A" w:rsidRDefault="009F56B4" w:rsidP="009F56B4">
      <w:pPr>
        <w:pStyle w:val="FootnoteText"/>
      </w:pPr>
      <w:r w:rsidRPr="00E74CE2" w:rsidDel="002C1F8A">
        <w:rPr>
          <w:rStyle w:val="FootnoteReference"/>
        </w:rPr>
        <w:footnoteRef/>
      </w:r>
      <w:r w:rsidRPr="00E74CE2" w:rsidDel="002C1F8A">
        <w:t xml:space="preserve"> European Parliament resolution of 10 March 2022 with recommendations to the Commission on fair and simple taxation supporting the recovery strategy (P9_TA</w:t>
      </w:r>
      <w:r w:rsidR="00C1235F" w:rsidRPr="00E74CE2" w:rsidDel="002C1F8A">
        <w:t xml:space="preserve"> </w:t>
      </w:r>
      <w:r w:rsidRPr="00E74CE2" w:rsidDel="002C1F8A">
        <w:t>(2022)0082).</w:t>
      </w:r>
    </w:p>
  </w:footnote>
  <w:footnote w:id="36">
    <w:p w14:paraId="5285FBE5" w14:textId="6FF662F7" w:rsidR="009F56B4" w:rsidRPr="00E74CE2" w:rsidDel="002C1F8A" w:rsidRDefault="009F56B4" w:rsidP="009F56B4">
      <w:pPr>
        <w:pStyle w:val="FootnoteText"/>
      </w:pPr>
      <w:r w:rsidRPr="00E74CE2" w:rsidDel="002C1F8A">
        <w:rPr>
          <w:rStyle w:val="FootnoteReference"/>
        </w:rPr>
        <w:footnoteRef/>
      </w:r>
      <w:r w:rsidRPr="00E74CE2" w:rsidDel="002C1F8A">
        <w:t xml:space="preserve"> Commission Communication on a comprehensive EU toolbox for safe and sustainable e-commerce COM (2025) 37 final</w:t>
      </w:r>
    </w:p>
  </w:footnote>
  <w:footnote w:id="37">
    <w:p w14:paraId="12C2FCE5" w14:textId="3E3317AA" w:rsidR="00236EF8" w:rsidRPr="00E74CE2" w:rsidRDefault="00236EF8">
      <w:pPr>
        <w:pStyle w:val="FootnoteText"/>
      </w:pPr>
      <w:r w:rsidRPr="00E74CE2">
        <w:rPr>
          <w:rStyle w:val="FootnoteReference"/>
        </w:rPr>
        <w:footnoteRef/>
      </w:r>
      <w:r w:rsidRPr="00E74CE2">
        <w:t xml:space="preserve"> </w:t>
      </w:r>
      <w:hyperlink r:id="rId21" w:history="1">
        <w:r w:rsidRPr="00E74CE2">
          <w:rPr>
            <w:rStyle w:val="Hyperlink"/>
          </w:rPr>
          <w:t>Single Market Strategy</w:t>
        </w:r>
      </w:hyperlink>
      <w:r w:rsidR="00AC4673" w:rsidRPr="00E74CE2">
        <w:t>.</w:t>
      </w:r>
    </w:p>
  </w:footnote>
  <w:footnote w:id="38">
    <w:p w14:paraId="70E13196" w14:textId="7326FB19" w:rsidR="00F07F84" w:rsidRPr="00E74CE2" w:rsidRDefault="00F07F84" w:rsidP="00F07F84">
      <w:pPr>
        <w:pStyle w:val="FootnoteText"/>
      </w:pPr>
      <w:r w:rsidRPr="00E74CE2">
        <w:rPr>
          <w:rStyle w:val="FootnoteReference"/>
        </w:rPr>
        <w:footnoteRef/>
      </w:r>
      <w:r w:rsidRPr="00E74CE2">
        <w:rPr>
          <w:lang w:val="en-IE"/>
        </w:rPr>
        <w:t xml:space="preserve"> </w:t>
      </w:r>
      <w:r w:rsidR="0080320D" w:rsidRPr="00E74CE2">
        <w:t xml:space="preserve">In 2021, it recorded 58.3 million visits, in 2022 42 million. </w:t>
      </w:r>
      <w:r w:rsidRPr="00E74CE2">
        <w:rPr>
          <w:lang w:val="en-IE"/>
        </w:rPr>
        <w:t xml:space="preserve">In 2019 35,9 million, and in 2020 32,7 million. </w:t>
      </w:r>
      <w:r w:rsidRPr="00E74CE2">
        <w:t>DG GROW Annual Activity Reports 20219 to 2023</w:t>
      </w:r>
    </w:p>
  </w:footnote>
  <w:footnote w:id="39">
    <w:p w14:paraId="21117503" w14:textId="36E37DE3" w:rsidR="006B2B51" w:rsidRPr="00E74CE2" w:rsidRDefault="006B2B51">
      <w:pPr>
        <w:pStyle w:val="FootnoteText"/>
      </w:pPr>
      <w:r w:rsidRPr="00E74CE2">
        <w:rPr>
          <w:rStyle w:val="FootnoteReference"/>
        </w:rPr>
        <w:footnoteRef/>
      </w:r>
      <w:r w:rsidRPr="00E74CE2">
        <w:t xml:space="preserve"> 20 071 queries in 2022, and 19 002 in 2021, although slightly fewer than the 25 281 handled in 2020.</w:t>
      </w:r>
    </w:p>
  </w:footnote>
  <w:footnote w:id="40">
    <w:p w14:paraId="0A382E73" w14:textId="77777777" w:rsidR="00F07F84" w:rsidRPr="00E74CE2" w:rsidRDefault="00F07F84" w:rsidP="00F07F84">
      <w:pPr>
        <w:pStyle w:val="FootnoteText"/>
        <w:tabs>
          <w:tab w:val="left" w:pos="142"/>
        </w:tabs>
        <w:jc w:val="left"/>
        <w:rPr>
          <w:lang w:val="da-DK"/>
        </w:rPr>
      </w:pPr>
      <w:r w:rsidRPr="00E74CE2">
        <w:rPr>
          <w:rStyle w:val="FootnoteReference"/>
        </w:rPr>
        <w:footnoteRef/>
      </w:r>
      <w:r w:rsidRPr="00E74CE2">
        <w:rPr>
          <w:lang w:val="da-DK"/>
        </w:rPr>
        <w:t xml:space="preserve"> </w:t>
      </w:r>
      <w:hyperlink r:id="rId22">
        <w:r w:rsidRPr="00E74CE2">
          <w:rPr>
            <w:rStyle w:val="Hyperlink"/>
            <w:lang w:val="da-DK"/>
          </w:rPr>
          <w:t>Internal Market Information System (IMI) | Market Scoreboard (europa.eu)</w:t>
        </w:r>
      </w:hyperlink>
    </w:p>
  </w:footnote>
  <w:footnote w:id="41">
    <w:p w14:paraId="4FE33945" w14:textId="79F5D799" w:rsidR="00471640" w:rsidRPr="00E74CE2" w:rsidRDefault="00471640">
      <w:pPr>
        <w:pStyle w:val="FootnoteText"/>
      </w:pPr>
      <w:r w:rsidRPr="00E74CE2">
        <w:rPr>
          <w:rStyle w:val="FootnoteReference"/>
        </w:rPr>
        <w:footnoteRef/>
      </w:r>
      <w:r w:rsidRPr="00E74CE2">
        <w:t xml:space="preserve"> For instance, i</w:t>
      </w:r>
      <w:r w:rsidRPr="00E74CE2">
        <w:rPr>
          <w:rFonts w:eastAsia="Calibri"/>
        </w:rPr>
        <w:t>n 2024 the ECC-Net's legal experts assisted over 134,000 European consumers, facilitating the recovery of EUR 5.7 million through amicable settlements.</w:t>
      </w:r>
    </w:p>
  </w:footnote>
  <w:footnote w:id="42">
    <w:p w14:paraId="285AAC00" w14:textId="77777777" w:rsidR="00F07F84" w:rsidRPr="00E74CE2" w:rsidRDefault="00F07F84" w:rsidP="00F07F84">
      <w:pPr>
        <w:pStyle w:val="FootnoteText"/>
      </w:pPr>
      <w:r w:rsidRPr="00E74CE2">
        <w:rPr>
          <w:rStyle w:val="FootnoteReference"/>
        </w:rPr>
        <w:footnoteRef/>
      </w:r>
      <w:r w:rsidRPr="00E74CE2">
        <w:t xml:space="preserve"> For example: eLearnings on drug-precursors, VAT rates, VAT refund or the e-commerce programme with 5 modules about OSS/IOSS schemes.</w:t>
      </w:r>
    </w:p>
  </w:footnote>
  <w:footnote w:id="43">
    <w:p w14:paraId="398534A6" w14:textId="77777777" w:rsidR="00F07F84" w:rsidRPr="00E74CE2" w:rsidRDefault="00F07F84" w:rsidP="00F07F84">
      <w:pPr>
        <w:pStyle w:val="FootnoteText"/>
      </w:pPr>
      <w:r w:rsidRPr="00E74CE2">
        <w:rPr>
          <w:rStyle w:val="FootnoteReference"/>
        </w:rPr>
        <w:footnoteRef/>
      </w:r>
      <w:r w:rsidRPr="00E74CE2">
        <w:t xml:space="preserve"> https://taxedu.campaign.europa.eu/</w:t>
      </w:r>
    </w:p>
  </w:footnote>
  <w:footnote w:id="44">
    <w:p w14:paraId="46418412" w14:textId="77777777" w:rsidR="00F07F84" w:rsidRPr="00E74CE2" w:rsidRDefault="00F07F84" w:rsidP="00F07F84">
      <w:pPr>
        <w:pStyle w:val="FootnoteText"/>
      </w:pPr>
      <w:r w:rsidRPr="00E74CE2">
        <w:footnoteRef/>
      </w:r>
      <w:r w:rsidRPr="00E74CE2">
        <w:t xml:space="preserve"> </w:t>
      </w:r>
      <w:hyperlink r:id="rId23" w:history="1">
        <w:r w:rsidRPr="00E74CE2">
          <w:rPr>
            <w:rStyle w:val="Hyperlink"/>
          </w:rPr>
          <w:t>Union Customs Code Annual Progress Report 2023</w:t>
        </w:r>
      </w:hyperlink>
      <w:r w:rsidRPr="00E74CE2">
        <w:t xml:space="preserve"> (the report on 2024 will be soon available) </w:t>
      </w:r>
    </w:p>
  </w:footnote>
  <w:footnote w:id="45">
    <w:p w14:paraId="5A74701E" w14:textId="63DB9FE9" w:rsidR="00F07F84" w:rsidRPr="00E74CE2" w:rsidRDefault="00F07F84" w:rsidP="00F07F84">
      <w:pPr>
        <w:pStyle w:val="FootnoteText"/>
      </w:pPr>
      <w:r w:rsidRPr="00E74CE2">
        <w:rPr>
          <w:rStyle w:val="FootnoteReference"/>
        </w:rPr>
        <w:footnoteRef/>
      </w:r>
      <w:r w:rsidRPr="00E74CE2">
        <w:t xml:space="preserve"> SWD/2023/140 final</w:t>
      </w:r>
      <w:r w:rsidR="009B35A6" w:rsidRPr="00E74CE2">
        <w:t>.</w:t>
      </w:r>
    </w:p>
  </w:footnote>
  <w:footnote w:id="46">
    <w:p w14:paraId="3FFE16F9" w14:textId="508CE229" w:rsidR="00F07F84" w:rsidRPr="00E74CE2" w:rsidRDefault="00F07F84" w:rsidP="00F07F84">
      <w:pPr>
        <w:pStyle w:val="FootnoteText"/>
      </w:pPr>
      <w:r w:rsidRPr="00E74CE2">
        <w:rPr>
          <w:rStyle w:val="FootnoteReference"/>
        </w:rPr>
        <w:footnoteRef/>
      </w:r>
      <w:r w:rsidRPr="00E74CE2">
        <w:t xml:space="preserve"> SWD/2023/140 final - </w:t>
      </w:r>
      <w:r w:rsidRPr="00E74CE2">
        <w:rPr>
          <w:rFonts w:eastAsia="Calibri"/>
        </w:rPr>
        <w:t>For example, the public consultation accompanying the Customs Reform Proposal confirmed that respondents (77%) agreed with the need to simplify how information is provided on customs and to reduce administrative burden and formalities</w:t>
      </w:r>
      <w:r w:rsidR="009B35A6" w:rsidRPr="00E74CE2">
        <w:rPr>
          <w:rFonts w:eastAsia="Calibri"/>
        </w:rPr>
        <w:t>.</w:t>
      </w:r>
    </w:p>
  </w:footnote>
  <w:footnote w:id="47">
    <w:p w14:paraId="11C433C3" w14:textId="77777777" w:rsidR="00F07F84" w:rsidRPr="00E74CE2" w:rsidRDefault="00F07F84" w:rsidP="00F07F84">
      <w:pPr>
        <w:pStyle w:val="FootnoteText"/>
        <w:rPr>
          <w:lang w:val="en-IE"/>
        </w:rPr>
      </w:pPr>
      <w:r w:rsidRPr="00E74CE2">
        <w:rPr>
          <w:rStyle w:val="FootnoteReference"/>
        </w:rPr>
        <w:footnoteRef/>
      </w:r>
      <w:r w:rsidRPr="00E74CE2">
        <w:t xml:space="preserve"> https://taxation-customs.ec.europa.eu/customs-4/prohibitions-and-restrictions/eu-cash-controls_en</w:t>
      </w:r>
    </w:p>
  </w:footnote>
  <w:footnote w:id="48">
    <w:p w14:paraId="1F672037" w14:textId="4FA505C8" w:rsidR="009534D1" w:rsidRPr="00E74CE2" w:rsidDel="002C1F8A" w:rsidRDefault="009534D1" w:rsidP="009534D1">
      <w:pPr>
        <w:pStyle w:val="FootnoteText"/>
      </w:pPr>
      <w:r w:rsidRPr="00E74CE2" w:rsidDel="002C1F8A">
        <w:rPr>
          <w:rStyle w:val="FootnoteReference"/>
        </w:rPr>
        <w:footnoteRef/>
      </w:r>
      <w:r w:rsidRPr="00E74CE2" w:rsidDel="002C1F8A">
        <w:t xml:space="preserve"> </w:t>
      </w:r>
      <w:hyperlink r:id="rId24" w:history="1">
        <w:r w:rsidRPr="00E74CE2" w:rsidDel="002C1F8A">
          <w:rPr>
            <w:rStyle w:val="Hyperlink"/>
            <w:color w:val="0070C0"/>
          </w:rPr>
          <w:t>Enrico Letta, Much more than a</w:t>
        </w:r>
        <w:r w:rsidR="00F01511" w:rsidRPr="00E74CE2" w:rsidDel="002C1F8A">
          <w:rPr>
            <w:rStyle w:val="Hyperlink"/>
            <w:color w:val="0070C0"/>
          </w:rPr>
          <w:t xml:space="preserve"> </w:t>
        </w:r>
        <w:r w:rsidR="00EF24F1" w:rsidRPr="00E74CE2" w:rsidDel="002C1F8A">
          <w:rPr>
            <w:rStyle w:val="Hyperlink"/>
            <w:color w:val="0070C0"/>
          </w:rPr>
          <w:t>market</w:t>
        </w:r>
        <w:r w:rsidRPr="00E74CE2" w:rsidDel="002C1F8A">
          <w:rPr>
            <w:rStyle w:val="Hyperlink"/>
            <w:color w:val="0070C0"/>
          </w:rPr>
          <w:t>, April 2024</w:t>
        </w:r>
      </w:hyperlink>
      <w:r w:rsidR="009B35A6" w:rsidRPr="00E74CE2">
        <w:rPr>
          <w:rStyle w:val="Hyperlink"/>
          <w:color w:val="0070C0"/>
        </w:rPr>
        <w:t>.</w:t>
      </w:r>
    </w:p>
  </w:footnote>
  <w:footnote w:id="49">
    <w:p w14:paraId="48CEDB49" w14:textId="731B560C" w:rsidR="001E5615" w:rsidRPr="00E74CE2" w:rsidRDefault="001E5615">
      <w:pPr>
        <w:pStyle w:val="FootnoteText"/>
      </w:pPr>
      <w:r w:rsidRPr="00E74CE2">
        <w:rPr>
          <w:rStyle w:val="FootnoteReference"/>
        </w:rPr>
        <w:footnoteRef/>
      </w:r>
      <w:r w:rsidRPr="00E74CE2">
        <w:t xml:space="preserve"> </w:t>
      </w:r>
      <w:r w:rsidR="00902554" w:rsidRPr="00E74CE2">
        <w:t xml:space="preserve">MSAs </w:t>
      </w:r>
      <w:r w:rsidR="000C7D22" w:rsidRPr="00E74CE2">
        <w:t xml:space="preserve">expressed during the interim evaluation of the SMP viewing </w:t>
      </w:r>
      <w:r w:rsidR="00902554" w:rsidRPr="00E74CE2">
        <w:t>the European Union Testing Facilities (EUTF) and digital tools such as the Proactive Web Crawler (22 out of 32), Unique Identifiers (19 out of 32), and ICSMS (24 out of 31) as supportive of market surveillance efforts.</w:t>
      </w:r>
    </w:p>
  </w:footnote>
  <w:footnote w:id="50">
    <w:p w14:paraId="59F36A0A" w14:textId="77777777" w:rsidR="00184A31" w:rsidRPr="00E74CE2" w:rsidRDefault="00184A31" w:rsidP="00184A31">
      <w:pPr>
        <w:pStyle w:val="FootnoteText"/>
      </w:pPr>
      <w:r w:rsidRPr="00E74CE2">
        <w:rPr>
          <w:rStyle w:val="FootnoteReference"/>
        </w:rPr>
        <w:footnoteRef/>
      </w:r>
      <w:r w:rsidRPr="00E74CE2">
        <w:t xml:space="preserve"> Of the Market Surveillance Authorities (MSAs) surveyed during the interim evaluation of the SMP, 11 out of 19 see the EUTFs as crucial for EU-level activities.</w:t>
      </w:r>
    </w:p>
  </w:footnote>
  <w:footnote w:id="51">
    <w:p w14:paraId="539030C6" w14:textId="287B90FA" w:rsidR="00C66A71" w:rsidRPr="00E74CE2" w:rsidRDefault="00C66A71" w:rsidP="00C66A71">
      <w:pPr>
        <w:pStyle w:val="FootnoteText"/>
      </w:pPr>
      <w:r w:rsidRPr="00E74CE2">
        <w:rPr>
          <w:rStyle w:val="FootnoteReference"/>
        </w:rPr>
        <w:footnoteRef/>
      </w:r>
      <w:r w:rsidRPr="00E74CE2">
        <w:t xml:space="preserve"> Special report 13/2023: Authorised Economic Operators: Solid customs programme with untapped potential and uneven implementation, 5 May 2023, European Court of Auditors </w:t>
      </w:r>
    </w:p>
    <w:p w14:paraId="2D028A12" w14:textId="62BED534" w:rsidR="00C66A71" w:rsidRPr="00E74CE2" w:rsidRDefault="00C66A71" w:rsidP="00C66A71">
      <w:pPr>
        <w:pStyle w:val="FootnoteText"/>
      </w:pPr>
      <w:r w:rsidRPr="00E74CE2">
        <w:t xml:space="preserve">Special report 04/2021: Customs controls: insufficient harmonisation hampers EU financial interests, 30 March 2021, European Court of Auditors </w:t>
      </w:r>
    </w:p>
    <w:p w14:paraId="6955C8D5" w14:textId="417104C2" w:rsidR="00C66A71" w:rsidRPr="00E74CE2" w:rsidRDefault="00C66A71" w:rsidP="00C66A71">
      <w:pPr>
        <w:pStyle w:val="FootnoteText"/>
      </w:pPr>
      <w:r w:rsidRPr="00E74CE2">
        <w:t xml:space="preserve">Special report 20/2019: EU information systems supporting border control: a strong tool, but more focus needed on timely and complete data, 11 November 2019, European Court of Auditors </w:t>
      </w:r>
    </w:p>
    <w:p w14:paraId="658C75FB" w14:textId="231B7F89" w:rsidR="00C66A71" w:rsidRPr="00E74CE2" w:rsidRDefault="00C66A71" w:rsidP="00C66A71">
      <w:pPr>
        <w:pStyle w:val="FootnoteText"/>
      </w:pPr>
      <w:r w:rsidRPr="00E74CE2">
        <w:t xml:space="preserve">Special report 26/2018: A series of delays in Customs IT systems: what went wrong?, 10 October 2018, European Court of Auditors </w:t>
      </w:r>
    </w:p>
    <w:p w14:paraId="542B0382" w14:textId="58970FA0" w:rsidR="00C66A71" w:rsidRPr="00E74CE2" w:rsidRDefault="00C66A71" w:rsidP="00C66A71">
      <w:pPr>
        <w:pStyle w:val="FootnoteText"/>
      </w:pPr>
      <w:r w:rsidRPr="00E74CE2">
        <w:t>Special report 19/2017: Import procedures: shortcomings in the legal framework and an ineffective implementation impact the financial interests of the EU, 5 December 2017, European Court of Auditors</w:t>
      </w:r>
    </w:p>
  </w:footnote>
  <w:footnote w:id="52">
    <w:p w14:paraId="524B9F8B" w14:textId="7AC0F44E" w:rsidR="00631E0E" w:rsidRPr="00E74CE2" w:rsidDel="002C1F8A" w:rsidRDefault="00631E0E" w:rsidP="00631E0E">
      <w:pPr>
        <w:pStyle w:val="FootnoteText"/>
      </w:pPr>
      <w:r w:rsidRPr="00E74CE2" w:rsidDel="002C1F8A">
        <w:rPr>
          <w:rStyle w:val="FootnoteReference"/>
        </w:rPr>
        <w:footnoteRef/>
      </w:r>
      <w:r w:rsidRPr="00E74CE2" w:rsidDel="002C1F8A">
        <w:t xml:space="preserve"> Council Regulation (EU) No 904/2010 of 7 October 2010 on administrative cooperation and combating fraud in the field of value added tax (OJ L 268, 12.10.2010, p. 1). ELI: </w:t>
      </w:r>
      <w:hyperlink r:id="rId25" w:history="1">
        <w:r w:rsidRPr="00E74CE2" w:rsidDel="002C1F8A">
          <w:rPr>
            <w:rStyle w:val="Hyperlink"/>
          </w:rPr>
          <w:t>http://data.europa.eu/eli/reg/2010/904/2021-07-01</w:t>
        </w:r>
      </w:hyperlink>
      <w:r w:rsidR="009B35A6" w:rsidRPr="00E74CE2">
        <w:t>.</w:t>
      </w:r>
    </w:p>
    <w:p w14:paraId="3A346EDD" w14:textId="4512100C" w:rsidR="00631E0E" w:rsidRPr="00E74CE2" w:rsidDel="002C1F8A" w:rsidRDefault="00631E0E" w:rsidP="00631E0E">
      <w:pPr>
        <w:pStyle w:val="FootnoteText"/>
      </w:pPr>
      <w:r w:rsidRPr="00E74CE2" w:rsidDel="002C1F8A">
        <w:t>Council Regulation (EU) No 389/2012 of 2 May 2012 on administrative cooperation in the field of excise duties and repealing Regulation (EC) No 2073/2004 (OJ L 121, 8.5.2012, p. 1). ELI: </w:t>
      </w:r>
      <w:hyperlink r:id="rId26" w:tooltip="Gives access to this document through its ELI URI." w:history="1">
        <w:r w:rsidRPr="00E74CE2" w:rsidDel="002C1F8A">
          <w:rPr>
            <w:rStyle w:val="Hyperlink"/>
          </w:rPr>
          <w:t>http://data.europa.eu/eli/reg/2012/389/2023-02-13</w:t>
        </w:r>
      </w:hyperlink>
      <w:r w:rsidR="009B35A6" w:rsidRPr="00E74CE2">
        <w:rPr>
          <w:rStyle w:val="Hyperlink"/>
        </w:rPr>
        <w:t>.</w:t>
      </w:r>
    </w:p>
    <w:p w14:paraId="088DE62F" w14:textId="2E26AE22" w:rsidR="00631E0E" w:rsidRPr="00E74CE2" w:rsidDel="002C1F8A" w:rsidRDefault="00631E0E" w:rsidP="00631E0E">
      <w:pPr>
        <w:pStyle w:val="FootnoteText"/>
      </w:pPr>
      <w:r w:rsidRPr="00E74CE2" w:rsidDel="002C1F8A">
        <w:t>Council Directive 2011/16/EU of 15 February 2011 on administrative cooperation in the field of taxation and repealing Directive 77/799/EEC (OJ L 64, 11.3.2011, p. 1). ELI: </w:t>
      </w:r>
      <w:hyperlink r:id="rId27" w:tooltip="Gives access to this document through its ELI URI." w:history="1">
        <w:r w:rsidRPr="00E74CE2" w:rsidDel="002C1F8A">
          <w:rPr>
            <w:rStyle w:val="Hyperlink"/>
          </w:rPr>
          <w:t>http://data.europa.eu/eli/dir/2011/16/2024-01-01</w:t>
        </w:r>
      </w:hyperlink>
      <w:r w:rsidR="009B35A6" w:rsidRPr="00E74CE2">
        <w:rPr>
          <w:rStyle w:val="Hyperlink"/>
        </w:rPr>
        <w:t>.</w:t>
      </w:r>
    </w:p>
  </w:footnote>
  <w:footnote w:id="53">
    <w:p w14:paraId="561E275F" w14:textId="683C71C3" w:rsidR="009051FE" w:rsidRPr="00E74CE2" w:rsidRDefault="009051FE" w:rsidP="009051FE">
      <w:pPr>
        <w:rPr>
          <w:rFonts w:eastAsiaTheme="minorEastAsia"/>
          <w:sz w:val="20"/>
          <w:szCs w:val="20"/>
        </w:rPr>
      </w:pPr>
      <w:r w:rsidRPr="00E74CE2">
        <w:rPr>
          <w:rStyle w:val="FootnoteReference"/>
          <w:sz w:val="20"/>
          <w:szCs w:val="20"/>
        </w:rPr>
        <w:footnoteRef/>
      </w:r>
      <w:r w:rsidRPr="00E74CE2">
        <w:rPr>
          <w:sz w:val="20"/>
          <w:szCs w:val="20"/>
        </w:rPr>
        <w:t xml:space="preserve"> </w:t>
      </w:r>
      <w:r w:rsidR="002C1A3A" w:rsidRPr="00E74CE2">
        <w:rPr>
          <w:rFonts w:eastAsiaTheme="minorEastAsia"/>
          <w:sz w:val="20"/>
          <w:szCs w:val="20"/>
        </w:rPr>
        <w:t>T</w:t>
      </w:r>
      <w:r w:rsidRPr="00E74CE2">
        <w:rPr>
          <w:rFonts w:eastAsiaTheme="minorEastAsia"/>
          <w:sz w:val="20"/>
          <w:szCs w:val="20"/>
        </w:rPr>
        <w:t xml:space="preserve">he use of different data sources for VAT compliance purposes varies between Member States. Particularities in areas such as the legislative framework, political organisation and social structures also influence the variation. Although all Member States exchange information and use mutual assistance agreements and third-party information, only a minority use internet platform payment data or behavioural studies. These studies identify the socioeconomic factors (e.g. age, gender, employment status and educational attainment) and institutional factors (e.g. trust in government and community satisfaction with the quality of public services) that have an impact on a taxpayer’s motivation to comply with their VAT obligations.’ </w:t>
      </w:r>
      <w:r w:rsidRPr="00E74CE2">
        <w:rPr>
          <w:rFonts w:eastAsia="Aptos"/>
          <w:i/>
          <w:iCs/>
          <w:sz w:val="20"/>
          <w:szCs w:val="20"/>
          <w:lang w:val="en-IE" w:eastAsia="en-IE"/>
        </w:rPr>
        <w:t xml:space="preserve">Source: </w:t>
      </w:r>
      <w:hyperlink r:id="rId28" w:history="1">
        <w:r w:rsidRPr="00E74CE2">
          <w:rPr>
            <w:rStyle w:val="Hyperlink"/>
            <w:rFonts w:eastAsia="Aptos"/>
            <w:i/>
            <w:iCs/>
            <w:sz w:val="20"/>
            <w:szCs w:val="20"/>
            <w:lang w:eastAsia="en-IE"/>
          </w:rPr>
          <w:t>VAT Administration in the EU - European Commission</w:t>
        </w:r>
      </w:hyperlink>
      <w:r w:rsidRPr="00E74CE2">
        <w:rPr>
          <w:rFonts w:eastAsia="Aptos"/>
          <w:i/>
          <w:iCs/>
          <w:sz w:val="20"/>
          <w:szCs w:val="20"/>
          <w:lang w:val="en-IE" w:eastAsia="en-IE"/>
        </w:rPr>
        <w:t>.</w:t>
      </w:r>
    </w:p>
  </w:footnote>
  <w:footnote w:id="54">
    <w:p w14:paraId="5738DD2A" w14:textId="168DB142" w:rsidR="00312017" w:rsidRPr="00E74CE2" w:rsidRDefault="00312017">
      <w:pPr>
        <w:pStyle w:val="FootnoteText"/>
      </w:pPr>
      <w:r w:rsidRPr="00E74CE2">
        <w:rPr>
          <w:rStyle w:val="FootnoteReference"/>
        </w:rPr>
        <w:footnoteRef/>
      </w:r>
      <w:r w:rsidRPr="00E74CE2">
        <w:t xml:space="preserve"> Source: Eurostat data. This indicates that the knowledge and skills of staff at NSIs and Eurostat, required for rapidly addressing emerging data demands and for generating statistics derived from various sources, data sharing, and innovative methodologies, are being sufficiently developed</w:t>
      </w:r>
      <w:r w:rsidR="009B35A6" w:rsidRPr="00E74CE2">
        <w:t>.</w:t>
      </w:r>
    </w:p>
  </w:footnote>
  <w:footnote w:id="55">
    <w:p w14:paraId="135C355C" w14:textId="7BA8D491" w:rsidR="00005A66" w:rsidRPr="00E74CE2" w:rsidRDefault="00005A66">
      <w:pPr>
        <w:pStyle w:val="FootnoteText"/>
      </w:pPr>
      <w:r w:rsidRPr="00E74CE2">
        <w:rPr>
          <w:rStyle w:val="FootnoteReference"/>
        </w:rPr>
        <w:footnoteRef/>
      </w:r>
      <w:r w:rsidRPr="00E74CE2">
        <w:t xml:space="preserve"> See </w:t>
      </w:r>
      <w:r w:rsidR="00C37730" w:rsidRPr="00E74CE2">
        <w:t xml:space="preserve">also the EU’s Programme Performance </w:t>
      </w:r>
      <w:r w:rsidR="003C3F90" w:rsidRPr="00E74CE2">
        <w:t xml:space="preserve">Statements, where these indicators are equally featured. </w:t>
      </w:r>
    </w:p>
  </w:footnote>
  <w:footnote w:id="56">
    <w:p w14:paraId="46C46101" w14:textId="1DF6A0D2" w:rsidR="000E08B0" w:rsidRPr="00E74CE2" w:rsidDel="002C1F8A" w:rsidRDefault="000E08B0" w:rsidP="000E08B0">
      <w:pPr>
        <w:pStyle w:val="FootnoteText"/>
      </w:pPr>
      <w:r w:rsidRPr="00E74CE2" w:rsidDel="002C1F8A">
        <w:rPr>
          <w:rStyle w:val="FootnoteReference"/>
        </w:rPr>
        <w:footnoteRef/>
      </w:r>
      <w:r w:rsidRPr="00E74CE2" w:rsidDel="002C1F8A">
        <w:t xml:space="preserve"> </w:t>
      </w:r>
      <w:hyperlink r:id="rId29" w:history="1">
        <w:r w:rsidRPr="00E74CE2" w:rsidDel="002C1F8A">
          <w:rPr>
            <w:rStyle w:val="Hyperlink"/>
            <w:color w:val="0070C0"/>
          </w:rPr>
          <w:t>The future of European competitiveness – A competitive strategy for Europe. 2024</w:t>
        </w:r>
      </w:hyperlink>
      <w:r w:rsidR="009B35A6" w:rsidRPr="00E74CE2">
        <w:rPr>
          <w:rStyle w:val="Hyperlink"/>
          <w:color w:val="0070C0"/>
        </w:rPr>
        <w:t>.</w:t>
      </w:r>
    </w:p>
  </w:footnote>
  <w:footnote w:id="57">
    <w:p w14:paraId="3B5E8673" w14:textId="321A2CE6" w:rsidR="006556D2" w:rsidRPr="004B1F42" w:rsidRDefault="006556D2">
      <w:pPr>
        <w:pStyle w:val="FootnoteText"/>
        <w:rPr>
          <w:lang w:val="en-IE"/>
        </w:rPr>
      </w:pPr>
      <w:r>
        <w:rPr>
          <w:rStyle w:val="FootnoteReference"/>
        </w:rPr>
        <w:footnoteRef/>
      </w:r>
      <w:r w:rsidRPr="004B1F42">
        <w:rPr>
          <w:lang w:val="en-IE"/>
        </w:rPr>
        <w:t xml:space="preserve"> </w:t>
      </w:r>
      <w:hyperlink r:id="rId30" w:history="1">
        <w:r w:rsidR="00551D98" w:rsidRPr="004B1F42">
          <w:rPr>
            <w:rFonts w:eastAsiaTheme="minorHAnsi"/>
            <w:color w:val="0000FF"/>
            <w:sz w:val="24"/>
            <w:szCs w:val="24"/>
            <w:u w:val="single"/>
            <w:lang w:val="en-IE"/>
          </w:rPr>
          <w:t>Regulation</w:t>
        </w:r>
        <w:r w:rsidR="00925914" w:rsidRPr="004B1F42">
          <w:rPr>
            <w:rFonts w:eastAsiaTheme="minorHAnsi"/>
            <w:color w:val="0000FF"/>
            <w:sz w:val="24"/>
            <w:szCs w:val="24"/>
            <w:u w:val="single"/>
            <w:lang w:val="en-IE"/>
          </w:rPr>
          <w:t xml:space="preserve"> (</w:t>
        </w:r>
        <w:r w:rsidR="00551D98" w:rsidRPr="004B1F42">
          <w:rPr>
            <w:rFonts w:eastAsiaTheme="minorHAnsi"/>
            <w:color w:val="0000FF"/>
            <w:sz w:val="24"/>
            <w:szCs w:val="24"/>
            <w:u w:val="single"/>
            <w:lang w:val="en-IE"/>
          </w:rPr>
          <w:t>EU</w:t>
        </w:r>
        <w:r w:rsidR="00925914" w:rsidRPr="004B1F42">
          <w:rPr>
            <w:rFonts w:eastAsiaTheme="minorHAnsi"/>
            <w:color w:val="0000FF"/>
            <w:sz w:val="24"/>
            <w:szCs w:val="24"/>
            <w:u w:val="single"/>
            <w:lang w:val="en-IE"/>
          </w:rPr>
          <w:t>)</w:t>
        </w:r>
        <w:r w:rsidR="00551D98" w:rsidRPr="004B1F42">
          <w:rPr>
            <w:rFonts w:eastAsiaTheme="minorHAnsi"/>
            <w:color w:val="0000FF"/>
            <w:sz w:val="24"/>
            <w:szCs w:val="24"/>
            <w:u w:val="single"/>
            <w:lang w:val="en-IE"/>
          </w:rPr>
          <w:t xml:space="preserve"> 2024/1781 </w:t>
        </w:r>
        <w:r w:rsidR="00925914" w:rsidRPr="004B1F42">
          <w:rPr>
            <w:rFonts w:eastAsiaTheme="minorHAnsi"/>
            <w:color w:val="0000FF"/>
            <w:sz w:val="24"/>
            <w:szCs w:val="24"/>
            <w:u w:val="single"/>
            <w:lang w:val="en-IE"/>
          </w:rPr>
          <w:t>of 13 June 2024 ESPR -DPP</w:t>
        </w:r>
      </w:hyperlink>
    </w:p>
  </w:footnote>
  <w:footnote w:id="58">
    <w:p w14:paraId="3442A3E6" w14:textId="30F41A1A" w:rsidR="00956B45" w:rsidRPr="00E74CE2" w:rsidRDefault="00956B45">
      <w:pPr>
        <w:pStyle w:val="FootnoteText"/>
      </w:pPr>
      <w:r w:rsidRPr="00E74CE2">
        <w:rPr>
          <w:rStyle w:val="FootnoteReference"/>
        </w:rPr>
        <w:footnoteRef/>
      </w:r>
      <w:r w:rsidRPr="00E74CE2">
        <w:t xml:space="preserve"> In the area of </w:t>
      </w:r>
      <w:r w:rsidR="003F5690">
        <w:t>s</w:t>
      </w:r>
      <w:r w:rsidRPr="00E74CE2">
        <w:t xml:space="preserve">ingle </w:t>
      </w:r>
      <w:r w:rsidR="003F5690">
        <w:t>m</w:t>
      </w:r>
      <w:r w:rsidRPr="00E74CE2">
        <w:t>arket, the TSI provides technical support to Member States in building competitive economies. The support covers a wide range of policy areas, including SMEs and entrepreneurship, growth and productivity strategies, industry and industrial ecosystems, digital economy and innovation, competition and consumer policy, foreign investment and trade, licencing and inspections as well as transport and mobility.</w:t>
      </w:r>
    </w:p>
  </w:footnote>
  <w:footnote w:id="59">
    <w:p w14:paraId="275B653A" w14:textId="53FB357C" w:rsidR="00956B45" w:rsidRPr="00E74CE2" w:rsidRDefault="00956B45">
      <w:pPr>
        <w:pStyle w:val="FootnoteText"/>
      </w:pPr>
      <w:r w:rsidRPr="00E74CE2">
        <w:rPr>
          <w:rStyle w:val="FootnoteReference"/>
        </w:rPr>
        <w:footnoteRef/>
      </w:r>
      <w:r w:rsidRPr="00E74CE2">
        <w:t xml:space="preserve"> In the area of customs, the TSI support encompasses 16 reforms with ten Member States.</w:t>
      </w:r>
      <w:r w:rsidR="00C072B5" w:rsidRPr="00E74CE2">
        <w:t xml:space="preserve"> To address the challenges faced by Member States’ customs authorities stemming from globalisation, green and digital transition, as well as international tax competition, the TSI supports EU-wide initiatives, notably the proposal for the EU Customs Reform package.</w:t>
      </w:r>
      <w:r w:rsidR="00196BD4" w:rsidRPr="00E74CE2">
        <w:t xml:space="preserve"> </w:t>
      </w:r>
    </w:p>
    <w:p w14:paraId="6D3A5AF9" w14:textId="1BA175BC" w:rsidR="00196BD4" w:rsidRPr="00E74CE2" w:rsidRDefault="00196BD4">
      <w:pPr>
        <w:pStyle w:val="FootnoteText"/>
      </w:pPr>
      <w:r w:rsidRPr="00E74CE2">
        <w:t>In the area of taxation, the TSI support focuses on increasing tax compliance, improving risk management through digitalisation, countering aggressive tax planning, tax fraud and avoidance, strengthening the administrative cooperation and exchange of information between tax administrations, as well as enhancing the capacity of customs authorities to improve their controls and risk management through digitalisation. The 2025 revenue administration flagship project ‘Simplification of Revenue Administration for Business’ focussed on tax simplification. This flagship offered support to Member States for reforms such as business process improvement, digitalisation, and policy evaluation.</w:t>
      </w:r>
    </w:p>
  </w:footnote>
  <w:footnote w:id="60">
    <w:p w14:paraId="091F867D" w14:textId="0DD8BB78" w:rsidR="00A926A3" w:rsidRPr="00E74CE2" w:rsidRDefault="00A926A3" w:rsidP="00A926A3">
      <w:pPr>
        <w:pStyle w:val="FootnoteText"/>
        <w:contextualSpacing/>
      </w:pPr>
      <w:r w:rsidRPr="00E74CE2">
        <w:rPr>
          <w:rStyle w:val="FootnoteReference"/>
        </w:rPr>
        <w:footnoteRef/>
      </w:r>
      <w:r w:rsidRPr="00E74CE2">
        <w:rPr>
          <w:rStyle w:val="FootnoteReference"/>
        </w:rPr>
        <w:t xml:space="preserve"> </w:t>
      </w:r>
      <w:hyperlink r:id="rId31" w:history="1">
        <w:r w:rsidRPr="00E74CE2">
          <w:rPr>
            <w:rStyle w:val="Hyperlink"/>
          </w:rPr>
          <w:t>IFRS - View Jurisdiction</w:t>
        </w:r>
      </w:hyperlink>
      <w:r w:rsidR="00D96236" w:rsidRPr="00E74CE2">
        <w:rPr>
          <w:rStyle w:val="Hyperlink"/>
        </w:rPr>
        <w:t>.</w:t>
      </w:r>
    </w:p>
  </w:footnote>
  <w:footnote w:id="61">
    <w:p w14:paraId="197724E8" w14:textId="77777777" w:rsidR="00A926A3" w:rsidRPr="00E74CE2" w:rsidRDefault="00A926A3" w:rsidP="00A926A3">
      <w:pPr>
        <w:pStyle w:val="FootnoteText"/>
        <w:contextualSpacing/>
      </w:pPr>
      <w:r w:rsidRPr="00E74CE2">
        <w:rPr>
          <w:rStyle w:val="FootnoteReference"/>
        </w:rPr>
        <w:footnoteRef/>
      </w:r>
      <w:r w:rsidRPr="00E74CE2">
        <w:t xml:space="preserve"> IFRS website </w:t>
      </w:r>
      <w:hyperlink r:id="rId32">
        <w:r w:rsidRPr="00E74CE2">
          <w:rPr>
            <w:rStyle w:val="Hyperlink"/>
          </w:rPr>
          <w:t>IFRS - Why global accounting standards?</w:t>
        </w:r>
      </w:hyperlink>
      <w:r w:rsidRPr="00E74CE2">
        <w:t>.</w:t>
      </w:r>
    </w:p>
  </w:footnote>
  <w:footnote w:id="62">
    <w:p w14:paraId="6C3B1179" w14:textId="14E1BED5" w:rsidR="006633A2" w:rsidRPr="00E74CE2" w:rsidRDefault="006633A2">
      <w:pPr>
        <w:pStyle w:val="FootnoteText"/>
      </w:pPr>
      <w:r w:rsidRPr="00E74CE2">
        <w:rPr>
          <w:rStyle w:val="FootnoteReference"/>
        </w:rPr>
        <w:footnoteRef/>
      </w:r>
      <w:r w:rsidR="003134B6" w:rsidRPr="00E74CE2">
        <w:t xml:space="preserve"> </w:t>
      </w:r>
      <w:r w:rsidRPr="00E74CE2">
        <w:t xml:space="preserve">The impact of AdCos was pointed out in the interim evaluation of the SMP </w:t>
      </w:r>
      <w:r w:rsidR="005C1239" w:rsidRPr="00E74CE2">
        <w:t xml:space="preserve">by the MSAs as </w:t>
      </w:r>
      <w:r w:rsidR="00CE1768" w:rsidRPr="00E74CE2">
        <w:t>indicating improved market surveillance</w:t>
      </w:r>
      <w:r w:rsidR="005D28E5" w:rsidRPr="00E74CE2">
        <w:t xml:space="preserve"> at EU level</w:t>
      </w:r>
      <w:r w:rsidR="00CE1768" w:rsidRPr="00E74CE2">
        <w:t xml:space="preserve"> (25 out of 32)</w:t>
      </w:r>
      <w:r w:rsidR="005D28E5" w:rsidRPr="00E74CE2">
        <w:t xml:space="preserve"> and within their countries (22 out of 32).</w:t>
      </w:r>
    </w:p>
  </w:footnote>
  <w:footnote w:id="63">
    <w:p w14:paraId="49994115" w14:textId="7FEC5E00" w:rsidR="00E3578D" w:rsidRPr="00E74CE2" w:rsidRDefault="00E3578D" w:rsidP="00E3578D">
      <w:pPr>
        <w:pStyle w:val="FootnoteText"/>
      </w:pPr>
      <w:r w:rsidRPr="00E74CE2">
        <w:rPr>
          <w:rStyle w:val="FootnoteReference"/>
        </w:rPr>
        <w:footnoteRef/>
      </w:r>
      <w:r w:rsidRPr="00E74CE2">
        <w:t xml:space="preserve"> User Satisfaction Survey 2024</w:t>
      </w:r>
      <w:r w:rsidR="00C02708" w:rsidRPr="00E74CE2">
        <w:t>, when asked whether the completeness of data was better or worse (comparison to the previous USS conducted in 2022), 52% of 1 675 respondents replied that it was the same or better, with only around 2% saying it was worse.</w:t>
      </w:r>
    </w:p>
  </w:footnote>
  <w:footnote w:id="64">
    <w:p w14:paraId="2F59767A" w14:textId="464A0665" w:rsidR="004B0B53" w:rsidRPr="00E74CE2" w:rsidRDefault="004B0B53">
      <w:pPr>
        <w:pStyle w:val="FootnoteText"/>
      </w:pPr>
      <w:r w:rsidRPr="00E74CE2">
        <w:rPr>
          <w:rStyle w:val="FootnoteReference"/>
        </w:rPr>
        <w:footnoteRef/>
      </w:r>
      <w:r w:rsidRPr="00E74CE2">
        <w:t xml:space="preserve"> </w:t>
      </w:r>
      <w:r w:rsidR="00413E3F" w:rsidRPr="00E74CE2">
        <w:t>Results from the USS 2024 show that users find statistics important for monitoring or formulating policy and for preparing legislation.</w:t>
      </w:r>
    </w:p>
  </w:footnote>
  <w:footnote w:id="65">
    <w:p w14:paraId="1D5C9310" w14:textId="77777777" w:rsidR="006C7BD0" w:rsidRPr="00E74CE2" w:rsidRDefault="006C7BD0" w:rsidP="006C7BD0">
      <w:pPr>
        <w:pStyle w:val="FootnoteText"/>
      </w:pPr>
      <w:r w:rsidRPr="00E74CE2">
        <w:rPr>
          <w:rStyle w:val="FootnoteReference"/>
        </w:rPr>
        <w:footnoteRef/>
      </w:r>
      <w:r w:rsidRPr="00E74CE2">
        <w:t xml:space="preserve"> Source Eurostat’s reference database.</w:t>
      </w:r>
    </w:p>
  </w:footnote>
  <w:footnote w:id="66">
    <w:p w14:paraId="7EA4BE99" w14:textId="399ECDC1" w:rsidR="00F75562" w:rsidRPr="00E74CE2" w:rsidRDefault="00F75562">
      <w:pPr>
        <w:pStyle w:val="FootnoteText"/>
      </w:pPr>
      <w:r w:rsidRPr="00E74CE2">
        <w:rPr>
          <w:rStyle w:val="FootnoteReference"/>
        </w:rPr>
        <w:footnoteRef/>
      </w:r>
      <w:r w:rsidRPr="00E74CE2">
        <w:t xml:space="preserve"> Letta Report</w:t>
      </w:r>
      <w:r w:rsidR="003360D8" w:rsidRPr="00E74CE2">
        <w:t>.</w:t>
      </w:r>
    </w:p>
  </w:footnote>
  <w:footnote w:id="67">
    <w:p w14:paraId="0842AF85" w14:textId="77777777" w:rsidR="001276DF" w:rsidRPr="00E74CE2" w:rsidRDefault="001276DF" w:rsidP="001276DF">
      <w:pPr>
        <w:rPr>
          <w:sz w:val="20"/>
          <w:szCs w:val="20"/>
        </w:rPr>
      </w:pPr>
      <w:r w:rsidRPr="00E74CE2">
        <w:rPr>
          <w:sz w:val="20"/>
          <w:szCs w:val="20"/>
          <w:vertAlign w:val="superscript"/>
        </w:rPr>
        <w:footnoteRef/>
      </w:r>
      <w:r w:rsidRPr="00E74CE2">
        <w:rPr>
          <w:sz w:val="20"/>
          <w:szCs w:val="20"/>
        </w:rPr>
        <w:t xml:space="preserve"> See pages 298 and 299 of part B of the Draghi report.</w:t>
      </w:r>
    </w:p>
  </w:footnote>
  <w:footnote w:id="68">
    <w:p w14:paraId="015429C8" w14:textId="3255DB96" w:rsidR="00124163" w:rsidRPr="00E74CE2" w:rsidDel="002C1F8A" w:rsidRDefault="00124163" w:rsidP="00124163">
      <w:pPr>
        <w:pStyle w:val="FootnoteText"/>
        <w:rPr>
          <w:kern w:val="2"/>
          <w14:ligatures w14:val="standardContextual"/>
        </w:rPr>
      </w:pPr>
      <w:r w:rsidRPr="00E74CE2" w:rsidDel="002C1F8A">
        <w:rPr>
          <w:rStyle w:val="FootnoteReference"/>
        </w:rPr>
        <w:footnoteRef/>
      </w:r>
      <w:r w:rsidRPr="00E74CE2" w:rsidDel="002C1F8A">
        <w:t xml:space="preserve"> Commission Communication ‘Towards a more efficient and democratic decision making in EU tax policy’ COM (2019) 8 final</w:t>
      </w:r>
      <w:r w:rsidR="00D96236" w:rsidRPr="00E74CE2">
        <w:t>.</w:t>
      </w:r>
    </w:p>
  </w:footnote>
  <w:footnote w:id="69">
    <w:p w14:paraId="462C1B56" w14:textId="77777777" w:rsidR="00AB2012" w:rsidRPr="00E74CE2" w:rsidRDefault="00AB2012" w:rsidP="00306B02">
      <w:pPr>
        <w:spacing w:after="0"/>
        <w:rPr>
          <w:sz w:val="20"/>
          <w:szCs w:val="20"/>
        </w:rPr>
      </w:pPr>
      <w:r w:rsidRPr="00E74CE2">
        <w:rPr>
          <w:sz w:val="20"/>
          <w:szCs w:val="20"/>
          <w:vertAlign w:val="superscript"/>
        </w:rPr>
        <w:footnoteRef/>
      </w:r>
      <w:r w:rsidRPr="00E74CE2">
        <w:rPr>
          <w:sz w:val="20"/>
          <w:szCs w:val="20"/>
        </w:rPr>
        <w:t xml:space="preserve"> Direct customer savings generated by cartel, antitrust and merger enforcement are significant (between EUR 13.7 billion and EUR 23.4 billion per annum over the period 2014-2023). In addition, the Commission’s competition policy interventions can lead to a medium to long-term increase in real GDP in the range of 0.6% - 1.1% (equivalent of an uplift of EUR 80 - 150 billion in 2019 GDP), as well as a 0.3% - 0.7% reduction in the price level. </w:t>
      </w:r>
    </w:p>
    <w:p w14:paraId="25219D9E" w14:textId="450468B3" w:rsidR="00AB2012" w:rsidRPr="00E74CE2" w:rsidRDefault="00AB2012" w:rsidP="00306B02">
      <w:pPr>
        <w:spacing w:after="0"/>
        <w:rPr>
          <w:sz w:val="20"/>
          <w:szCs w:val="20"/>
        </w:rPr>
      </w:pPr>
      <w:r w:rsidRPr="00E74CE2">
        <w:rPr>
          <w:sz w:val="20"/>
          <w:szCs w:val="20"/>
        </w:rPr>
        <w:t>See Competition Policy Brief - Customer savings, a 10-year perspective (2022) or “Modelling the macroeconomic impact of competition policy: 2023 update and further development”, report prepared by the Directorate-General for Competition, the Joint Research Centre and the Directorate General for Economic and Financial Affairs, Publications Office of the European Union,  https://op.europa.eu/en/publication-detail/-/publication/c086d580-2229-11ef-a251-01aa75ed71a1/language-en</w:t>
      </w:r>
      <w:r w:rsidR="004E3EBD" w:rsidRPr="00E74CE2">
        <w:rPr>
          <w:sz w:val="20"/>
          <w:szCs w:val="20"/>
        </w:rPr>
        <w:t>.</w:t>
      </w:r>
    </w:p>
  </w:footnote>
  <w:footnote w:id="70">
    <w:p w14:paraId="15A8750B" w14:textId="77777777" w:rsidR="00AB2012" w:rsidRPr="00E74CE2" w:rsidRDefault="00AB2012" w:rsidP="00306B02">
      <w:pPr>
        <w:spacing w:after="0"/>
        <w:rPr>
          <w:sz w:val="20"/>
          <w:szCs w:val="20"/>
        </w:rPr>
      </w:pPr>
      <w:r w:rsidRPr="00E74CE2">
        <w:rPr>
          <w:sz w:val="20"/>
          <w:szCs w:val="20"/>
          <w:vertAlign w:val="superscript"/>
        </w:rPr>
        <w:footnoteRef/>
      </w:r>
      <w:r w:rsidRPr="00E74CE2">
        <w:rPr>
          <w:sz w:val="20"/>
          <w:szCs w:val="20"/>
        </w:rPr>
        <w:t xml:space="preserve"> See ’Protecting competition in a changing world: Evidence on the evolution of competition in the EU during the past 25 years’, June 2024, </w:t>
      </w:r>
      <w:hyperlink r:id="rId33" w:history="1">
        <w:r w:rsidRPr="00E74CE2">
          <w:rPr>
            <w:rStyle w:val="Hyperlink"/>
            <w:rFonts w:eastAsia="Times New Roman"/>
            <w:sz w:val="20"/>
            <w:szCs w:val="20"/>
          </w:rPr>
          <w:t>KD0924494enn_Protecting_competition_in_a_changing_world_staff_report_2024.pdf</w:t>
        </w:r>
      </w:hyperlink>
    </w:p>
  </w:footnote>
  <w:footnote w:id="71">
    <w:p w14:paraId="7A9ED4C6" w14:textId="77777777" w:rsidR="00AB2012" w:rsidRPr="00E74CE2" w:rsidRDefault="00AB2012" w:rsidP="00306B02">
      <w:pPr>
        <w:pStyle w:val="Footnote"/>
        <w:jc w:val="both"/>
        <w:rPr>
          <w:rFonts w:cs="Times New Roman"/>
          <w:lang w:val="en-IE"/>
        </w:rPr>
      </w:pPr>
      <w:r w:rsidRPr="00E74CE2">
        <w:rPr>
          <w:rStyle w:val="FootnoteReference"/>
          <w:rFonts w:cs="Times New Roman"/>
        </w:rPr>
        <w:footnoteRef/>
      </w:r>
      <w:r w:rsidRPr="00E74CE2">
        <w:rPr>
          <w:rFonts w:cs="Times New Roman"/>
          <w:lang w:val="en-IE"/>
        </w:rPr>
        <w:t xml:space="preserve"> An EU Strategy on Standardisation - Setting global standards in support of a resilient, green and digital EU single market, COM(2022)31.</w:t>
      </w:r>
    </w:p>
  </w:footnote>
  <w:footnote w:id="72">
    <w:p w14:paraId="3A55AF75" w14:textId="35B9D5A9" w:rsidR="00AB2012" w:rsidRPr="00E74CE2" w:rsidRDefault="00AB2012" w:rsidP="00AB2012">
      <w:pPr>
        <w:pStyle w:val="FootnoteText"/>
      </w:pPr>
      <w:r w:rsidRPr="00E74CE2">
        <w:rPr>
          <w:rStyle w:val="FootnoteReference"/>
        </w:rPr>
        <w:footnoteRef/>
      </w:r>
      <w:r w:rsidRPr="00E74CE2">
        <w:t xml:space="preserve"> COM(2025) 37 final</w:t>
      </w:r>
      <w:r w:rsidR="00D96236" w:rsidRPr="00E74CE2">
        <w:t>.</w:t>
      </w:r>
    </w:p>
  </w:footnote>
  <w:footnote w:id="73">
    <w:p w14:paraId="0438FB57" w14:textId="48BF0D14" w:rsidR="00AB2012" w:rsidRPr="00E74CE2" w:rsidRDefault="00AB2012" w:rsidP="00AB2012">
      <w:pPr>
        <w:pStyle w:val="FootnoteText"/>
        <w:rPr>
          <w:lang w:val="en"/>
        </w:rPr>
      </w:pPr>
      <w:r w:rsidRPr="00E74CE2">
        <w:rPr>
          <w:rStyle w:val="FootnoteReference"/>
        </w:rPr>
        <w:footnoteRef/>
      </w:r>
      <w:r w:rsidRPr="00E74CE2">
        <w:t xml:space="preserve"> </w:t>
      </w:r>
      <w:r w:rsidRPr="00E74CE2">
        <w:rPr>
          <w:lang w:val="en"/>
        </w:rPr>
        <w:t>SWD/2023/140 final</w:t>
      </w:r>
      <w:r w:rsidR="00D96236" w:rsidRPr="00E74CE2">
        <w:rPr>
          <w:lang w:val="en"/>
        </w:rPr>
        <w:t>.</w:t>
      </w:r>
    </w:p>
  </w:footnote>
  <w:footnote w:id="74">
    <w:p w14:paraId="190EF84C" w14:textId="77777777" w:rsidR="00AB2012" w:rsidRPr="00E74CE2" w:rsidRDefault="00AB2012" w:rsidP="00AB2012">
      <w:pPr>
        <w:pStyle w:val="FootnoteText"/>
        <w:rPr>
          <w:lang w:val="en-US"/>
        </w:rPr>
      </w:pPr>
      <w:r w:rsidRPr="00E74CE2">
        <w:rPr>
          <w:rStyle w:val="FootnoteReference"/>
        </w:rPr>
        <w:footnoteRef/>
      </w:r>
      <w:r w:rsidRPr="00E74CE2">
        <w:t xml:space="preserve"> The EU AIAC Community covers existing, new and future administrative cooperation tools. In addition, these cooperation tools are available for all tax areas such as Value Added Tax (VAT), excise duties, direct taxation and recovery of claims. The AIAC Community provides Member States with a common approach towards an increased need to fight against cross border tax fraud and evasion and promotes the use of advanced administrative cooperation instruments.</w:t>
      </w:r>
    </w:p>
  </w:footnote>
  <w:footnote w:id="75">
    <w:p w14:paraId="26A7DB8D" w14:textId="57694E8B" w:rsidR="00B17900" w:rsidRPr="00E74CE2" w:rsidRDefault="00B17900" w:rsidP="00B17900">
      <w:pPr>
        <w:pStyle w:val="FootnoteText"/>
      </w:pPr>
      <w:r w:rsidRPr="00E74CE2">
        <w:rPr>
          <w:rStyle w:val="FootnoteReference"/>
        </w:rPr>
        <w:footnoteRef/>
      </w:r>
      <w:r w:rsidRPr="00E74CE2">
        <w:t xml:space="preserve"> Regulation 254/</w:t>
      </w:r>
      <w:r w:rsidR="002B21C9" w:rsidRPr="00E74CE2">
        <w:t>2014, Regulation</w:t>
      </w:r>
      <w:r w:rsidRPr="00E74CE2">
        <w:t xml:space="preserve"> 2017/826</w:t>
      </w:r>
      <w:r w:rsidR="00AF728D" w:rsidRPr="00E74CE2">
        <w:t>.</w:t>
      </w:r>
    </w:p>
  </w:footnote>
  <w:footnote w:id="76">
    <w:p w14:paraId="575A81C2" w14:textId="77777777" w:rsidR="00A30047" w:rsidRPr="00E74CE2" w:rsidRDefault="00A30047" w:rsidP="00A30047">
      <w:pPr>
        <w:pStyle w:val="FootnoteText"/>
      </w:pPr>
      <w:r w:rsidRPr="00E74CE2">
        <w:rPr>
          <w:rStyle w:val="FootnoteReference"/>
        </w:rPr>
        <w:footnoteRef/>
      </w:r>
      <w:r w:rsidRPr="00E74CE2">
        <w:t xml:space="preserve"> Interview feedback from seven representatives of the financial sector and civil society at the EU level.</w:t>
      </w:r>
    </w:p>
  </w:footnote>
  <w:footnote w:id="77">
    <w:p w14:paraId="4630DF32" w14:textId="77777777" w:rsidR="00A30047" w:rsidRPr="00E74CE2" w:rsidRDefault="00A30047" w:rsidP="00A30047">
      <w:pPr>
        <w:pStyle w:val="FootnoteText"/>
      </w:pPr>
      <w:r w:rsidRPr="00E74CE2">
        <w:rPr>
          <w:rStyle w:val="FootnoteReference"/>
        </w:rPr>
        <w:footnoteRef/>
      </w:r>
      <w:r w:rsidRPr="00E74CE2">
        <w:t xml:space="preserve"> According to the Draghi Report ‘the evidence is overwhelming that competition stimulates productivity, investment and innovation’, whereas competition risks have increased.</w:t>
      </w:r>
    </w:p>
  </w:footnote>
  <w:footnote w:id="78">
    <w:p w14:paraId="3AFC36C7" w14:textId="30CC7FFB" w:rsidR="008B7E8C" w:rsidRPr="00E74CE2" w:rsidRDefault="008B7E8C">
      <w:pPr>
        <w:pStyle w:val="FootnoteText"/>
      </w:pPr>
      <w:r w:rsidRPr="00E74CE2">
        <w:rPr>
          <w:rStyle w:val="FootnoteReference"/>
        </w:rPr>
        <w:footnoteRef/>
      </w:r>
      <w:r w:rsidRPr="00E74CE2">
        <w:t xml:space="preserve"> </w:t>
      </w:r>
      <w:hyperlink r:id="rId34" w:history="1">
        <w:r w:rsidRPr="00E74CE2">
          <w:rPr>
            <w:rFonts w:eastAsiaTheme="minorHAnsi"/>
            <w:color w:val="0000FF"/>
            <w:u w:val="single"/>
          </w:rPr>
          <w:t>Internal Market Information System (IMI) - The EU Single Market - European Commission</w:t>
        </w:r>
      </w:hyperlink>
      <w:r w:rsidR="00AF728D" w:rsidRPr="00E74CE2">
        <w:rPr>
          <w:rFonts w:eastAsiaTheme="minorHAnsi"/>
          <w:color w:val="0000FF"/>
          <w:u w:val="single"/>
        </w:rPr>
        <w:t>.</w:t>
      </w:r>
    </w:p>
  </w:footnote>
  <w:footnote w:id="79">
    <w:p w14:paraId="3C9A1A68" w14:textId="686D9145" w:rsidR="00542DB6" w:rsidRPr="00E74CE2" w:rsidRDefault="00542DB6">
      <w:pPr>
        <w:pStyle w:val="FootnoteText"/>
      </w:pPr>
      <w:r w:rsidRPr="00E74CE2">
        <w:rPr>
          <w:rStyle w:val="FootnoteReference"/>
        </w:rPr>
        <w:footnoteRef/>
      </w:r>
      <w:r w:rsidRPr="00E74CE2">
        <w:t xml:space="preserve"> </w:t>
      </w:r>
      <w:hyperlink r:id="rId35" w:history="1">
        <w:r w:rsidRPr="00E74CE2">
          <w:rPr>
            <w:rStyle w:val="Hyperlink"/>
          </w:rPr>
          <w:t>Single digital gateway - European Commission</w:t>
        </w:r>
      </w:hyperlink>
      <w:r w:rsidR="00AF728D" w:rsidRPr="00E74CE2">
        <w:rPr>
          <w:rStyle w:val="Hyperlink"/>
        </w:rPr>
        <w:t>.</w:t>
      </w:r>
    </w:p>
  </w:footnote>
  <w:footnote w:id="80">
    <w:p w14:paraId="2C3DD7E4" w14:textId="14B58AA3" w:rsidR="00ED4E38" w:rsidRPr="001807EB" w:rsidRDefault="00ED4E38">
      <w:pPr>
        <w:pStyle w:val="FootnoteText"/>
        <w:rPr>
          <w:lang w:val="fr-BE"/>
        </w:rPr>
      </w:pPr>
      <w:r w:rsidRPr="00E74CE2">
        <w:rPr>
          <w:rStyle w:val="FootnoteReference"/>
        </w:rPr>
        <w:footnoteRef/>
      </w:r>
      <w:r w:rsidRPr="001807EB">
        <w:rPr>
          <w:lang w:val="fr-BE"/>
        </w:rPr>
        <w:t xml:space="preserve"> </w:t>
      </w:r>
      <w:hyperlink r:id="rId36" w:history="1">
        <w:r w:rsidRPr="001807EB">
          <w:rPr>
            <w:rFonts w:eastAsiaTheme="minorHAnsi"/>
            <w:color w:val="0000FF"/>
            <w:u w:val="single"/>
            <w:lang w:val="fr-BE"/>
          </w:rPr>
          <w:t>Regulation - EU - 2024/903 - EN - EUR-Lex</w:t>
        </w:r>
      </w:hyperlink>
      <w:r w:rsidR="00AF728D" w:rsidRPr="001807EB">
        <w:rPr>
          <w:rFonts w:eastAsiaTheme="minorHAnsi"/>
          <w:color w:val="0000FF"/>
          <w:u w:val="single"/>
          <w:lang w:val="fr-BE"/>
        </w:rPr>
        <w:t>.</w:t>
      </w:r>
    </w:p>
  </w:footnote>
  <w:footnote w:id="81">
    <w:p w14:paraId="3C1D758F" w14:textId="59DF69E3" w:rsidR="1E0FC856" w:rsidRPr="00E74CE2" w:rsidRDefault="1E0FC856" w:rsidP="00561051">
      <w:pPr>
        <w:spacing w:after="0"/>
        <w:rPr>
          <w:sz w:val="20"/>
          <w:szCs w:val="20"/>
        </w:rPr>
      </w:pPr>
      <w:r w:rsidRPr="00E74CE2">
        <w:rPr>
          <w:sz w:val="20"/>
          <w:szCs w:val="20"/>
          <w:vertAlign w:val="superscript"/>
        </w:rPr>
        <w:footnoteRef/>
      </w:r>
      <w:r w:rsidRPr="00E74CE2">
        <w:rPr>
          <w:sz w:val="20"/>
          <w:szCs w:val="20"/>
          <w:vertAlign w:val="superscript"/>
        </w:rPr>
        <w:t xml:space="preserve"> </w:t>
      </w:r>
      <w:r w:rsidRPr="00E74CE2">
        <w:rPr>
          <w:sz w:val="20"/>
          <w:szCs w:val="20"/>
        </w:rPr>
        <w:t>Protocol No 27 to both the TEU/TFEU on the Internal Market and Competition states that "the internal market as set out in Article 3 of the Treaty on European Union includes a system ensuring that competition is not distorted". This is reinforced by Article 3(1)(b) TFEU</w:t>
      </w:r>
      <w:r w:rsidR="00AF728D" w:rsidRPr="00E74CE2">
        <w:rPr>
          <w:sz w:val="20"/>
          <w:szCs w:val="20"/>
        </w:rPr>
        <w:t>.</w:t>
      </w:r>
    </w:p>
  </w:footnote>
  <w:footnote w:id="82">
    <w:p w14:paraId="3938320F" w14:textId="4EDA024F" w:rsidR="00C06C4B" w:rsidRPr="00E74CE2" w:rsidRDefault="1E0FC856" w:rsidP="00C06C4B">
      <w:pPr>
        <w:spacing w:after="0"/>
        <w:rPr>
          <w:sz w:val="20"/>
          <w:szCs w:val="20"/>
        </w:rPr>
      </w:pPr>
      <w:r w:rsidRPr="00E74CE2">
        <w:rPr>
          <w:sz w:val="20"/>
          <w:szCs w:val="20"/>
          <w:vertAlign w:val="superscript"/>
        </w:rPr>
        <w:footnoteRef/>
      </w:r>
      <w:r w:rsidRPr="00E74CE2">
        <w:rPr>
          <w:sz w:val="20"/>
          <w:szCs w:val="20"/>
        </w:rPr>
        <w:t xml:space="preserve"> Direct customer savings generated by cartel, antitrust and merger enforcement are significant (between EUR 13.7 billion and EUR 23.4 billion per annum over the period 2014-2023). In addition, the Commission’s competition policy interventions can lead to a medium to long-term increase in real GDP in the range of 0.6% - 1.1% (equivalent of an uplift of EUR 80 - 150 billion in 2019 GDP), as well as a 0.3% - 0.7% reduction in the price level.  </w:t>
      </w:r>
    </w:p>
  </w:footnote>
  <w:footnote w:id="83">
    <w:p w14:paraId="1E7A5A84" w14:textId="77777777" w:rsidR="00592A8D" w:rsidRPr="00E74CE2" w:rsidRDefault="00592A8D" w:rsidP="00592A8D">
      <w:pPr>
        <w:pStyle w:val="FootnoteText"/>
      </w:pPr>
      <w:r w:rsidRPr="00E74CE2">
        <w:rPr>
          <w:rStyle w:val="FootnoteReference"/>
        </w:rPr>
        <w:footnoteRef/>
      </w:r>
      <w:r w:rsidRPr="00E74CE2">
        <w:t xml:space="preserve"> </w:t>
      </w:r>
      <w:hyperlink r:id="rId37" w:history="1">
        <w:r w:rsidRPr="00E74CE2">
          <w:rPr>
            <w:rStyle w:val="Hyperlink"/>
          </w:rPr>
          <w:t>European Sustainability Reporting Standards - European Commission</w:t>
        </w:r>
      </w:hyperlink>
      <w:r w:rsidRPr="00E74CE2">
        <w:t>. These are the standards to use for companies subject to the Corporate Sustainability Reporting Directive (CSRD).</w:t>
      </w:r>
    </w:p>
  </w:footnote>
  <w:footnote w:id="84">
    <w:p w14:paraId="65BEAFE0" w14:textId="77777777" w:rsidR="00BC1333" w:rsidRPr="00E74CE2" w:rsidRDefault="00BC1333" w:rsidP="00C06C4B">
      <w:pPr>
        <w:pStyle w:val="Text1"/>
        <w:spacing w:after="0"/>
        <w:ind w:left="0"/>
        <w:rPr>
          <w:sz w:val="20"/>
        </w:rPr>
      </w:pPr>
      <w:r w:rsidRPr="00E74CE2">
        <w:rPr>
          <w:rStyle w:val="FootnoteReference"/>
          <w:sz w:val="20"/>
        </w:rPr>
        <w:footnoteRef/>
      </w:r>
      <w:r w:rsidRPr="00E74CE2">
        <w:rPr>
          <w:sz w:val="20"/>
        </w:rPr>
        <w:t xml:space="preserve"> Specific Regulations mandate the Commission to recognise accreditation bodies and support networks (EUPCN, AdCos).</w:t>
      </w:r>
    </w:p>
  </w:footnote>
  <w:footnote w:id="85">
    <w:p w14:paraId="606DC463" w14:textId="77777777" w:rsidR="0042407F" w:rsidRPr="00E74CE2" w:rsidRDefault="0042407F" w:rsidP="0042407F">
      <w:pPr>
        <w:pStyle w:val="FootnoteText"/>
      </w:pPr>
      <w:r w:rsidRPr="00E74CE2">
        <w:rPr>
          <w:rStyle w:val="FootnoteReference"/>
        </w:rPr>
        <w:footnoteRef/>
      </w:r>
      <w:r w:rsidRPr="00E74CE2">
        <w:t xml:space="preserve"> </w:t>
      </w:r>
      <w:hyperlink r:id="rId38" w:anchor="publications" w:history="1">
        <w:r w:rsidRPr="00E74CE2">
          <w:rPr>
            <w:rStyle w:val="Hyperlink"/>
          </w:rPr>
          <w:t>ECC-Net Annual Reports</w:t>
        </w:r>
      </w:hyperlink>
      <w:r w:rsidRPr="00E74CE2">
        <w:rPr>
          <w:rStyle w:val="Hyperlink"/>
        </w:rPr>
        <w:t>.</w:t>
      </w:r>
    </w:p>
  </w:footnote>
  <w:footnote w:id="86">
    <w:p w14:paraId="3340D34F" w14:textId="77777777" w:rsidR="00A83189" w:rsidRPr="00E74CE2" w:rsidRDefault="00A83189" w:rsidP="00A83189">
      <w:pPr>
        <w:pStyle w:val="FootnoteText"/>
      </w:pPr>
      <w:r w:rsidRPr="00E74CE2">
        <w:rPr>
          <w:rStyle w:val="FootnoteReference"/>
        </w:rPr>
        <w:footnoteRef/>
      </w:r>
      <w:r w:rsidRPr="00E74CE2">
        <w:t xml:space="preserve"> </w:t>
      </w:r>
      <w:hyperlink r:id="rId39" w:history="1">
        <w:r w:rsidRPr="00E74CE2">
          <w:rPr>
            <w:rStyle w:val="Hyperlink"/>
          </w:rPr>
          <w:t>51823-2024 - Result - TED</w:t>
        </w:r>
      </w:hyperlink>
      <w:r w:rsidRPr="00E74CE2">
        <w:rPr>
          <w:rStyle w:val="Hyperlink"/>
        </w:rPr>
        <w:t>.</w:t>
      </w:r>
    </w:p>
  </w:footnote>
  <w:footnote w:id="87">
    <w:p w14:paraId="2F22BC76" w14:textId="382340E3" w:rsidR="00E277A4" w:rsidRPr="00E74CE2" w:rsidRDefault="00E277A4" w:rsidP="00E277A4">
      <w:pPr>
        <w:pStyle w:val="FootnoteText"/>
      </w:pPr>
      <w:r w:rsidRPr="00E74CE2">
        <w:rPr>
          <w:rStyle w:val="FootnoteReference"/>
        </w:rPr>
        <w:footnoteRef/>
      </w:r>
      <w:r w:rsidRPr="00E74CE2">
        <w:t xml:space="preserve"> </w:t>
      </w:r>
      <w:hyperlink r:id="rId40" w:anchor="/screen/home" w:history="1">
        <w:r w:rsidRPr="00E74CE2">
          <w:rPr>
            <w:rStyle w:val="Hyperlink"/>
          </w:rPr>
          <w:t>Safety Gate</w:t>
        </w:r>
        <w:r w:rsidR="00420FCA" w:rsidRPr="00E74CE2">
          <w:rPr>
            <w:rStyle w:val="Hyperlink"/>
          </w:rPr>
          <w:t>.</w:t>
        </w:r>
      </w:hyperlink>
      <w:r w:rsidR="007C3373" w:rsidRPr="00E74CE2">
        <w:rPr>
          <w:rStyle w:val="Hyperlink"/>
        </w:rPr>
        <w:t xml:space="preserve"> </w:t>
      </w:r>
    </w:p>
  </w:footnote>
  <w:footnote w:id="88">
    <w:p w14:paraId="1C7BC248" w14:textId="04030C49" w:rsidR="00246BC0" w:rsidRPr="00E74CE2" w:rsidRDefault="00246BC0" w:rsidP="00246BC0">
      <w:pPr>
        <w:pStyle w:val="FootnoteText"/>
      </w:pPr>
      <w:r w:rsidRPr="00E74CE2">
        <w:rPr>
          <w:rStyle w:val="FootnoteReference"/>
        </w:rPr>
        <w:footnoteRef/>
      </w:r>
      <w:r w:rsidRPr="00E74CE2">
        <w:t xml:space="preserve"> Respondents to the public consultation shared the priority areas that would benefit most from actions at EU level are the support for cross-border and multi-country projects and cooperation (</w:t>
      </w:r>
      <w:r w:rsidR="00944B2B" w:rsidRPr="00E74CE2">
        <w:t>90</w:t>
      </w:r>
      <w:r w:rsidRPr="00E74CE2">
        <w:t xml:space="preserve">%, </w:t>
      </w:r>
      <w:r w:rsidR="00944B2B" w:rsidRPr="00E74CE2">
        <w:t xml:space="preserve">595 </w:t>
      </w:r>
      <w:r w:rsidRPr="00E74CE2">
        <w:t xml:space="preserve">out of </w:t>
      </w:r>
      <w:r w:rsidR="00944B2B" w:rsidRPr="00E74CE2">
        <w:t>659</w:t>
      </w:r>
      <w:r w:rsidRPr="00E74CE2">
        <w:t>), strengthening the competitiveness and sustainability of EU businesses (</w:t>
      </w:r>
      <w:r w:rsidR="00944B2B" w:rsidRPr="00E74CE2">
        <w:t>88</w:t>
      </w:r>
      <w:r w:rsidRPr="00E74CE2">
        <w:t xml:space="preserve">%, </w:t>
      </w:r>
      <w:r w:rsidR="00944B2B" w:rsidRPr="00E74CE2">
        <w:t>583</w:t>
      </w:r>
      <w:r w:rsidRPr="00E74CE2">
        <w:t xml:space="preserve"> out of </w:t>
      </w:r>
      <w:r w:rsidR="00944B2B" w:rsidRPr="00E74CE2">
        <w:t>664</w:t>
      </w:r>
      <w:r w:rsidRPr="00E74CE2">
        <w:t>) and addressing transnational challenges (</w:t>
      </w:r>
      <w:r w:rsidR="00D71F28" w:rsidRPr="00E74CE2">
        <w:t>84</w:t>
      </w:r>
      <w:r w:rsidRPr="00E74CE2">
        <w:t xml:space="preserve">%, </w:t>
      </w:r>
      <w:r w:rsidR="00D71F28" w:rsidRPr="00E74CE2">
        <w:t xml:space="preserve">507 </w:t>
      </w:r>
      <w:r w:rsidRPr="00E74CE2">
        <w:t xml:space="preserve">out of </w:t>
      </w:r>
      <w:r w:rsidR="002604C3" w:rsidRPr="00E74CE2">
        <w:t>604</w:t>
      </w:r>
      <w:r w:rsidRPr="00E74CE2">
        <w:t>).</w:t>
      </w:r>
    </w:p>
  </w:footnote>
  <w:footnote w:id="89">
    <w:p w14:paraId="7294485E" w14:textId="27A396CD" w:rsidR="49BCEFF1" w:rsidRPr="00E74CE2" w:rsidRDefault="49BCEFF1" w:rsidP="02F07ADE">
      <w:pPr>
        <w:pStyle w:val="FootnoteText"/>
      </w:pPr>
      <w:r w:rsidRPr="00E74CE2">
        <w:rPr>
          <w:rStyle w:val="FootnoteReference"/>
        </w:rPr>
        <w:footnoteRef/>
      </w:r>
      <w:r w:rsidRPr="00E74CE2">
        <w:t xml:space="preserve"> CCEI Annual </w:t>
      </w:r>
      <w:r w:rsidR="02F07ADE" w:rsidRPr="00E74CE2">
        <w:t>Progress</w:t>
      </w:r>
      <w:r w:rsidRPr="00E74CE2">
        <w:t xml:space="preserve"> Report</w:t>
      </w:r>
    </w:p>
  </w:footnote>
  <w:footnote w:id="90">
    <w:p w14:paraId="65A61829" w14:textId="62B67A2F" w:rsidR="00554DE1" w:rsidRPr="00E74CE2" w:rsidRDefault="00554DE1">
      <w:pPr>
        <w:pStyle w:val="FootnoteText"/>
      </w:pPr>
      <w:r w:rsidRPr="00E74CE2">
        <w:rPr>
          <w:rStyle w:val="FootnoteReference"/>
        </w:rPr>
        <w:footnoteRef/>
      </w:r>
      <w:r w:rsidRPr="00E74CE2">
        <w:t xml:space="preserve"> Customs programme management expert group E</w:t>
      </w:r>
      <w:r w:rsidR="00EE567A" w:rsidRPr="00E74CE2">
        <w:t>03788 and Fiscalis programme management expert group E03789</w:t>
      </w:r>
    </w:p>
  </w:footnote>
  <w:footnote w:id="91">
    <w:p w14:paraId="19DE869D" w14:textId="713D1D0F" w:rsidR="00374C15" w:rsidRPr="00E74CE2" w:rsidRDefault="00374C15">
      <w:pPr>
        <w:pStyle w:val="FootnoteText"/>
      </w:pPr>
      <w:r w:rsidRPr="00E74CE2">
        <w:rPr>
          <w:rStyle w:val="FootnoteReference"/>
        </w:rPr>
        <w:footnoteRef/>
      </w:r>
      <w:r w:rsidRPr="00E74CE2">
        <w:t xml:space="preserve"> </w:t>
      </w:r>
      <w:r w:rsidR="003F60D2" w:rsidRPr="00E74CE2">
        <w:t>At the time of drafting</w:t>
      </w:r>
      <w:r w:rsidR="008E3D5A" w:rsidRPr="00E74CE2">
        <w:t xml:space="preserve"> the impact assessment, the interim evaluation supporting studies </w:t>
      </w:r>
      <w:r w:rsidR="00640AE6" w:rsidRPr="00E74CE2">
        <w:t xml:space="preserve">for the Customs and Fiscalis programmes </w:t>
      </w:r>
      <w:r w:rsidR="008E3D5A" w:rsidRPr="00E74CE2">
        <w:t xml:space="preserve">have not yet been </w:t>
      </w:r>
      <w:r w:rsidR="00640AE6" w:rsidRPr="00E74CE2">
        <w:t>finalised</w:t>
      </w:r>
      <w:r w:rsidR="00024152" w:rsidRPr="00E74CE2">
        <w:t>, therefore any findings should be considered as preliminary.</w:t>
      </w:r>
    </w:p>
  </w:footnote>
  <w:footnote w:id="92">
    <w:p w14:paraId="7D3F2241" w14:textId="77777777" w:rsidR="00C633EC" w:rsidRPr="00E74CE2" w:rsidRDefault="00C633EC" w:rsidP="00C633EC">
      <w:pPr>
        <w:pStyle w:val="FootnoteText"/>
      </w:pPr>
      <w:r w:rsidRPr="00E74CE2">
        <w:rPr>
          <w:rStyle w:val="FootnoteReference"/>
        </w:rPr>
        <w:footnoteRef/>
      </w:r>
      <w:r w:rsidRPr="00E74CE2">
        <w:t xml:space="preserve"> The costs and benefits data in this annex are consistent with the data in annex 3. The preferred option includes the mitigating measures listed in section 4. </w:t>
      </w:r>
    </w:p>
  </w:footnote>
  <w:footnote w:id="93">
    <w:p w14:paraId="7A1215DD" w14:textId="77777777" w:rsidR="00C633EC" w:rsidRPr="00E74CE2" w:rsidRDefault="00C633EC" w:rsidP="00C633EC">
      <w:pPr>
        <w:pStyle w:val="FootnoteText"/>
      </w:pPr>
      <w:r w:rsidRPr="00E74CE2">
        <w:rPr>
          <w:rStyle w:val="FootnoteReference"/>
        </w:rPr>
        <w:footnoteRef/>
      </w:r>
      <w:r w:rsidRPr="00E74CE2">
        <w:t xml:space="preserve"> The direct benefits for SMEs can also be cost savings.</w:t>
      </w:r>
    </w:p>
  </w:footnote>
  <w:footnote w:id="94">
    <w:p w14:paraId="5B2C1D64" w14:textId="77777777" w:rsidR="00DB1BEA" w:rsidRPr="00E74CE2" w:rsidRDefault="00DB1BEA" w:rsidP="00DB1BEA">
      <w:pPr>
        <w:pStyle w:val="FootnoteText"/>
        <w:rPr>
          <w:lang w:val="en-IE"/>
        </w:rPr>
      </w:pPr>
      <w:r w:rsidRPr="00E74CE2">
        <w:rPr>
          <w:rStyle w:val="FootnoteReference"/>
        </w:rPr>
        <w:footnoteRef/>
      </w:r>
      <w:r w:rsidRPr="00E74CE2">
        <w:t xml:space="preserve"> Regulation (EU) No 952/2013 of the European Parliament and of the Council laying down the Union Customs Code (OJ L 269, 10.10.2013, p. 1–101)</w:t>
      </w:r>
    </w:p>
  </w:footnote>
  <w:footnote w:id="95">
    <w:p w14:paraId="46706683" w14:textId="77777777" w:rsidR="00DB1BEA" w:rsidRPr="00E74CE2" w:rsidRDefault="00DB1BEA" w:rsidP="00DB1BEA">
      <w:pPr>
        <w:pStyle w:val="FootnoteText"/>
      </w:pPr>
      <w:r w:rsidRPr="00E74CE2">
        <w:rPr>
          <w:rStyle w:val="FootnoteReference"/>
        </w:rPr>
        <w:footnoteRef/>
      </w:r>
      <w:r w:rsidRPr="00E74CE2">
        <w:t xml:space="preserve"> SWD/2023/140 final</w:t>
      </w:r>
    </w:p>
  </w:footnote>
  <w:footnote w:id="96">
    <w:p w14:paraId="6119799E" w14:textId="77777777" w:rsidR="00DB1BEA" w:rsidRPr="00E74CE2" w:rsidRDefault="00DB1BEA" w:rsidP="00DB1BEA">
      <w:pPr>
        <w:pStyle w:val="FootnoteText"/>
      </w:pPr>
      <w:r w:rsidRPr="00E74CE2">
        <w:rPr>
          <w:rStyle w:val="FootnoteReference"/>
        </w:rPr>
        <w:footnoteRef/>
      </w:r>
      <w:r w:rsidRPr="00E74CE2">
        <w:t xml:space="preserve"> SWD/2023/140 final</w:t>
      </w:r>
    </w:p>
  </w:footnote>
  <w:footnote w:id="97">
    <w:p w14:paraId="295B8DEC" w14:textId="77777777" w:rsidR="00DB1BEA" w:rsidRPr="00E74CE2" w:rsidRDefault="00DB1BEA" w:rsidP="00DB1BEA">
      <w:pPr>
        <w:pStyle w:val="FootnoteText"/>
        <w:rPr>
          <w:lang w:val="en-IE"/>
        </w:rPr>
      </w:pPr>
      <w:r w:rsidRPr="00E74CE2">
        <w:rPr>
          <w:rStyle w:val="FootnoteReference"/>
        </w:rPr>
        <w:footnoteRef/>
      </w:r>
      <w:r w:rsidRPr="00E74CE2">
        <w:t xml:space="preserve"> SWD/2023/140 final</w:t>
      </w:r>
    </w:p>
  </w:footnote>
  <w:footnote w:id="98">
    <w:p w14:paraId="38606350" w14:textId="77777777" w:rsidR="00DB1BEA" w:rsidRPr="00E74CE2" w:rsidRDefault="00DB1BEA" w:rsidP="00DB1BEA">
      <w:pPr>
        <w:pStyle w:val="FootnoteText"/>
        <w:rPr>
          <w:lang w:val="en-IE"/>
        </w:rPr>
      </w:pPr>
      <w:r w:rsidRPr="00E74CE2">
        <w:rPr>
          <w:rStyle w:val="FootnoteReference"/>
        </w:rPr>
        <w:footnoteRef/>
      </w:r>
      <w:r w:rsidRPr="00E74CE2">
        <w:t xml:space="preserve"> </w:t>
      </w:r>
      <w:r w:rsidRPr="00E74CE2">
        <w:rPr>
          <w:lang w:val="en-IE"/>
        </w:rPr>
        <w:t>Data from year 2022.</w:t>
      </w:r>
    </w:p>
  </w:footnote>
  <w:footnote w:id="99">
    <w:p w14:paraId="64CEBFF7" w14:textId="77777777" w:rsidR="00DB1BEA" w:rsidRPr="00E74CE2" w:rsidRDefault="00DB1BEA" w:rsidP="00DB1BEA">
      <w:pPr>
        <w:pStyle w:val="FootnoteText"/>
      </w:pPr>
      <w:r w:rsidRPr="00E74CE2">
        <w:rPr>
          <w:rStyle w:val="FootnoteReference"/>
        </w:rPr>
        <w:footnoteRef/>
      </w:r>
      <w:r w:rsidRPr="00E74CE2">
        <w:t xml:space="preserve"> SWD/2023/140 final</w:t>
      </w:r>
    </w:p>
  </w:footnote>
  <w:footnote w:id="100">
    <w:p w14:paraId="6AA740A4" w14:textId="77777777" w:rsidR="00DB1BEA" w:rsidRPr="00E74CE2" w:rsidRDefault="00DB1BEA" w:rsidP="00DB1BEA">
      <w:pPr>
        <w:pStyle w:val="FootnoteText"/>
        <w:rPr>
          <w:lang w:val="en-IE"/>
        </w:rPr>
      </w:pPr>
      <w:r w:rsidRPr="00E74CE2">
        <w:rPr>
          <w:rStyle w:val="FootnoteReference"/>
        </w:rPr>
        <w:footnoteRef/>
      </w:r>
      <w:r w:rsidRPr="00E74CE2">
        <w:t xml:space="preserve"> Fact sheet on the e-commerce communication - https://digital-strategy.ec.europa.eu/en/library/factsheet-e-commerce-communication-february-2025</w:t>
      </w:r>
    </w:p>
  </w:footnote>
  <w:footnote w:id="101">
    <w:p w14:paraId="2D67D295" w14:textId="77777777" w:rsidR="00DB1BEA" w:rsidRPr="00E74CE2" w:rsidRDefault="00DB1BEA" w:rsidP="00DB1BEA">
      <w:pPr>
        <w:pStyle w:val="FootnoteText"/>
      </w:pPr>
      <w:r w:rsidRPr="00E74CE2">
        <w:rPr>
          <w:rStyle w:val="FootnoteReference"/>
        </w:rPr>
        <w:footnoteRef/>
      </w:r>
      <w:r w:rsidRPr="00E74CE2">
        <w:t xml:space="preserve"> European Parliament resolution of 29 November 2018 on the cum-ex scandal: financial crime and loopholes in the current legal framework</w:t>
      </w:r>
    </w:p>
  </w:footnote>
  <w:footnote w:id="102">
    <w:p w14:paraId="03067367" w14:textId="77777777" w:rsidR="00DB1BEA" w:rsidRPr="00E74CE2" w:rsidRDefault="00DB1BEA" w:rsidP="00DB1BEA">
      <w:pPr>
        <w:pStyle w:val="FootnoteText"/>
      </w:pPr>
      <w:r w:rsidRPr="00E74CE2">
        <w:rPr>
          <w:rStyle w:val="FootnoteReference"/>
        </w:rPr>
        <w:footnoteRef/>
      </w:r>
      <w:r w:rsidRPr="00E74CE2">
        <w:t xml:space="preserve">These types of fraud were estimated to have led to €150 billion in losses between the years 2000 and 2020 for a certain group of Member States. SWD (2023)216 final </w:t>
      </w:r>
    </w:p>
  </w:footnote>
  <w:footnote w:id="103">
    <w:p w14:paraId="2985DEA8" w14:textId="77777777" w:rsidR="00DB1BEA" w:rsidRPr="00E74CE2" w:rsidRDefault="00DB1BEA" w:rsidP="00DB1BEA">
      <w:pPr>
        <w:pStyle w:val="FootnoteText"/>
      </w:pPr>
      <w:r w:rsidRPr="00E74CE2">
        <w:rPr>
          <w:rStyle w:val="FootnoteReference"/>
        </w:rPr>
        <w:footnoteRef/>
      </w:r>
      <w:r w:rsidRPr="00E74CE2">
        <w:t xml:space="preserve">   European Commission: Directorate-General for Taxation and Customs Union, Bonch-Osmolovskiy, M., Poniatowski, G., Braniff, L., Harrison, G. et al., VAT gap in the EU – 2024 report, Poniatowski, G.(editor), Publications Office of the European Union, 2024, https://data.europa.eu/doi/10.2778/2476549</w:t>
      </w:r>
    </w:p>
    <w:p w14:paraId="0FBB9B45" w14:textId="77777777" w:rsidR="00DB1BEA" w:rsidRPr="00E74CE2" w:rsidRDefault="00DB1BEA" w:rsidP="00DB1BEA">
      <w:pPr>
        <w:pStyle w:val="FootnoteText"/>
        <w:rPr>
          <w:lang w:val="en-IE"/>
        </w:rPr>
      </w:pPr>
      <w:r w:rsidRPr="00E74CE2">
        <w:t>European Commission: Directorate-General for Taxation and Customs Union, Poniatowski, G., Śmietanka, A. and Skowronek, A., VAT compliance gap due to Missing Trader Intra-Community (MTIC) fraud – Final report. Phase II, Publications Office of the European Union, 2024, https://data.europa.eu/doi/10.2778/6433841</w:t>
      </w:r>
    </w:p>
  </w:footnote>
  <w:footnote w:id="104">
    <w:p w14:paraId="35E1C7D2" w14:textId="77777777" w:rsidR="00DB1BEA" w:rsidRPr="00E74CE2" w:rsidRDefault="00DB1BEA" w:rsidP="00DB1BEA">
      <w:pPr>
        <w:pStyle w:val="FootnoteText"/>
        <w:rPr>
          <w:kern w:val="2"/>
          <w:lang w:val="en-IE"/>
          <w14:ligatures w14:val="standardContextual"/>
        </w:rPr>
      </w:pPr>
      <w:r w:rsidRPr="00E74CE2">
        <w:t>(</w:t>
      </w:r>
      <w:r w:rsidRPr="00E74CE2">
        <w:rPr>
          <w:rStyle w:val="FootnoteReference"/>
        </w:rPr>
        <w:footnoteRef/>
      </w:r>
      <w:r w:rsidRPr="00E74CE2">
        <w:t>)</w:t>
      </w:r>
      <w:r w:rsidRPr="00E74CE2">
        <w:tab/>
        <w:t>Pursuant to Article 291 TFEU, Member States remain responsible for implementing and applying legally binding Union acts, including the customs legislation. That same provision allows that Union acts empower the Commission to adopt implementing rules where uniform conditions are needed for implementing Union legislation. This is often referred to as ‘Comitology’.</w:t>
      </w:r>
    </w:p>
  </w:footnote>
  <w:footnote w:id="105">
    <w:p w14:paraId="31BB96C3" w14:textId="77777777" w:rsidR="00DB1BEA" w:rsidRPr="00E74CE2" w:rsidRDefault="00DB1BEA" w:rsidP="00DB1BEA">
      <w:pPr>
        <w:pStyle w:val="FootnoteText"/>
        <w:rPr>
          <w:lang w:val="en-IE"/>
        </w:rPr>
      </w:pPr>
      <w:r w:rsidRPr="00E74CE2">
        <w:rPr>
          <w:rStyle w:val="FootnoteReference"/>
        </w:rPr>
        <w:footnoteRef/>
      </w:r>
      <w:r w:rsidRPr="00E74CE2">
        <w:tab/>
        <w:t xml:space="preserve">The Commission develops guidance and coordinates the sharing of risk information but is limited by the powers conferred to it in the operational domain and by the lack of ‘critical mass’   for performing these tasks. The Customs Control Equipment Instrument   provides financing to equip the customs offices with detection control equipment at the border. The Commission is entrusted with the implementation of the programme. The Customs programme for cooperation in the field of customs, also provides financing to facilitate and enhance customs cooperation between national customs authorities, and to build their administrative, human and information technology (IT) capacity. </w:t>
      </w:r>
    </w:p>
  </w:footnote>
  <w:footnote w:id="106">
    <w:p w14:paraId="049377A8" w14:textId="77777777" w:rsidR="00DB1BEA" w:rsidRPr="00E74CE2" w:rsidRDefault="00DB1BEA" w:rsidP="00DB1BEA">
      <w:pPr>
        <w:pStyle w:val="FootnoteText"/>
        <w:rPr>
          <w:kern w:val="2"/>
          <w14:ligatures w14:val="standardContextual"/>
        </w:rPr>
      </w:pPr>
      <w:r w:rsidRPr="00E74CE2">
        <w:rPr>
          <w:rStyle w:val="FootnoteReference"/>
        </w:rPr>
        <w:footnoteRef/>
      </w:r>
      <w:r w:rsidRPr="00E74CE2">
        <w:tab/>
        <w:t>The Council Resolution introducing a paperless environment for customs</w:t>
      </w:r>
      <w:r w:rsidRPr="00E74CE2">
        <w:rPr>
          <w:i/>
        </w:rPr>
        <w:t xml:space="preserve"> </w:t>
      </w:r>
      <w:r w:rsidRPr="00E74CE2">
        <w:t>already called on the Commission to draw a multiannual aiming at creating a European electronic environment. The same principle is in the Decision on electronic customs in late 2008 [</w:t>
      </w:r>
      <w:r w:rsidRPr="00E74CE2">
        <w:rPr>
          <w:i/>
        </w:rPr>
        <w:t>Decision No 70/2008/EC of the European Parliament and of the Council of 15 January 2008 on a paperless environment for customs and trade</w:t>
      </w:r>
      <w:r w:rsidRPr="00E74CE2">
        <w:t xml:space="preserve"> (OJ L 23, 26.1.2008, p.21)]. The Modernised Customs Code (MCC) also required electronic customs (Regulation (EC) No 450/2008 of the European Parliament and of the Council of 23 April 2008 laying down the Community Customs Code (Modernised Customs Code) (OJ L 145, 4.6.2008, p. 1–64)]. The MCC was recast into the UCC to adapt it to the Lisbon Treaty.</w:t>
      </w:r>
    </w:p>
  </w:footnote>
  <w:footnote w:id="107">
    <w:p w14:paraId="28622014" w14:textId="77777777" w:rsidR="00DB1BEA" w:rsidRPr="00E74CE2" w:rsidRDefault="00DB1BEA" w:rsidP="00DB1BEA">
      <w:pPr>
        <w:pStyle w:val="FootnoteText"/>
        <w:rPr>
          <w:kern w:val="2"/>
          <w:lang w:val="en-IE"/>
          <w14:ligatures w14:val="standardContextual"/>
        </w:rPr>
      </w:pPr>
      <w:r w:rsidRPr="00E74CE2">
        <w:rPr>
          <w:rStyle w:val="FootnoteReference"/>
        </w:rPr>
        <w:footnoteRef/>
      </w:r>
      <w:r w:rsidRPr="00E74CE2">
        <w:tab/>
        <w:t>The data are in Annexes 23-01, 23-02 and 23-03 of the UCC Implementing Act.</w:t>
      </w:r>
    </w:p>
  </w:footnote>
  <w:footnote w:id="108">
    <w:p w14:paraId="4FF05B46" w14:textId="77777777" w:rsidR="00DB1BEA" w:rsidRPr="00E74CE2" w:rsidRDefault="00DB1BEA" w:rsidP="00DB1BEA">
      <w:pPr>
        <w:pStyle w:val="FootnoteText"/>
      </w:pPr>
      <w:r w:rsidRPr="00E74CE2">
        <w:rPr>
          <w:rStyle w:val="FootnoteReference"/>
        </w:rPr>
        <w:footnoteRef/>
      </w:r>
      <w:r w:rsidRPr="00E74CE2">
        <w:t xml:space="preserve"> VIDA Impact assessment SWD (2022) 393 final</w:t>
      </w:r>
    </w:p>
  </w:footnote>
  <w:footnote w:id="109">
    <w:p w14:paraId="52EA7182" w14:textId="77777777" w:rsidR="00DB1BEA" w:rsidRPr="00E74CE2" w:rsidRDefault="00DB1BEA" w:rsidP="00DB1BEA">
      <w:pPr>
        <w:pStyle w:val="FootnoteText"/>
        <w:rPr>
          <w:lang w:val="en-IE"/>
        </w:rPr>
      </w:pPr>
      <w:r w:rsidRPr="00E74CE2">
        <w:rPr>
          <w:rStyle w:val="FootnoteReference"/>
        </w:rPr>
        <w:footnoteRef/>
      </w:r>
      <w:r w:rsidRPr="00E74CE2">
        <w:t xml:space="preserve"> Council Directive (EU) 2023/2226 of 17 October 2023 amending Directive 2011/16/EU on administrative cooperation in the field of taxation (DAC8)</w:t>
      </w:r>
    </w:p>
  </w:footnote>
  <w:footnote w:id="110">
    <w:p w14:paraId="07116358" w14:textId="77777777" w:rsidR="00DB1BEA" w:rsidRPr="00E74CE2" w:rsidRDefault="00DB1BEA" w:rsidP="00DB1BEA">
      <w:pPr>
        <w:pStyle w:val="FootnoteText"/>
      </w:pPr>
      <w:r w:rsidRPr="00E74CE2">
        <w:rPr>
          <w:rStyle w:val="FootnoteReference"/>
        </w:rPr>
        <w:footnoteRef/>
      </w:r>
      <w:r w:rsidRPr="00E74CE2">
        <w:t xml:space="preserve"> Council Directive (EU) 2025/50 of 10 December 2024 on faster and safer relief of excess withholding taxes</w:t>
      </w:r>
    </w:p>
  </w:footnote>
  <w:footnote w:id="111">
    <w:p w14:paraId="411CD5A6" w14:textId="77777777" w:rsidR="00DB1BEA" w:rsidRPr="00E74CE2" w:rsidRDefault="00DB1BEA" w:rsidP="00DB1BEA">
      <w:pPr>
        <w:pStyle w:val="FootnoteText"/>
      </w:pPr>
      <w:r w:rsidRPr="00E74CE2">
        <w:rPr>
          <w:rStyle w:val="FootnoteReference"/>
        </w:rPr>
        <w:footnoteRef/>
      </w:r>
      <w:r w:rsidRPr="00E74CE2">
        <w:t xml:space="preserve"> Proposal for a COUNCIL DIRECTIVE restructuring the Union framework for the taxation of energy products and electricity (recast) COM/2021/563 final</w:t>
      </w:r>
    </w:p>
  </w:footnote>
  <w:footnote w:id="112">
    <w:p w14:paraId="0A3D215E" w14:textId="77777777" w:rsidR="00DB1BEA" w:rsidRPr="00E74CE2" w:rsidRDefault="00DB1BEA" w:rsidP="00DB1BEA">
      <w:pPr>
        <w:pStyle w:val="FootnoteText"/>
        <w:rPr>
          <w:kern w:val="2"/>
          <w14:ligatures w14:val="standardContextual"/>
        </w:rPr>
      </w:pPr>
      <w:r w:rsidRPr="00E74CE2">
        <w:rPr>
          <w:rStyle w:val="FootnoteReference"/>
        </w:rPr>
        <w:footnoteRef/>
      </w:r>
      <w:r w:rsidRPr="00E74CE2">
        <w:t xml:space="preserve"> Council Regulation (EU) No 904/2010 of 7 October 2010 on administrative cooperation and combating fraud in the field of value added tax (OJ L 268, 12.10.2010, p. 1). ELI: </w:t>
      </w:r>
      <w:hyperlink r:id="rId41" w:history="1">
        <w:r w:rsidRPr="00E74CE2">
          <w:rPr>
            <w:rStyle w:val="Hyperlink"/>
          </w:rPr>
          <w:t>http://data.europa.eu/eli/reg/2010/904/2021-07-01</w:t>
        </w:r>
      </w:hyperlink>
      <w:r w:rsidRPr="00E74CE2">
        <w:t xml:space="preserve"> </w:t>
      </w:r>
    </w:p>
    <w:p w14:paraId="6635C161" w14:textId="77777777" w:rsidR="00DB1BEA" w:rsidRPr="00E74CE2" w:rsidRDefault="00DB1BEA" w:rsidP="00DB1BEA">
      <w:pPr>
        <w:pStyle w:val="FootnoteText"/>
      </w:pPr>
      <w:r w:rsidRPr="00E74CE2">
        <w:t>Council Regulation (EU) No 389/2012 of 2 May 2012 on administrative cooperation in the field of excise duties and repealing Regulation (EC) No 2073/2004 (OJ L 121, 8.5.2012, p. 1). ELI: </w:t>
      </w:r>
      <w:hyperlink r:id="rId42" w:tooltip="Gives access to this document through its ELI URI." w:history="1">
        <w:r w:rsidRPr="00E74CE2">
          <w:rPr>
            <w:rStyle w:val="Hyperlink"/>
          </w:rPr>
          <w:t>http://data.europa.eu/eli/reg/2012/389/2023-02-13</w:t>
        </w:r>
      </w:hyperlink>
    </w:p>
    <w:p w14:paraId="374882DA" w14:textId="77777777" w:rsidR="00DB1BEA" w:rsidRPr="00E74CE2" w:rsidRDefault="00DB1BEA" w:rsidP="00DB1BEA">
      <w:pPr>
        <w:pStyle w:val="FootnoteText"/>
      </w:pPr>
      <w:r w:rsidRPr="00E74CE2">
        <w:t>Council Directive 2011/16/EU of 15 February 2011 on administrative cooperation in the field of taxation and repealing Directive 77/799/EEC (OJ L 64, 11.3.2011, p. 1). ELI: </w:t>
      </w:r>
      <w:hyperlink r:id="rId43" w:tooltip="Gives access to this document through its ELI URI." w:history="1">
        <w:r w:rsidRPr="00E74CE2">
          <w:rPr>
            <w:rStyle w:val="Hyperlink"/>
          </w:rPr>
          <w:t>http://data.europa.eu/eli/dir/2011/16/2024-01-01</w:t>
        </w:r>
      </w:hyperlink>
    </w:p>
  </w:footnote>
  <w:footnote w:id="113">
    <w:p w14:paraId="735E061C" w14:textId="2763696D" w:rsidR="00DB1BEA" w:rsidRPr="00E74CE2" w:rsidRDefault="00DB1BEA" w:rsidP="00DB1BEA">
      <w:pPr>
        <w:rPr>
          <w:rFonts w:eastAsia="Times New Roman"/>
          <w:sz w:val="20"/>
          <w:szCs w:val="20"/>
        </w:rPr>
      </w:pPr>
      <w:r w:rsidRPr="00E74CE2">
        <w:rPr>
          <w:sz w:val="20"/>
          <w:szCs w:val="20"/>
          <w:vertAlign w:val="superscript"/>
        </w:rPr>
        <w:footnoteRef/>
      </w:r>
      <w:r w:rsidRPr="00E74CE2">
        <w:rPr>
          <w:sz w:val="20"/>
          <w:szCs w:val="20"/>
          <w:vertAlign w:val="superscript"/>
        </w:rPr>
        <w:t xml:space="preserve"> </w:t>
      </w:r>
      <w:r w:rsidRPr="00E74CE2">
        <w:rPr>
          <w:sz w:val="20"/>
          <w:szCs w:val="20"/>
        </w:rPr>
        <w:t xml:space="preserve">And through reinforcement of the Commission, also the overall reinforcement of the European Competition Network, as </w:t>
      </w:r>
      <w:r w:rsidRPr="00E74CE2">
        <w:rPr>
          <w:rFonts w:eastAsia="Times New Roman"/>
          <w:sz w:val="20"/>
          <w:szCs w:val="20"/>
        </w:rPr>
        <w:t xml:space="preserve">resources can be </w:t>
      </w:r>
      <w:r w:rsidR="006A2165" w:rsidRPr="00E74CE2">
        <w:rPr>
          <w:rFonts w:eastAsia="Times New Roman"/>
          <w:sz w:val="20"/>
          <w:szCs w:val="20"/>
        </w:rPr>
        <w:t>pooled when</w:t>
      </w:r>
      <w:r w:rsidRPr="00E74CE2">
        <w:rPr>
          <w:rFonts w:eastAsia="Times New Roman"/>
          <w:sz w:val="20"/>
          <w:szCs w:val="20"/>
        </w:rPr>
        <w:t xml:space="preserve"> it comes to using technology for better competition enforcement.</w:t>
      </w:r>
    </w:p>
  </w:footnote>
  <w:footnote w:id="114">
    <w:p w14:paraId="24C4558E" w14:textId="74E52BF8" w:rsidR="00C63049" w:rsidRPr="00E74CE2" w:rsidRDefault="00C63049">
      <w:pPr>
        <w:pStyle w:val="FootnoteText"/>
      </w:pPr>
      <w:r w:rsidRPr="00E74CE2">
        <w:rPr>
          <w:rStyle w:val="FootnoteReference"/>
        </w:rPr>
        <w:footnoteRef/>
      </w:r>
      <w:r w:rsidRPr="00E74CE2">
        <w:t xml:space="preserve"> </w:t>
      </w:r>
      <w:r w:rsidR="00DC0547" w:rsidRPr="00E74CE2">
        <w:t>The interim evaluation of the SMP found that d</w:t>
      </w:r>
      <w:r w:rsidR="005676EF" w:rsidRPr="00E74CE2">
        <w:t xml:space="preserve">uring the period from 2020 to 2023, the CPC authorities cooperated on 752 mutual requests including 514 which required enforcement measures and issued 182 alerts of suspected business practices suspected to breach of consumer law. </w:t>
      </w:r>
      <w:r w:rsidR="00DC0547" w:rsidRPr="00E74CE2">
        <w:t>Furthermore, between 2021-2023 the CPC authorities, carried out over 20 joint enforcement actions against leading market players (e.g. Airbnb, Booking, WhatsApp, Google, TikTok, Amazon etc.) which have been successfully finalised and agreements on improvements reached with companies</w:t>
      </w:r>
    </w:p>
  </w:footnote>
  <w:footnote w:id="115">
    <w:p w14:paraId="791D5E93" w14:textId="77777777" w:rsidR="00DB1BEA" w:rsidRPr="00E74CE2" w:rsidRDefault="00DB1BEA" w:rsidP="00DB1BEA">
      <w:pPr>
        <w:pStyle w:val="FootnoteText"/>
        <w:rPr>
          <w:kern w:val="2"/>
          <w14:ligatures w14:val="standardContextual"/>
        </w:rPr>
      </w:pPr>
      <w:r w:rsidRPr="00E74CE2">
        <w:rPr>
          <w:rStyle w:val="FootnoteReference"/>
        </w:rPr>
        <w:footnoteRef/>
      </w:r>
      <w:r w:rsidRPr="00E74CE2">
        <w:t xml:space="preserve"> COM(2023) 258 final</w:t>
      </w:r>
    </w:p>
  </w:footnote>
  <w:footnote w:id="116">
    <w:p w14:paraId="76C217B9" w14:textId="77777777" w:rsidR="00DB1BEA" w:rsidRPr="00E74CE2" w:rsidRDefault="00DB1BEA" w:rsidP="00DB1BEA">
      <w:pPr>
        <w:pStyle w:val="FootnoteText"/>
      </w:pPr>
      <w:r w:rsidRPr="00E74CE2">
        <w:rPr>
          <w:rStyle w:val="FootnoteReference"/>
        </w:rPr>
        <w:footnoteRef/>
      </w:r>
      <w:r w:rsidRPr="00E74CE2">
        <w:t xml:space="preserve"> </w:t>
      </w:r>
      <w:hyperlink r:id="rId44" w:history="1">
        <w:r w:rsidRPr="00E74CE2">
          <w:rPr>
            <w:rStyle w:val="Hyperlink"/>
          </w:rPr>
          <w:t>ECA special report No 4/2021</w:t>
        </w:r>
      </w:hyperlink>
      <w:r w:rsidRPr="00E74CE2">
        <w:t> : Customs controls: insufficient harmonisation hampers EU financial interests</w:t>
      </w:r>
    </w:p>
  </w:footnote>
  <w:footnote w:id="117">
    <w:p w14:paraId="0F150AD2" w14:textId="77777777" w:rsidR="00DB1BEA" w:rsidRPr="00E74CE2" w:rsidRDefault="00DB1BEA" w:rsidP="00DB1BEA">
      <w:pPr>
        <w:pStyle w:val="FootnoteText"/>
        <w:rPr>
          <w:lang w:val="en-IE"/>
        </w:rPr>
      </w:pPr>
      <w:r w:rsidRPr="00E74CE2">
        <w:rPr>
          <w:rStyle w:val="FootnoteReference"/>
        </w:rPr>
        <w:footnoteRef/>
      </w:r>
      <w:r w:rsidRPr="00E74CE2">
        <w:t xml:space="preserve"> ‘Report on controls on products entering the Union market with regard to product compliance in 2021’ drawn up in accordance with Article 25(6) of Regulation (EU) 2019/1020 on market surveillance and compliance of products; This report is marked as sensitive and accordingly not publicly available in accordance with the provisions of Article 4 of Regulation (EU) 1049/2001</w:t>
      </w:r>
    </w:p>
  </w:footnote>
  <w:footnote w:id="118">
    <w:p w14:paraId="354CE272" w14:textId="77777777" w:rsidR="00DB1BEA" w:rsidRPr="00E74CE2" w:rsidRDefault="00DB1BEA" w:rsidP="00DB1BEA">
      <w:pPr>
        <w:pStyle w:val="FootnoteText"/>
        <w:rPr>
          <w:lang w:val="en-IE"/>
        </w:rPr>
      </w:pPr>
      <w:r w:rsidRPr="00E74CE2">
        <w:rPr>
          <w:rStyle w:val="FootnoteReference"/>
        </w:rPr>
        <w:footnoteRef/>
      </w:r>
      <w:r w:rsidRPr="00E74CE2">
        <w:t xml:space="preserve"> Report on controls on products entering the Union market with regard to product compliance in 2021’ drawn up in accordance with Article 25(6) of Regulation (EU) 2019/1020 on market surveillance and compliance of products; This report is marked as sensitive and accordingly not publicly available in accordance with the provisions of Article 4 of Regulation (EU) 1049/2001</w:t>
      </w:r>
    </w:p>
  </w:footnote>
  <w:footnote w:id="119">
    <w:p w14:paraId="6198062E" w14:textId="77777777" w:rsidR="00DB1BEA" w:rsidRPr="00E74CE2" w:rsidRDefault="00DB1BEA" w:rsidP="00DB1BEA">
      <w:pPr>
        <w:pStyle w:val="FootnoteText"/>
        <w:rPr>
          <w:lang w:val="en-IE"/>
        </w:rPr>
      </w:pPr>
      <w:r w:rsidRPr="00E74CE2">
        <w:rPr>
          <w:rStyle w:val="FootnoteReference"/>
        </w:rPr>
        <w:footnoteRef/>
      </w:r>
      <w:r w:rsidRPr="00E74CE2">
        <w:t xml:space="preserve"> </w:t>
      </w:r>
      <w:hyperlink r:id="rId45" w:history="1">
        <w:r w:rsidRPr="00E74CE2">
          <w:rPr>
            <w:rStyle w:val="Hyperlink"/>
          </w:rPr>
          <w:t>EU Regulation 2019/1020</w:t>
        </w:r>
      </w:hyperlink>
      <w:r w:rsidRPr="00E74CE2">
        <w:t> , customs must release goods it suspended, if the market surveillance authorities have not requested to maintain suspension or reached other conclusions</w:t>
      </w:r>
    </w:p>
  </w:footnote>
  <w:footnote w:id="120">
    <w:p w14:paraId="0731B723" w14:textId="77777777" w:rsidR="00EF2AE3" w:rsidRPr="00E74CE2" w:rsidRDefault="00EF2AE3" w:rsidP="00EF2AE3">
      <w:pPr>
        <w:pStyle w:val="FootnoteText"/>
      </w:pPr>
      <w:r w:rsidRPr="00E74CE2">
        <w:rPr>
          <w:rStyle w:val="FootnoteReference"/>
        </w:rPr>
        <w:footnoteRef/>
      </w:r>
      <w:r w:rsidRPr="00E74CE2">
        <w:t xml:space="preserve"> This figure represents the total budget of the SMP including SMEs, and Food and Feed pillars.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42F2" w14:textId="77777777" w:rsidR="00112D5D" w:rsidRPr="00112D5D" w:rsidRDefault="00112D5D" w:rsidP="00112D5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F484" w14:textId="77777777" w:rsidR="00112D5D" w:rsidRPr="00112D5D" w:rsidRDefault="00112D5D" w:rsidP="00112D5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3CAF" w14:textId="77777777" w:rsidR="00112D5D" w:rsidRPr="00112D5D" w:rsidRDefault="00112D5D" w:rsidP="00112D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F17C" w14:textId="232C9F12" w:rsidR="00181249" w:rsidRDefault="00E06220">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633A" w14:textId="77777777" w:rsidR="00000000" w:rsidRDefault="00112D5D">
    <w:r>
      <w:c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150B" w14:textId="718977CC" w:rsidR="00181249" w:rsidRDefault="00E06220">
    <w:r>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93E3" w14:textId="18287FF8" w:rsidR="00181249" w:rsidRDefault="00E06220">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A5C5" w14:textId="77777777" w:rsidR="00000000" w:rsidRDefault="00112D5D">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4FE9" w14:textId="416563C7" w:rsidR="00181249" w:rsidRDefault="00E06220">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46D"/>
    <w:multiLevelType w:val="hybridMultilevel"/>
    <w:tmpl w:val="118EF536"/>
    <w:lvl w:ilvl="0" w:tplc="CAE64D08">
      <w:start w:val="1"/>
      <w:numFmt w:val="decimal"/>
      <w:lvlText w:val="%1."/>
      <w:lvlJc w:val="left"/>
      <w:pPr>
        <w:ind w:left="1020" w:hanging="360"/>
      </w:pPr>
    </w:lvl>
    <w:lvl w:ilvl="1" w:tplc="8194B2AA">
      <w:start w:val="1"/>
      <w:numFmt w:val="decimal"/>
      <w:lvlText w:val="%2."/>
      <w:lvlJc w:val="left"/>
      <w:pPr>
        <w:ind w:left="1020" w:hanging="360"/>
      </w:pPr>
    </w:lvl>
    <w:lvl w:ilvl="2" w:tplc="A1442984">
      <w:start w:val="1"/>
      <w:numFmt w:val="decimal"/>
      <w:lvlText w:val="%3."/>
      <w:lvlJc w:val="left"/>
      <w:pPr>
        <w:ind w:left="1020" w:hanging="360"/>
      </w:pPr>
    </w:lvl>
    <w:lvl w:ilvl="3" w:tplc="222672CC">
      <w:start w:val="1"/>
      <w:numFmt w:val="decimal"/>
      <w:lvlText w:val="%4."/>
      <w:lvlJc w:val="left"/>
      <w:pPr>
        <w:ind w:left="1020" w:hanging="360"/>
      </w:pPr>
    </w:lvl>
    <w:lvl w:ilvl="4" w:tplc="588EAD0A">
      <w:start w:val="1"/>
      <w:numFmt w:val="decimal"/>
      <w:lvlText w:val="%5."/>
      <w:lvlJc w:val="left"/>
      <w:pPr>
        <w:ind w:left="1020" w:hanging="360"/>
      </w:pPr>
    </w:lvl>
    <w:lvl w:ilvl="5" w:tplc="DFDED2F8">
      <w:start w:val="1"/>
      <w:numFmt w:val="decimal"/>
      <w:lvlText w:val="%6."/>
      <w:lvlJc w:val="left"/>
      <w:pPr>
        <w:ind w:left="1020" w:hanging="360"/>
      </w:pPr>
    </w:lvl>
    <w:lvl w:ilvl="6" w:tplc="EC1EF530">
      <w:start w:val="1"/>
      <w:numFmt w:val="decimal"/>
      <w:lvlText w:val="%7."/>
      <w:lvlJc w:val="left"/>
      <w:pPr>
        <w:ind w:left="1020" w:hanging="360"/>
      </w:pPr>
    </w:lvl>
    <w:lvl w:ilvl="7" w:tplc="FD6A6530">
      <w:start w:val="1"/>
      <w:numFmt w:val="decimal"/>
      <w:lvlText w:val="%8."/>
      <w:lvlJc w:val="left"/>
      <w:pPr>
        <w:ind w:left="1020" w:hanging="360"/>
      </w:pPr>
    </w:lvl>
    <w:lvl w:ilvl="8" w:tplc="5664CB5E">
      <w:start w:val="1"/>
      <w:numFmt w:val="decimal"/>
      <w:lvlText w:val="%9."/>
      <w:lvlJc w:val="left"/>
      <w:pPr>
        <w:ind w:left="1020" w:hanging="360"/>
      </w:pPr>
    </w:lvl>
  </w:abstractNum>
  <w:abstractNum w:abstractNumId="1" w15:restartNumberingAfterBreak="0">
    <w:nsid w:val="036431C2"/>
    <w:multiLevelType w:val="hybridMultilevel"/>
    <w:tmpl w:val="6ECAA154"/>
    <w:lvl w:ilvl="0" w:tplc="3C3ACEF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A4F62"/>
    <w:multiLevelType w:val="hybridMultilevel"/>
    <w:tmpl w:val="A5008E04"/>
    <w:lvl w:ilvl="0" w:tplc="3C3ACEFC">
      <w:start w:val="1"/>
      <w:numFmt w:val="bullet"/>
      <w:lvlText w:val="–"/>
      <w:lvlJc w:val="left"/>
      <w:pPr>
        <w:ind w:left="9009" w:hanging="360"/>
      </w:pPr>
      <w:rPr>
        <w:rFonts w:ascii="Calibri" w:hAnsi="Calibri"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072C41A4"/>
    <w:multiLevelType w:val="hybridMultilevel"/>
    <w:tmpl w:val="AAF87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05E31B"/>
    <w:multiLevelType w:val="hybridMultilevel"/>
    <w:tmpl w:val="FFFFFFFF"/>
    <w:lvl w:ilvl="0" w:tplc="FD1CADC8">
      <w:start w:val="1"/>
      <w:numFmt w:val="decimal"/>
      <w:lvlText w:val="%1."/>
      <w:lvlJc w:val="left"/>
      <w:pPr>
        <w:ind w:left="720" w:hanging="360"/>
      </w:pPr>
    </w:lvl>
    <w:lvl w:ilvl="1" w:tplc="79E6E86E">
      <w:start w:val="1"/>
      <w:numFmt w:val="lowerLetter"/>
      <w:lvlText w:val="%2."/>
      <w:lvlJc w:val="left"/>
      <w:pPr>
        <w:ind w:left="1440" w:hanging="360"/>
      </w:pPr>
    </w:lvl>
    <w:lvl w:ilvl="2" w:tplc="8070C00E">
      <w:start w:val="1"/>
      <w:numFmt w:val="lowerRoman"/>
      <w:lvlText w:val="%3."/>
      <w:lvlJc w:val="right"/>
      <w:pPr>
        <w:ind w:left="2160" w:hanging="180"/>
      </w:pPr>
    </w:lvl>
    <w:lvl w:ilvl="3" w:tplc="7108D1D2">
      <w:start w:val="1"/>
      <w:numFmt w:val="decimal"/>
      <w:lvlText w:val="%4."/>
      <w:lvlJc w:val="left"/>
      <w:pPr>
        <w:ind w:left="2880" w:hanging="360"/>
      </w:pPr>
    </w:lvl>
    <w:lvl w:ilvl="4" w:tplc="12D84722">
      <w:start w:val="1"/>
      <w:numFmt w:val="lowerLetter"/>
      <w:lvlText w:val="%5."/>
      <w:lvlJc w:val="left"/>
      <w:pPr>
        <w:ind w:left="3600" w:hanging="360"/>
      </w:pPr>
    </w:lvl>
    <w:lvl w:ilvl="5" w:tplc="34D66F48">
      <w:start w:val="1"/>
      <w:numFmt w:val="lowerRoman"/>
      <w:lvlText w:val="%6."/>
      <w:lvlJc w:val="right"/>
      <w:pPr>
        <w:ind w:left="4320" w:hanging="180"/>
      </w:pPr>
    </w:lvl>
    <w:lvl w:ilvl="6" w:tplc="BB5EACBA">
      <w:start w:val="1"/>
      <w:numFmt w:val="decimal"/>
      <w:lvlText w:val="%7."/>
      <w:lvlJc w:val="left"/>
      <w:pPr>
        <w:ind w:left="5040" w:hanging="360"/>
      </w:pPr>
    </w:lvl>
    <w:lvl w:ilvl="7" w:tplc="E3DE5F96">
      <w:start w:val="1"/>
      <w:numFmt w:val="lowerLetter"/>
      <w:lvlText w:val="%8."/>
      <w:lvlJc w:val="left"/>
      <w:pPr>
        <w:ind w:left="5760" w:hanging="360"/>
      </w:pPr>
    </w:lvl>
    <w:lvl w:ilvl="8" w:tplc="98E0514C">
      <w:start w:val="1"/>
      <w:numFmt w:val="lowerRoman"/>
      <w:lvlText w:val="%9."/>
      <w:lvlJc w:val="right"/>
      <w:pPr>
        <w:ind w:left="6480" w:hanging="180"/>
      </w:pPr>
    </w:lvl>
  </w:abstractNum>
  <w:abstractNum w:abstractNumId="5" w15:restartNumberingAfterBreak="0">
    <w:nsid w:val="091B9F9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C320FF"/>
    <w:multiLevelType w:val="hybridMultilevel"/>
    <w:tmpl w:val="2266127A"/>
    <w:lvl w:ilvl="0" w:tplc="A46A1D46">
      <w:numFmt w:val="bullet"/>
      <w:lvlText w:val="-"/>
      <w:lvlJc w:val="left"/>
      <w:pPr>
        <w:ind w:left="84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D433F5"/>
    <w:multiLevelType w:val="hybridMultilevel"/>
    <w:tmpl w:val="AAF878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8D7237F"/>
    <w:multiLevelType w:val="hybridMultilevel"/>
    <w:tmpl w:val="B5483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1A58AD"/>
    <w:multiLevelType w:val="hybridMultilevel"/>
    <w:tmpl w:val="96BADE12"/>
    <w:lvl w:ilvl="0" w:tplc="B96013B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4147E8"/>
    <w:multiLevelType w:val="hybridMultilevel"/>
    <w:tmpl w:val="748EF3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734306"/>
    <w:multiLevelType w:val="multilevel"/>
    <w:tmpl w:val="C1E288A4"/>
    <w:lvl w:ilvl="0">
      <w:start w:val="1"/>
      <w:numFmt w:val="decimal"/>
      <w:pStyle w:val="Heading1"/>
      <w:lvlText w:val="%1."/>
      <w:lvlJc w:val="left"/>
      <w:pPr>
        <w:tabs>
          <w:tab w:val="num" w:pos="1200"/>
        </w:tabs>
        <w:ind w:left="1200" w:hanging="480"/>
      </w:pPr>
      <w:rPr>
        <w:rFonts w:hint="default"/>
      </w:rPr>
    </w:lvl>
    <w:lvl w:ilvl="1">
      <w:start w:val="1"/>
      <w:numFmt w:val="decimal"/>
      <w:pStyle w:val="Heading2"/>
      <w:lvlText w:val="%1.%2."/>
      <w:lvlJc w:val="left"/>
      <w:pPr>
        <w:tabs>
          <w:tab w:val="num" w:pos="3709"/>
        </w:tabs>
        <w:ind w:left="3709" w:hanging="720"/>
      </w:pPr>
      <w:rPr>
        <w:rFonts w:hint="default"/>
      </w:rPr>
    </w:lvl>
    <w:lvl w:ilvl="2">
      <w:start w:val="1"/>
      <w:numFmt w:val="decimal"/>
      <w:pStyle w:val="Heading3"/>
      <w:lvlText w:val="%1.%2.%3."/>
      <w:lvlJc w:val="left"/>
      <w:pPr>
        <w:tabs>
          <w:tab w:val="num" w:pos="2575"/>
        </w:tabs>
        <w:ind w:left="2575" w:hanging="720"/>
      </w:pPr>
      <w:rPr>
        <w:rFonts w:hint="default"/>
      </w:rPr>
    </w:lvl>
    <w:lvl w:ilvl="3">
      <w:start w:val="1"/>
      <w:numFmt w:val="decimal"/>
      <w:pStyle w:val="Heading4"/>
      <w:lvlText w:val="%1.%2.%3.%4."/>
      <w:lvlJc w:val="left"/>
      <w:pPr>
        <w:tabs>
          <w:tab w:val="num" w:pos="2717"/>
        </w:tabs>
        <w:ind w:left="2717"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1FBA4FFF"/>
    <w:multiLevelType w:val="multilevel"/>
    <w:tmpl w:val="49522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656A91"/>
    <w:multiLevelType w:val="hybridMultilevel"/>
    <w:tmpl w:val="2B6671B2"/>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4" w15:restartNumberingAfterBreak="0">
    <w:nsid w:val="24520568"/>
    <w:multiLevelType w:val="hybridMultilevel"/>
    <w:tmpl w:val="2668DB08"/>
    <w:lvl w:ilvl="0" w:tplc="3C3ACE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FFE9E"/>
    <w:multiLevelType w:val="multilevel"/>
    <w:tmpl w:val="FFFFFFFF"/>
    <w:lvl w:ilvl="0">
      <w:start w:val="1"/>
      <w:numFmt w:val="decimal"/>
      <w:lvlText w:val="%1."/>
      <w:lvlJc w:val="left"/>
      <w:pPr>
        <w:ind w:left="1495" w:hanging="360"/>
      </w:pPr>
    </w:lvl>
    <w:lvl w:ilvl="1">
      <w:start w:val="1"/>
      <w:numFmt w:val="lowerLetter"/>
      <w:lvlText w:val="%2."/>
      <w:lvlJc w:val="left"/>
      <w:pPr>
        <w:ind w:left="2215" w:hanging="360"/>
      </w:pPr>
    </w:lvl>
    <w:lvl w:ilvl="2">
      <w:start w:val="1"/>
      <w:numFmt w:val="decimal"/>
      <w:lvlText w:val="%3.%2.%3."/>
      <w:lvlJc w:val="lef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6" w15:restartNumberingAfterBreak="0">
    <w:nsid w:val="289C11C4"/>
    <w:multiLevelType w:val="hybridMultilevel"/>
    <w:tmpl w:val="8E7222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889B3"/>
    <w:multiLevelType w:val="hybridMultilevel"/>
    <w:tmpl w:val="FFFFFFFF"/>
    <w:lvl w:ilvl="0" w:tplc="A8D0BB86">
      <w:start w:val="1"/>
      <w:numFmt w:val="decimal"/>
      <w:lvlText w:val="%1."/>
      <w:lvlJc w:val="left"/>
      <w:pPr>
        <w:ind w:left="2062" w:hanging="360"/>
      </w:pPr>
    </w:lvl>
    <w:lvl w:ilvl="1" w:tplc="7BAACA64">
      <w:start w:val="6"/>
      <w:numFmt w:val="decimal"/>
      <w:lvlText w:val="%2.%2."/>
      <w:lvlJc w:val="left"/>
      <w:pPr>
        <w:ind w:left="2782" w:hanging="360"/>
      </w:pPr>
    </w:lvl>
    <w:lvl w:ilvl="2" w:tplc="1AB4EDA4">
      <w:start w:val="1"/>
      <w:numFmt w:val="lowerRoman"/>
      <w:lvlText w:val="%3."/>
      <w:lvlJc w:val="right"/>
      <w:pPr>
        <w:ind w:left="3502" w:hanging="180"/>
      </w:pPr>
    </w:lvl>
    <w:lvl w:ilvl="3" w:tplc="7016778E">
      <w:start w:val="1"/>
      <w:numFmt w:val="decimal"/>
      <w:lvlText w:val="%4."/>
      <w:lvlJc w:val="left"/>
      <w:pPr>
        <w:ind w:left="4222" w:hanging="360"/>
      </w:pPr>
    </w:lvl>
    <w:lvl w:ilvl="4" w:tplc="FE7EE1AE">
      <w:start w:val="1"/>
      <w:numFmt w:val="lowerLetter"/>
      <w:lvlText w:val="%5."/>
      <w:lvlJc w:val="left"/>
      <w:pPr>
        <w:ind w:left="4942" w:hanging="360"/>
      </w:pPr>
    </w:lvl>
    <w:lvl w:ilvl="5" w:tplc="53624EDC">
      <w:start w:val="1"/>
      <w:numFmt w:val="lowerRoman"/>
      <w:lvlText w:val="%6."/>
      <w:lvlJc w:val="right"/>
      <w:pPr>
        <w:ind w:left="5662" w:hanging="180"/>
      </w:pPr>
    </w:lvl>
    <w:lvl w:ilvl="6" w:tplc="CB727FB8">
      <w:start w:val="1"/>
      <w:numFmt w:val="decimal"/>
      <w:lvlText w:val="%7."/>
      <w:lvlJc w:val="left"/>
      <w:pPr>
        <w:ind w:left="6382" w:hanging="360"/>
      </w:pPr>
    </w:lvl>
    <w:lvl w:ilvl="7" w:tplc="297AA464">
      <w:start w:val="1"/>
      <w:numFmt w:val="lowerLetter"/>
      <w:lvlText w:val="%8."/>
      <w:lvlJc w:val="left"/>
      <w:pPr>
        <w:ind w:left="7102" w:hanging="360"/>
      </w:pPr>
    </w:lvl>
    <w:lvl w:ilvl="8" w:tplc="06A8BAA0">
      <w:start w:val="1"/>
      <w:numFmt w:val="lowerRoman"/>
      <w:lvlText w:val="%9."/>
      <w:lvlJc w:val="right"/>
      <w:pPr>
        <w:ind w:left="7822" w:hanging="180"/>
      </w:pPr>
    </w:lvl>
  </w:abstractNum>
  <w:abstractNum w:abstractNumId="18" w15:restartNumberingAfterBreak="0">
    <w:nsid w:val="2AA5527C"/>
    <w:multiLevelType w:val="hybridMultilevel"/>
    <w:tmpl w:val="FFFFFFFF"/>
    <w:lvl w:ilvl="0" w:tplc="513855FE">
      <w:start w:val="1"/>
      <w:numFmt w:val="bullet"/>
      <w:lvlText w:val="-"/>
      <w:lvlJc w:val="left"/>
      <w:pPr>
        <w:ind w:left="720" w:hanging="360"/>
      </w:pPr>
      <w:rPr>
        <w:rFonts w:ascii="Calibri" w:hAnsi="Calibri" w:hint="default"/>
      </w:rPr>
    </w:lvl>
    <w:lvl w:ilvl="1" w:tplc="492A2890">
      <w:start w:val="1"/>
      <w:numFmt w:val="bullet"/>
      <w:lvlText w:val="o"/>
      <w:lvlJc w:val="left"/>
      <w:pPr>
        <w:ind w:left="1440" w:hanging="360"/>
      </w:pPr>
      <w:rPr>
        <w:rFonts w:ascii="Courier New" w:hAnsi="Courier New" w:hint="default"/>
      </w:rPr>
    </w:lvl>
    <w:lvl w:ilvl="2" w:tplc="688EA24C">
      <w:start w:val="1"/>
      <w:numFmt w:val="bullet"/>
      <w:lvlText w:val=""/>
      <w:lvlJc w:val="left"/>
      <w:pPr>
        <w:ind w:left="2160" w:hanging="360"/>
      </w:pPr>
      <w:rPr>
        <w:rFonts w:ascii="Wingdings" w:hAnsi="Wingdings" w:hint="default"/>
      </w:rPr>
    </w:lvl>
    <w:lvl w:ilvl="3" w:tplc="CE8663A2">
      <w:start w:val="1"/>
      <w:numFmt w:val="bullet"/>
      <w:lvlText w:val=""/>
      <w:lvlJc w:val="left"/>
      <w:pPr>
        <w:ind w:left="2880" w:hanging="360"/>
      </w:pPr>
      <w:rPr>
        <w:rFonts w:ascii="Symbol" w:hAnsi="Symbol" w:hint="default"/>
      </w:rPr>
    </w:lvl>
    <w:lvl w:ilvl="4" w:tplc="C1C426F2">
      <w:start w:val="1"/>
      <w:numFmt w:val="bullet"/>
      <w:lvlText w:val="o"/>
      <w:lvlJc w:val="left"/>
      <w:pPr>
        <w:ind w:left="3600" w:hanging="360"/>
      </w:pPr>
      <w:rPr>
        <w:rFonts w:ascii="Courier New" w:hAnsi="Courier New" w:hint="default"/>
      </w:rPr>
    </w:lvl>
    <w:lvl w:ilvl="5" w:tplc="7DC201A8">
      <w:start w:val="1"/>
      <w:numFmt w:val="bullet"/>
      <w:lvlText w:val=""/>
      <w:lvlJc w:val="left"/>
      <w:pPr>
        <w:ind w:left="4320" w:hanging="360"/>
      </w:pPr>
      <w:rPr>
        <w:rFonts w:ascii="Wingdings" w:hAnsi="Wingdings" w:hint="default"/>
      </w:rPr>
    </w:lvl>
    <w:lvl w:ilvl="6" w:tplc="C51689F4">
      <w:start w:val="1"/>
      <w:numFmt w:val="bullet"/>
      <w:lvlText w:val=""/>
      <w:lvlJc w:val="left"/>
      <w:pPr>
        <w:ind w:left="5040" w:hanging="360"/>
      </w:pPr>
      <w:rPr>
        <w:rFonts w:ascii="Symbol" w:hAnsi="Symbol" w:hint="default"/>
      </w:rPr>
    </w:lvl>
    <w:lvl w:ilvl="7" w:tplc="C7CEC0E0">
      <w:start w:val="1"/>
      <w:numFmt w:val="bullet"/>
      <w:lvlText w:val="o"/>
      <w:lvlJc w:val="left"/>
      <w:pPr>
        <w:ind w:left="5760" w:hanging="360"/>
      </w:pPr>
      <w:rPr>
        <w:rFonts w:ascii="Courier New" w:hAnsi="Courier New" w:hint="default"/>
      </w:rPr>
    </w:lvl>
    <w:lvl w:ilvl="8" w:tplc="0C349E5E">
      <w:start w:val="1"/>
      <w:numFmt w:val="bullet"/>
      <w:lvlText w:val=""/>
      <w:lvlJc w:val="left"/>
      <w:pPr>
        <w:ind w:left="6480" w:hanging="360"/>
      </w:pPr>
      <w:rPr>
        <w:rFonts w:ascii="Wingdings" w:hAnsi="Wingdings" w:hint="default"/>
      </w:rPr>
    </w:lvl>
  </w:abstractNum>
  <w:abstractNum w:abstractNumId="19" w15:restartNumberingAfterBreak="0">
    <w:nsid w:val="2AD3287E"/>
    <w:multiLevelType w:val="multilevel"/>
    <w:tmpl w:val="40D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119DD"/>
    <w:multiLevelType w:val="hybridMultilevel"/>
    <w:tmpl w:val="C19CEE90"/>
    <w:lvl w:ilvl="0" w:tplc="080C0001">
      <w:start w:val="1"/>
      <w:numFmt w:val="bullet"/>
      <w:lvlText w:val=""/>
      <w:lvlJc w:val="left"/>
      <w:pPr>
        <w:ind w:left="578" w:hanging="360"/>
      </w:pPr>
      <w:rPr>
        <w:rFonts w:ascii="Symbol" w:hAnsi="Symbol"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1" w15:restartNumberingAfterBreak="0">
    <w:nsid w:val="2B447DC6"/>
    <w:multiLevelType w:val="hybridMultilevel"/>
    <w:tmpl w:val="C35C2D42"/>
    <w:lvl w:ilvl="0" w:tplc="922AEB0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C335AAF"/>
    <w:multiLevelType w:val="hybridMultilevel"/>
    <w:tmpl w:val="588091DE"/>
    <w:lvl w:ilvl="0" w:tplc="93CEE7C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CB00C87"/>
    <w:multiLevelType w:val="hybridMultilevel"/>
    <w:tmpl w:val="ACE2C7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2D7C2884"/>
    <w:multiLevelType w:val="hybridMultilevel"/>
    <w:tmpl w:val="2D8A8724"/>
    <w:lvl w:ilvl="0" w:tplc="93CEE7C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2F3DF339"/>
    <w:multiLevelType w:val="hybridMultilevel"/>
    <w:tmpl w:val="0BB45656"/>
    <w:lvl w:ilvl="0" w:tplc="AA60D168">
      <w:start w:val="1"/>
      <w:numFmt w:val="decimal"/>
      <w:lvlText w:val="%1."/>
      <w:lvlJc w:val="left"/>
      <w:pPr>
        <w:ind w:left="720" w:hanging="360"/>
      </w:pPr>
    </w:lvl>
    <w:lvl w:ilvl="1" w:tplc="315CFF82">
      <w:start w:val="1"/>
      <w:numFmt w:val="lowerLetter"/>
      <w:lvlText w:val="%2."/>
      <w:lvlJc w:val="left"/>
      <w:pPr>
        <w:ind w:left="1440" w:hanging="360"/>
      </w:pPr>
    </w:lvl>
    <w:lvl w:ilvl="2" w:tplc="ABF0CC84">
      <w:start w:val="1"/>
      <w:numFmt w:val="lowerRoman"/>
      <w:lvlText w:val="%3."/>
      <w:lvlJc w:val="right"/>
      <w:pPr>
        <w:ind w:left="2160" w:hanging="180"/>
      </w:pPr>
    </w:lvl>
    <w:lvl w:ilvl="3" w:tplc="86C488D2">
      <w:start w:val="1"/>
      <w:numFmt w:val="decimal"/>
      <w:lvlText w:val="%4."/>
      <w:lvlJc w:val="left"/>
      <w:pPr>
        <w:ind w:left="2880" w:hanging="360"/>
      </w:pPr>
    </w:lvl>
    <w:lvl w:ilvl="4" w:tplc="5F34E924">
      <w:start w:val="1"/>
      <w:numFmt w:val="lowerLetter"/>
      <w:lvlText w:val="%5."/>
      <w:lvlJc w:val="left"/>
      <w:pPr>
        <w:ind w:left="3600" w:hanging="360"/>
      </w:pPr>
    </w:lvl>
    <w:lvl w:ilvl="5" w:tplc="87FE7A7E">
      <w:start w:val="1"/>
      <w:numFmt w:val="lowerRoman"/>
      <w:lvlText w:val="%6."/>
      <w:lvlJc w:val="right"/>
      <w:pPr>
        <w:ind w:left="4320" w:hanging="180"/>
      </w:pPr>
    </w:lvl>
    <w:lvl w:ilvl="6" w:tplc="B3DCAACA">
      <w:start w:val="1"/>
      <w:numFmt w:val="decimal"/>
      <w:lvlText w:val="%7."/>
      <w:lvlJc w:val="left"/>
      <w:pPr>
        <w:ind w:left="5040" w:hanging="360"/>
      </w:pPr>
    </w:lvl>
    <w:lvl w:ilvl="7" w:tplc="83861268">
      <w:start w:val="1"/>
      <w:numFmt w:val="lowerLetter"/>
      <w:lvlText w:val="%8."/>
      <w:lvlJc w:val="left"/>
      <w:pPr>
        <w:ind w:left="5760" w:hanging="360"/>
      </w:pPr>
    </w:lvl>
    <w:lvl w:ilvl="8" w:tplc="96C6D790">
      <w:start w:val="1"/>
      <w:numFmt w:val="lowerRoman"/>
      <w:lvlText w:val="%9."/>
      <w:lvlJc w:val="right"/>
      <w:pPr>
        <w:ind w:left="6480" w:hanging="180"/>
      </w:pPr>
    </w:lvl>
  </w:abstractNum>
  <w:abstractNum w:abstractNumId="26" w15:restartNumberingAfterBreak="0">
    <w:nsid w:val="30D35145"/>
    <w:multiLevelType w:val="hybridMultilevel"/>
    <w:tmpl w:val="665AFCC4"/>
    <w:lvl w:ilvl="0" w:tplc="B0EE3E0A">
      <w:start w:val="1"/>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181508F"/>
    <w:multiLevelType w:val="hybridMultilevel"/>
    <w:tmpl w:val="A1E0AA50"/>
    <w:lvl w:ilvl="0" w:tplc="33BAD4C8">
      <w:start w:val="1"/>
      <w:numFmt w:val="bullet"/>
      <w:pStyle w:val="bullet1"/>
      <w:lvlText w:val=""/>
      <w:lvlJc w:val="left"/>
      <w:pPr>
        <w:ind w:left="720" w:hanging="360"/>
      </w:pPr>
      <w:rPr>
        <w:rFonts w:ascii="Symbol" w:hAnsi="Symbol" w:hint="default"/>
        <w:b/>
        <w:i w:val="0"/>
        <w:color w:val="auto"/>
        <w:sz w:val="24"/>
      </w:rPr>
    </w:lvl>
    <w:lvl w:ilvl="1" w:tplc="D758FE2C">
      <w:start w:val="1"/>
      <w:numFmt w:val="bullet"/>
      <w:lvlText w:val="o"/>
      <w:lvlJc w:val="left"/>
      <w:pPr>
        <w:ind w:left="1440" w:hanging="360"/>
      </w:pPr>
      <w:rPr>
        <w:rFonts w:ascii="Courier New" w:hAnsi="Courier New" w:hint="default"/>
        <w:color w:val="1F497D" w:themeColor="text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1CE771E"/>
    <w:multiLevelType w:val="multilevel"/>
    <w:tmpl w:val="24E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194332"/>
    <w:multiLevelType w:val="hybridMultilevel"/>
    <w:tmpl w:val="7F742A00"/>
    <w:lvl w:ilvl="0" w:tplc="842C053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587CDA"/>
    <w:multiLevelType w:val="hybridMultilevel"/>
    <w:tmpl w:val="C6ECE310"/>
    <w:lvl w:ilvl="0" w:tplc="02DC1220">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1" w15:restartNumberingAfterBreak="0">
    <w:nsid w:val="3B9F7691"/>
    <w:multiLevelType w:val="hybridMultilevel"/>
    <w:tmpl w:val="59569146"/>
    <w:lvl w:ilvl="0" w:tplc="C130E574">
      <w:start w:val="1"/>
      <w:numFmt w:val="bullet"/>
      <w:pStyle w:val="Bullets2"/>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3E4E7CBA"/>
    <w:multiLevelType w:val="hybridMultilevel"/>
    <w:tmpl w:val="4A6C84EE"/>
    <w:lvl w:ilvl="0" w:tplc="DF8A553E">
      <w:numFmt w:val="bullet"/>
      <w:lvlText w:val="-"/>
      <w:lvlJc w:val="left"/>
      <w:pPr>
        <w:ind w:left="720" w:hanging="360"/>
      </w:pPr>
      <w:rPr>
        <w:rFonts w:ascii="Aptos" w:hAnsi="Aptos" w:hint="default"/>
      </w:rPr>
    </w:lvl>
    <w:lvl w:ilvl="1" w:tplc="C5887EDC">
      <w:start w:val="1"/>
      <w:numFmt w:val="bullet"/>
      <w:lvlText w:val="o"/>
      <w:lvlJc w:val="left"/>
      <w:pPr>
        <w:ind w:left="927" w:hanging="360"/>
      </w:pPr>
      <w:rPr>
        <w:rFonts w:ascii="Courier New" w:hAnsi="Courier New" w:hint="default"/>
      </w:rPr>
    </w:lvl>
    <w:lvl w:ilvl="2" w:tplc="254AF3F0">
      <w:start w:val="1"/>
      <w:numFmt w:val="bullet"/>
      <w:lvlText w:val=""/>
      <w:lvlJc w:val="left"/>
      <w:pPr>
        <w:ind w:left="2160" w:hanging="360"/>
      </w:pPr>
      <w:rPr>
        <w:rFonts w:ascii="Wingdings" w:hAnsi="Wingdings" w:hint="default"/>
      </w:rPr>
    </w:lvl>
    <w:lvl w:ilvl="3" w:tplc="C2BC4F6E" w:tentative="1">
      <w:start w:val="1"/>
      <w:numFmt w:val="bullet"/>
      <w:lvlText w:val=""/>
      <w:lvlJc w:val="left"/>
      <w:pPr>
        <w:ind w:left="2880" w:hanging="360"/>
      </w:pPr>
      <w:rPr>
        <w:rFonts w:ascii="Symbol" w:hAnsi="Symbol" w:hint="default"/>
      </w:rPr>
    </w:lvl>
    <w:lvl w:ilvl="4" w:tplc="A2EEEDA8" w:tentative="1">
      <w:start w:val="1"/>
      <w:numFmt w:val="bullet"/>
      <w:lvlText w:val="o"/>
      <w:lvlJc w:val="left"/>
      <w:pPr>
        <w:ind w:left="3600" w:hanging="360"/>
      </w:pPr>
      <w:rPr>
        <w:rFonts w:ascii="Courier New" w:hAnsi="Courier New" w:hint="default"/>
      </w:rPr>
    </w:lvl>
    <w:lvl w:ilvl="5" w:tplc="C3960D8A" w:tentative="1">
      <w:start w:val="1"/>
      <w:numFmt w:val="bullet"/>
      <w:lvlText w:val=""/>
      <w:lvlJc w:val="left"/>
      <w:pPr>
        <w:ind w:left="4320" w:hanging="360"/>
      </w:pPr>
      <w:rPr>
        <w:rFonts w:ascii="Wingdings" w:hAnsi="Wingdings" w:hint="default"/>
      </w:rPr>
    </w:lvl>
    <w:lvl w:ilvl="6" w:tplc="EB98B556" w:tentative="1">
      <w:start w:val="1"/>
      <w:numFmt w:val="bullet"/>
      <w:lvlText w:val=""/>
      <w:lvlJc w:val="left"/>
      <w:pPr>
        <w:ind w:left="5040" w:hanging="360"/>
      </w:pPr>
      <w:rPr>
        <w:rFonts w:ascii="Symbol" w:hAnsi="Symbol" w:hint="default"/>
      </w:rPr>
    </w:lvl>
    <w:lvl w:ilvl="7" w:tplc="273CB690" w:tentative="1">
      <w:start w:val="1"/>
      <w:numFmt w:val="bullet"/>
      <w:lvlText w:val="o"/>
      <w:lvlJc w:val="left"/>
      <w:pPr>
        <w:ind w:left="5760" w:hanging="360"/>
      </w:pPr>
      <w:rPr>
        <w:rFonts w:ascii="Courier New" w:hAnsi="Courier New" w:hint="default"/>
      </w:rPr>
    </w:lvl>
    <w:lvl w:ilvl="8" w:tplc="403EF014" w:tentative="1">
      <w:start w:val="1"/>
      <w:numFmt w:val="bullet"/>
      <w:lvlText w:val=""/>
      <w:lvlJc w:val="left"/>
      <w:pPr>
        <w:ind w:left="6480" w:hanging="360"/>
      </w:pPr>
      <w:rPr>
        <w:rFonts w:ascii="Wingdings" w:hAnsi="Wingdings" w:hint="default"/>
      </w:rPr>
    </w:lvl>
  </w:abstractNum>
  <w:abstractNum w:abstractNumId="34" w15:restartNumberingAfterBreak="0">
    <w:nsid w:val="3F1B24E6"/>
    <w:multiLevelType w:val="hybridMultilevel"/>
    <w:tmpl w:val="77D47E30"/>
    <w:lvl w:ilvl="0" w:tplc="9BC8D9E4">
      <w:start w:val="1"/>
      <w:numFmt w:val="bullet"/>
      <w:lvlText w:val=""/>
      <w:lvlJc w:val="left"/>
      <w:pPr>
        <w:ind w:left="720" w:hanging="360"/>
      </w:pPr>
      <w:rPr>
        <w:rFonts w:ascii="Symbol" w:hAnsi="Symbol"/>
      </w:rPr>
    </w:lvl>
    <w:lvl w:ilvl="1" w:tplc="AA8EAF0A">
      <w:start w:val="1"/>
      <w:numFmt w:val="bullet"/>
      <w:lvlText w:val=""/>
      <w:lvlJc w:val="left"/>
      <w:pPr>
        <w:ind w:left="720" w:hanging="360"/>
      </w:pPr>
      <w:rPr>
        <w:rFonts w:ascii="Symbol" w:hAnsi="Symbol"/>
      </w:rPr>
    </w:lvl>
    <w:lvl w:ilvl="2" w:tplc="7E723B32">
      <w:start w:val="1"/>
      <w:numFmt w:val="bullet"/>
      <w:lvlText w:val=""/>
      <w:lvlJc w:val="left"/>
      <w:pPr>
        <w:ind w:left="720" w:hanging="360"/>
      </w:pPr>
      <w:rPr>
        <w:rFonts w:ascii="Symbol" w:hAnsi="Symbol"/>
      </w:rPr>
    </w:lvl>
    <w:lvl w:ilvl="3" w:tplc="63201E6A">
      <w:start w:val="1"/>
      <w:numFmt w:val="bullet"/>
      <w:lvlText w:val=""/>
      <w:lvlJc w:val="left"/>
      <w:pPr>
        <w:ind w:left="720" w:hanging="360"/>
      </w:pPr>
      <w:rPr>
        <w:rFonts w:ascii="Symbol" w:hAnsi="Symbol"/>
      </w:rPr>
    </w:lvl>
    <w:lvl w:ilvl="4" w:tplc="2CF88BA4">
      <w:start w:val="1"/>
      <w:numFmt w:val="bullet"/>
      <w:lvlText w:val=""/>
      <w:lvlJc w:val="left"/>
      <w:pPr>
        <w:ind w:left="720" w:hanging="360"/>
      </w:pPr>
      <w:rPr>
        <w:rFonts w:ascii="Symbol" w:hAnsi="Symbol"/>
      </w:rPr>
    </w:lvl>
    <w:lvl w:ilvl="5" w:tplc="B156C938">
      <w:start w:val="1"/>
      <w:numFmt w:val="bullet"/>
      <w:lvlText w:val=""/>
      <w:lvlJc w:val="left"/>
      <w:pPr>
        <w:ind w:left="720" w:hanging="360"/>
      </w:pPr>
      <w:rPr>
        <w:rFonts w:ascii="Symbol" w:hAnsi="Symbol"/>
      </w:rPr>
    </w:lvl>
    <w:lvl w:ilvl="6" w:tplc="18AE22FC">
      <w:start w:val="1"/>
      <w:numFmt w:val="bullet"/>
      <w:lvlText w:val=""/>
      <w:lvlJc w:val="left"/>
      <w:pPr>
        <w:ind w:left="720" w:hanging="360"/>
      </w:pPr>
      <w:rPr>
        <w:rFonts w:ascii="Symbol" w:hAnsi="Symbol"/>
      </w:rPr>
    </w:lvl>
    <w:lvl w:ilvl="7" w:tplc="65AE2D82">
      <w:start w:val="1"/>
      <w:numFmt w:val="bullet"/>
      <w:lvlText w:val=""/>
      <w:lvlJc w:val="left"/>
      <w:pPr>
        <w:ind w:left="720" w:hanging="360"/>
      </w:pPr>
      <w:rPr>
        <w:rFonts w:ascii="Symbol" w:hAnsi="Symbol"/>
      </w:rPr>
    </w:lvl>
    <w:lvl w:ilvl="8" w:tplc="563228A4">
      <w:start w:val="1"/>
      <w:numFmt w:val="bullet"/>
      <w:lvlText w:val=""/>
      <w:lvlJc w:val="left"/>
      <w:pPr>
        <w:ind w:left="720" w:hanging="360"/>
      </w:pPr>
      <w:rPr>
        <w:rFonts w:ascii="Symbol" w:hAnsi="Symbol"/>
      </w:rPr>
    </w:lvl>
  </w:abstractNum>
  <w:abstractNum w:abstractNumId="35" w15:restartNumberingAfterBreak="0">
    <w:nsid w:val="3F611E2C"/>
    <w:multiLevelType w:val="hybridMultilevel"/>
    <w:tmpl w:val="96BADE12"/>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E97AF6"/>
    <w:multiLevelType w:val="hybridMultilevel"/>
    <w:tmpl w:val="C5E8F026"/>
    <w:lvl w:ilvl="0" w:tplc="3C3ACEFC">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4E1649"/>
    <w:multiLevelType w:val="hybridMultilevel"/>
    <w:tmpl w:val="76EA6602"/>
    <w:lvl w:ilvl="0" w:tplc="A46A1D46">
      <w:numFmt w:val="bullet"/>
      <w:lvlText w:val="-"/>
      <w:lvlJc w:val="left"/>
      <w:pPr>
        <w:ind w:left="840" w:hanging="360"/>
      </w:pPr>
      <w:rPr>
        <w:rFonts w:ascii="Times New Roman" w:eastAsiaTheme="minorHAnsi" w:hAnsi="Times New Roman" w:cs="Times New Roman" w:hint="default"/>
      </w:rPr>
    </w:lvl>
    <w:lvl w:ilvl="1" w:tplc="080C0003" w:tentative="1">
      <w:start w:val="1"/>
      <w:numFmt w:val="bullet"/>
      <w:lvlText w:val="o"/>
      <w:lvlJc w:val="left"/>
      <w:pPr>
        <w:ind w:left="1560" w:hanging="360"/>
      </w:pPr>
      <w:rPr>
        <w:rFonts w:ascii="Courier New" w:hAnsi="Courier New" w:cs="Courier New" w:hint="default"/>
      </w:rPr>
    </w:lvl>
    <w:lvl w:ilvl="2" w:tplc="080C0005" w:tentative="1">
      <w:start w:val="1"/>
      <w:numFmt w:val="bullet"/>
      <w:lvlText w:val=""/>
      <w:lvlJc w:val="left"/>
      <w:pPr>
        <w:ind w:left="2280" w:hanging="360"/>
      </w:pPr>
      <w:rPr>
        <w:rFonts w:ascii="Wingdings" w:hAnsi="Wingdings" w:hint="default"/>
      </w:rPr>
    </w:lvl>
    <w:lvl w:ilvl="3" w:tplc="080C0001" w:tentative="1">
      <w:start w:val="1"/>
      <w:numFmt w:val="bullet"/>
      <w:lvlText w:val=""/>
      <w:lvlJc w:val="left"/>
      <w:pPr>
        <w:ind w:left="3000" w:hanging="360"/>
      </w:pPr>
      <w:rPr>
        <w:rFonts w:ascii="Symbol" w:hAnsi="Symbol" w:hint="default"/>
      </w:rPr>
    </w:lvl>
    <w:lvl w:ilvl="4" w:tplc="080C0003" w:tentative="1">
      <w:start w:val="1"/>
      <w:numFmt w:val="bullet"/>
      <w:lvlText w:val="o"/>
      <w:lvlJc w:val="left"/>
      <w:pPr>
        <w:ind w:left="3720" w:hanging="360"/>
      </w:pPr>
      <w:rPr>
        <w:rFonts w:ascii="Courier New" w:hAnsi="Courier New" w:cs="Courier New" w:hint="default"/>
      </w:rPr>
    </w:lvl>
    <w:lvl w:ilvl="5" w:tplc="080C0005" w:tentative="1">
      <w:start w:val="1"/>
      <w:numFmt w:val="bullet"/>
      <w:lvlText w:val=""/>
      <w:lvlJc w:val="left"/>
      <w:pPr>
        <w:ind w:left="4440" w:hanging="360"/>
      </w:pPr>
      <w:rPr>
        <w:rFonts w:ascii="Wingdings" w:hAnsi="Wingdings" w:hint="default"/>
      </w:rPr>
    </w:lvl>
    <w:lvl w:ilvl="6" w:tplc="080C0001" w:tentative="1">
      <w:start w:val="1"/>
      <w:numFmt w:val="bullet"/>
      <w:lvlText w:val=""/>
      <w:lvlJc w:val="left"/>
      <w:pPr>
        <w:ind w:left="5160" w:hanging="360"/>
      </w:pPr>
      <w:rPr>
        <w:rFonts w:ascii="Symbol" w:hAnsi="Symbol" w:hint="default"/>
      </w:rPr>
    </w:lvl>
    <w:lvl w:ilvl="7" w:tplc="080C0003" w:tentative="1">
      <w:start w:val="1"/>
      <w:numFmt w:val="bullet"/>
      <w:lvlText w:val="o"/>
      <w:lvlJc w:val="left"/>
      <w:pPr>
        <w:ind w:left="5880" w:hanging="360"/>
      </w:pPr>
      <w:rPr>
        <w:rFonts w:ascii="Courier New" w:hAnsi="Courier New" w:cs="Courier New" w:hint="default"/>
      </w:rPr>
    </w:lvl>
    <w:lvl w:ilvl="8" w:tplc="080C0005" w:tentative="1">
      <w:start w:val="1"/>
      <w:numFmt w:val="bullet"/>
      <w:lvlText w:val=""/>
      <w:lvlJc w:val="left"/>
      <w:pPr>
        <w:ind w:left="6600" w:hanging="360"/>
      </w:pPr>
      <w:rPr>
        <w:rFonts w:ascii="Wingdings" w:hAnsi="Wingdings" w:hint="default"/>
      </w:rPr>
    </w:lvl>
  </w:abstractNum>
  <w:abstractNum w:abstractNumId="38" w15:restartNumberingAfterBreak="0">
    <w:nsid w:val="44C3301D"/>
    <w:multiLevelType w:val="multilevel"/>
    <w:tmpl w:val="66D8D22A"/>
    <w:lvl w:ilvl="0">
      <w:start w:val="1"/>
      <w:numFmt w:val="decimal"/>
      <w:pStyle w:val="Title1"/>
      <w:lvlText w:val="%1."/>
      <w:lvlJc w:val="left"/>
      <w:pPr>
        <w:ind w:left="360" w:hanging="360"/>
      </w:pPr>
      <w:rPr>
        <w:rFonts w:hint="default"/>
      </w:rPr>
    </w:lvl>
    <w:lvl w:ilvl="1">
      <w:start w:val="1"/>
      <w:numFmt w:val="decimal"/>
      <w:pStyle w:val="Title2"/>
      <w:suff w:val="space"/>
      <w:lvlText w:val="%1.%2."/>
      <w:lvlJc w:val="left"/>
      <w:pPr>
        <w:ind w:left="916" w:hanging="491"/>
      </w:pPr>
      <w:rPr>
        <w:rFonts w:ascii="Times New Roman" w:hAnsi="Times New Roman" w:cs="Times New Roman" w:hint="default"/>
        <w:b w:val="0"/>
        <w:i w:val="0"/>
        <w:color w:val="auto"/>
        <w:spacing w:val="0"/>
        <w:sz w:val="24"/>
        <w:szCs w:val="24"/>
        <w14:numSpacing w14:val="proportional"/>
      </w:rPr>
    </w:lvl>
    <w:lvl w:ilvl="2">
      <w:start w:val="1"/>
      <w:numFmt w:val="decimal"/>
      <w:pStyle w:val="title3"/>
      <w:suff w:val="space"/>
      <w:lvlText w:val="%1.%2.%3."/>
      <w:lvlJc w:val="left"/>
      <w:pPr>
        <w:ind w:left="1531" w:hanging="811"/>
      </w:pPr>
      <w:rPr>
        <w:rFonts w:ascii="Arial" w:hAnsi="Arial"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0" w15:restartNumberingAfterBreak="0">
    <w:nsid w:val="4A24B14D"/>
    <w:multiLevelType w:val="hybridMultilevel"/>
    <w:tmpl w:val="FFFFFFFF"/>
    <w:lvl w:ilvl="0" w:tplc="89261B78">
      <w:start w:val="2"/>
      <w:numFmt w:val="decimal"/>
      <w:lvlText w:val="%1."/>
      <w:lvlJc w:val="left"/>
      <w:pPr>
        <w:ind w:left="720" w:hanging="360"/>
      </w:pPr>
    </w:lvl>
    <w:lvl w:ilvl="1" w:tplc="23ACC044">
      <w:start w:val="1"/>
      <w:numFmt w:val="lowerLetter"/>
      <w:lvlText w:val="%2."/>
      <w:lvlJc w:val="left"/>
      <w:pPr>
        <w:ind w:left="1440" w:hanging="360"/>
      </w:pPr>
    </w:lvl>
    <w:lvl w:ilvl="2" w:tplc="63E856DE">
      <w:start w:val="1"/>
      <w:numFmt w:val="lowerRoman"/>
      <w:lvlText w:val="%3."/>
      <w:lvlJc w:val="right"/>
      <w:pPr>
        <w:ind w:left="2160" w:hanging="180"/>
      </w:pPr>
    </w:lvl>
    <w:lvl w:ilvl="3" w:tplc="F7B0CF10">
      <w:start w:val="1"/>
      <w:numFmt w:val="decimal"/>
      <w:lvlText w:val="%4."/>
      <w:lvlJc w:val="left"/>
      <w:pPr>
        <w:ind w:left="2880" w:hanging="360"/>
      </w:pPr>
    </w:lvl>
    <w:lvl w:ilvl="4" w:tplc="3B0CC014">
      <w:start w:val="1"/>
      <w:numFmt w:val="lowerLetter"/>
      <w:lvlText w:val="%5."/>
      <w:lvlJc w:val="left"/>
      <w:pPr>
        <w:ind w:left="3600" w:hanging="360"/>
      </w:pPr>
    </w:lvl>
    <w:lvl w:ilvl="5" w:tplc="5C664974">
      <w:start w:val="1"/>
      <w:numFmt w:val="lowerRoman"/>
      <w:lvlText w:val="%6."/>
      <w:lvlJc w:val="right"/>
      <w:pPr>
        <w:ind w:left="4320" w:hanging="180"/>
      </w:pPr>
    </w:lvl>
    <w:lvl w:ilvl="6" w:tplc="5BCAC92E">
      <w:start w:val="1"/>
      <w:numFmt w:val="decimal"/>
      <w:lvlText w:val="%7."/>
      <w:lvlJc w:val="left"/>
      <w:pPr>
        <w:ind w:left="5040" w:hanging="360"/>
      </w:pPr>
    </w:lvl>
    <w:lvl w:ilvl="7" w:tplc="89FAD0D4">
      <w:start w:val="1"/>
      <w:numFmt w:val="lowerLetter"/>
      <w:lvlText w:val="%8."/>
      <w:lvlJc w:val="left"/>
      <w:pPr>
        <w:ind w:left="5760" w:hanging="360"/>
      </w:pPr>
    </w:lvl>
    <w:lvl w:ilvl="8" w:tplc="E572CE32">
      <w:start w:val="1"/>
      <w:numFmt w:val="lowerRoman"/>
      <w:lvlText w:val="%9."/>
      <w:lvlJc w:val="right"/>
      <w:pPr>
        <w:ind w:left="6480" w:hanging="180"/>
      </w:pPr>
    </w:lvl>
  </w:abstractNum>
  <w:abstractNum w:abstractNumId="41" w15:restartNumberingAfterBreak="0">
    <w:nsid w:val="4AD04CDE"/>
    <w:multiLevelType w:val="hybridMultilevel"/>
    <w:tmpl w:val="238E75DA"/>
    <w:lvl w:ilvl="0" w:tplc="3C3ACE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D108B4"/>
    <w:multiLevelType w:val="hybridMultilevel"/>
    <w:tmpl w:val="5142DAD6"/>
    <w:lvl w:ilvl="0" w:tplc="04A20B6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406E01"/>
    <w:multiLevelType w:val="hybridMultilevel"/>
    <w:tmpl w:val="1F44D77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4FDA2972"/>
    <w:multiLevelType w:val="hybridMultilevel"/>
    <w:tmpl w:val="61F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813A9E"/>
    <w:multiLevelType w:val="hybridMultilevel"/>
    <w:tmpl w:val="ED162858"/>
    <w:lvl w:ilvl="0" w:tplc="10C0E5C0">
      <w:start w:val="1"/>
      <w:numFmt w:val="decimal"/>
      <w:lvlText w:val="%1."/>
      <w:lvlJc w:val="left"/>
      <w:pPr>
        <w:ind w:left="1020" w:hanging="360"/>
      </w:pPr>
    </w:lvl>
    <w:lvl w:ilvl="1" w:tplc="936ADFF8">
      <w:start w:val="1"/>
      <w:numFmt w:val="decimal"/>
      <w:lvlText w:val="%2."/>
      <w:lvlJc w:val="left"/>
      <w:pPr>
        <w:ind w:left="1020" w:hanging="360"/>
      </w:pPr>
    </w:lvl>
    <w:lvl w:ilvl="2" w:tplc="C924F7E2">
      <w:start w:val="1"/>
      <w:numFmt w:val="decimal"/>
      <w:lvlText w:val="%3."/>
      <w:lvlJc w:val="left"/>
      <w:pPr>
        <w:ind w:left="1020" w:hanging="360"/>
      </w:pPr>
    </w:lvl>
    <w:lvl w:ilvl="3" w:tplc="1C1256A2">
      <w:start w:val="1"/>
      <w:numFmt w:val="decimal"/>
      <w:lvlText w:val="%4."/>
      <w:lvlJc w:val="left"/>
      <w:pPr>
        <w:ind w:left="1020" w:hanging="360"/>
      </w:pPr>
    </w:lvl>
    <w:lvl w:ilvl="4" w:tplc="EF925920">
      <w:start w:val="1"/>
      <w:numFmt w:val="decimal"/>
      <w:lvlText w:val="%5."/>
      <w:lvlJc w:val="left"/>
      <w:pPr>
        <w:ind w:left="1020" w:hanging="360"/>
      </w:pPr>
    </w:lvl>
    <w:lvl w:ilvl="5" w:tplc="8990EDC6">
      <w:start w:val="1"/>
      <w:numFmt w:val="decimal"/>
      <w:lvlText w:val="%6."/>
      <w:lvlJc w:val="left"/>
      <w:pPr>
        <w:ind w:left="1020" w:hanging="360"/>
      </w:pPr>
    </w:lvl>
    <w:lvl w:ilvl="6" w:tplc="5638F472">
      <w:start w:val="1"/>
      <w:numFmt w:val="decimal"/>
      <w:lvlText w:val="%7."/>
      <w:lvlJc w:val="left"/>
      <w:pPr>
        <w:ind w:left="1020" w:hanging="360"/>
      </w:pPr>
    </w:lvl>
    <w:lvl w:ilvl="7" w:tplc="6F50C14A">
      <w:start w:val="1"/>
      <w:numFmt w:val="decimal"/>
      <w:lvlText w:val="%8."/>
      <w:lvlJc w:val="left"/>
      <w:pPr>
        <w:ind w:left="1020" w:hanging="360"/>
      </w:pPr>
    </w:lvl>
    <w:lvl w:ilvl="8" w:tplc="BC9ADCC0">
      <w:start w:val="1"/>
      <w:numFmt w:val="decimal"/>
      <w:lvlText w:val="%9."/>
      <w:lvlJc w:val="left"/>
      <w:pPr>
        <w:ind w:left="1020" w:hanging="360"/>
      </w:pPr>
    </w:lvl>
  </w:abstractNum>
  <w:abstractNum w:abstractNumId="46" w15:restartNumberingAfterBreak="0">
    <w:nsid w:val="551845DA"/>
    <w:multiLevelType w:val="hybridMultilevel"/>
    <w:tmpl w:val="26526F92"/>
    <w:lvl w:ilvl="0" w:tplc="3C3ACEF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5AC6E64"/>
    <w:multiLevelType w:val="hybridMultilevel"/>
    <w:tmpl w:val="A688563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8" w15:restartNumberingAfterBreak="0">
    <w:nsid w:val="55D92F0C"/>
    <w:multiLevelType w:val="hybridMultilevel"/>
    <w:tmpl w:val="31D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1D0AD1"/>
    <w:multiLevelType w:val="hybridMultilevel"/>
    <w:tmpl w:val="FFFFFFFF"/>
    <w:lvl w:ilvl="0" w:tplc="199A87A8">
      <w:start w:val="1"/>
      <w:numFmt w:val="lowerLetter"/>
      <w:lvlText w:val="b)"/>
      <w:lvlJc w:val="left"/>
      <w:pPr>
        <w:ind w:left="720" w:hanging="360"/>
      </w:pPr>
    </w:lvl>
    <w:lvl w:ilvl="1" w:tplc="B94AD454">
      <w:start w:val="1"/>
      <w:numFmt w:val="lowerLetter"/>
      <w:lvlText w:val="%2."/>
      <w:lvlJc w:val="left"/>
      <w:pPr>
        <w:ind w:left="1440" w:hanging="360"/>
      </w:pPr>
    </w:lvl>
    <w:lvl w:ilvl="2" w:tplc="51EC1ACC">
      <w:start w:val="1"/>
      <w:numFmt w:val="lowerRoman"/>
      <w:lvlText w:val="%3."/>
      <w:lvlJc w:val="right"/>
      <w:pPr>
        <w:ind w:left="2160" w:hanging="180"/>
      </w:pPr>
    </w:lvl>
    <w:lvl w:ilvl="3" w:tplc="79E841A8">
      <w:start w:val="1"/>
      <w:numFmt w:val="decimal"/>
      <w:lvlText w:val="%4."/>
      <w:lvlJc w:val="left"/>
      <w:pPr>
        <w:ind w:left="2880" w:hanging="360"/>
      </w:pPr>
    </w:lvl>
    <w:lvl w:ilvl="4" w:tplc="5DE483D6">
      <w:start w:val="1"/>
      <w:numFmt w:val="lowerLetter"/>
      <w:lvlText w:val="%5."/>
      <w:lvlJc w:val="left"/>
      <w:pPr>
        <w:ind w:left="3600" w:hanging="360"/>
      </w:pPr>
    </w:lvl>
    <w:lvl w:ilvl="5" w:tplc="38A4586E">
      <w:start w:val="1"/>
      <w:numFmt w:val="lowerRoman"/>
      <w:lvlText w:val="%6."/>
      <w:lvlJc w:val="right"/>
      <w:pPr>
        <w:ind w:left="4320" w:hanging="180"/>
      </w:pPr>
    </w:lvl>
    <w:lvl w:ilvl="6" w:tplc="E6BE9154">
      <w:start w:val="1"/>
      <w:numFmt w:val="decimal"/>
      <w:lvlText w:val="%7."/>
      <w:lvlJc w:val="left"/>
      <w:pPr>
        <w:ind w:left="5040" w:hanging="360"/>
      </w:pPr>
    </w:lvl>
    <w:lvl w:ilvl="7" w:tplc="AC7A4C36">
      <w:start w:val="1"/>
      <w:numFmt w:val="lowerLetter"/>
      <w:lvlText w:val="%8."/>
      <w:lvlJc w:val="left"/>
      <w:pPr>
        <w:ind w:left="5760" w:hanging="360"/>
      </w:pPr>
    </w:lvl>
    <w:lvl w:ilvl="8" w:tplc="39C47010">
      <w:start w:val="1"/>
      <w:numFmt w:val="lowerRoman"/>
      <w:lvlText w:val="%9."/>
      <w:lvlJc w:val="right"/>
      <w:pPr>
        <w:ind w:left="6480" w:hanging="180"/>
      </w:pPr>
    </w:lvl>
  </w:abstractNum>
  <w:abstractNum w:abstractNumId="50" w15:restartNumberingAfterBreak="0">
    <w:nsid w:val="5BB621E7"/>
    <w:multiLevelType w:val="multilevel"/>
    <w:tmpl w:val="FFFFFFFF"/>
    <w:lvl w:ilvl="0">
      <w:numFmt w:val="none"/>
      <w:lvlText w:val=""/>
      <w:lvlJc w:val="left"/>
      <w:pPr>
        <w:tabs>
          <w:tab w:val="num" w:pos="360"/>
        </w:tabs>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1" w15:restartNumberingAfterBreak="0">
    <w:nsid w:val="5CE1623A"/>
    <w:multiLevelType w:val="hybridMultilevel"/>
    <w:tmpl w:val="1E3AF4AA"/>
    <w:lvl w:ilvl="0" w:tplc="08090001">
      <w:start w:val="1"/>
      <w:numFmt w:val="bullet"/>
      <w:lvlText w:val=""/>
      <w:lvlJc w:val="left"/>
      <w:pPr>
        <w:ind w:left="720" w:hanging="360"/>
      </w:pPr>
      <w:rPr>
        <w:rFonts w:ascii="Symbol" w:hAnsi="Symbol" w:hint="default"/>
      </w:rPr>
    </w:lvl>
    <w:lvl w:ilvl="1" w:tplc="9F7CDB4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417B33"/>
    <w:multiLevelType w:val="hybridMultilevel"/>
    <w:tmpl w:val="50D68020"/>
    <w:lvl w:ilvl="0" w:tplc="E7B25AB2">
      <w:start w:val="1"/>
      <w:numFmt w:val="decimal"/>
      <w:lvlText w:val="Tool #%1."/>
      <w:lvlJc w:val="left"/>
      <w:pPr>
        <w:ind w:left="7023" w:hanging="360"/>
      </w:pPr>
      <w:rPr>
        <w:rFonts w:ascii="Times New Roman Bold" w:hAnsi="Times New Roman Bold" w:hint="default"/>
        <w:b/>
        <w:i w:val="0"/>
        <w:caps/>
        <w:color w:val="948A54" w:themeColor="background2" w:themeShade="8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4" w15:restartNumberingAfterBreak="0">
    <w:nsid w:val="6102FF28"/>
    <w:multiLevelType w:val="hybridMultilevel"/>
    <w:tmpl w:val="FFFFFFFF"/>
    <w:lvl w:ilvl="0" w:tplc="ACC810CC">
      <w:start w:val="3"/>
      <w:numFmt w:val="decimal"/>
      <w:lvlText w:val="%1."/>
      <w:lvlJc w:val="left"/>
      <w:pPr>
        <w:ind w:left="720" w:hanging="360"/>
      </w:pPr>
    </w:lvl>
    <w:lvl w:ilvl="1" w:tplc="A29CDC7A">
      <w:start w:val="1"/>
      <w:numFmt w:val="lowerLetter"/>
      <w:lvlText w:val="%2."/>
      <w:lvlJc w:val="left"/>
      <w:pPr>
        <w:ind w:left="1440" w:hanging="360"/>
      </w:pPr>
    </w:lvl>
    <w:lvl w:ilvl="2" w:tplc="F1D62130">
      <w:start w:val="1"/>
      <w:numFmt w:val="lowerRoman"/>
      <w:lvlText w:val="%3."/>
      <w:lvlJc w:val="right"/>
      <w:pPr>
        <w:ind w:left="2160" w:hanging="180"/>
      </w:pPr>
    </w:lvl>
    <w:lvl w:ilvl="3" w:tplc="A54CE912">
      <w:start w:val="1"/>
      <w:numFmt w:val="decimal"/>
      <w:lvlText w:val="%4."/>
      <w:lvlJc w:val="left"/>
      <w:pPr>
        <w:ind w:left="2880" w:hanging="360"/>
      </w:pPr>
    </w:lvl>
    <w:lvl w:ilvl="4" w:tplc="11346436">
      <w:start w:val="1"/>
      <w:numFmt w:val="lowerLetter"/>
      <w:lvlText w:val="%5."/>
      <w:lvlJc w:val="left"/>
      <w:pPr>
        <w:ind w:left="3600" w:hanging="360"/>
      </w:pPr>
    </w:lvl>
    <w:lvl w:ilvl="5" w:tplc="0BC499A8">
      <w:start w:val="1"/>
      <w:numFmt w:val="lowerRoman"/>
      <w:lvlText w:val="%6."/>
      <w:lvlJc w:val="right"/>
      <w:pPr>
        <w:ind w:left="4320" w:hanging="180"/>
      </w:pPr>
    </w:lvl>
    <w:lvl w:ilvl="6" w:tplc="2E5E5590">
      <w:start w:val="1"/>
      <w:numFmt w:val="decimal"/>
      <w:lvlText w:val="%7."/>
      <w:lvlJc w:val="left"/>
      <w:pPr>
        <w:ind w:left="5040" w:hanging="360"/>
      </w:pPr>
    </w:lvl>
    <w:lvl w:ilvl="7" w:tplc="D2163D8A">
      <w:start w:val="1"/>
      <w:numFmt w:val="lowerLetter"/>
      <w:lvlText w:val="%8."/>
      <w:lvlJc w:val="left"/>
      <w:pPr>
        <w:ind w:left="5760" w:hanging="360"/>
      </w:pPr>
    </w:lvl>
    <w:lvl w:ilvl="8" w:tplc="4776DFE8">
      <w:start w:val="1"/>
      <w:numFmt w:val="lowerRoman"/>
      <w:lvlText w:val="%9."/>
      <w:lvlJc w:val="right"/>
      <w:pPr>
        <w:ind w:left="6480" w:hanging="180"/>
      </w:pPr>
    </w:lvl>
  </w:abstractNum>
  <w:abstractNum w:abstractNumId="55" w15:restartNumberingAfterBreak="0">
    <w:nsid w:val="62C97C50"/>
    <w:multiLevelType w:val="hybridMultilevel"/>
    <w:tmpl w:val="C2E8BE56"/>
    <w:lvl w:ilvl="0" w:tplc="E974AF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32A12B1"/>
    <w:multiLevelType w:val="hybridMultilevel"/>
    <w:tmpl w:val="9954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AF155F"/>
    <w:multiLevelType w:val="hybridMultilevel"/>
    <w:tmpl w:val="371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CCFD00"/>
    <w:multiLevelType w:val="hybridMultilevel"/>
    <w:tmpl w:val="39723DD8"/>
    <w:lvl w:ilvl="0" w:tplc="1902D0CC">
      <w:start w:val="1"/>
      <w:numFmt w:val="decimal"/>
      <w:lvlText w:val="%1."/>
      <w:lvlJc w:val="left"/>
      <w:pPr>
        <w:ind w:left="720" w:hanging="360"/>
      </w:pPr>
    </w:lvl>
    <w:lvl w:ilvl="1" w:tplc="B0F8CF68">
      <w:start w:val="1"/>
      <w:numFmt w:val="lowerLetter"/>
      <w:lvlText w:val="%2."/>
      <w:lvlJc w:val="left"/>
      <w:pPr>
        <w:ind w:left="1440" w:hanging="360"/>
      </w:pPr>
    </w:lvl>
    <w:lvl w:ilvl="2" w:tplc="65F01124">
      <w:start w:val="1"/>
      <w:numFmt w:val="lowerRoman"/>
      <w:lvlText w:val="%3."/>
      <w:lvlJc w:val="right"/>
      <w:pPr>
        <w:ind w:left="2160" w:hanging="180"/>
      </w:pPr>
    </w:lvl>
    <w:lvl w:ilvl="3" w:tplc="DA905826">
      <w:start w:val="1"/>
      <w:numFmt w:val="decimal"/>
      <w:pStyle w:val="NumPar4"/>
      <w:lvlText w:val="%4."/>
      <w:lvlJc w:val="left"/>
      <w:pPr>
        <w:ind w:left="2880" w:hanging="360"/>
      </w:pPr>
    </w:lvl>
    <w:lvl w:ilvl="4" w:tplc="FF24B30C">
      <w:start w:val="1"/>
      <w:numFmt w:val="lowerLetter"/>
      <w:lvlText w:val="%5."/>
      <w:lvlJc w:val="left"/>
      <w:pPr>
        <w:ind w:left="3600" w:hanging="360"/>
      </w:pPr>
    </w:lvl>
    <w:lvl w:ilvl="5" w:tplc="65DE64EA">
      <w:start w:val="1"/>
      <w:numFmt w:val="lowerRoman"/>
      <w:lvlText w:val="%6."/>
      <w:lvlJc w:val="right"/>
      <w:pPr>
        <w:ind w:left="4320" w:hanging="180"/>
      </w:pPr>
    </w:lvl>
    <w:lvl w:ilvl="6" w:tplc="D4F8CA1C">
      <w:start w:val="1"/>
      <w:numFmt w:val="decimal"/>
      <w:lvlText w:val="%7."/>
      <w:lvlJc w:val="left"/>
      <w:pPr>
        <w:ind w:left="5040" w:hanging="360"/>
      </w:pPr>
    </w:lvl>
    <w:lvl w:ilvl="7" w:tplc="0B669DE8">
      <w:start w:val="1"/>
      <w:numFmt w:val="lowerLetter"/>
      <w:lvlText w:val="%8."/>
      <w:lvlJc w:val="left"/>
      <w:pPr>
        <w:ind w:left="5760" w:hanging="360"/>
      </w:pPr>
    </w:lvl>
    <w:lvl w:ilvl="8" w:tplc="5038FC18">
      <w:start w:val="1"/>
      <w:numFmt w:val="lowerRoman"/>
      <w:lvlText w:val="%9."/>
      <w:lvlJc w:val="right"/>
      <w:pPr>
        <w:ind w:left="6480" w:hanging="180"/>
      </w:pPr>
    </w:lvl>
  </w:abstractNum>
  <w:abstractNum w:abstractNumId="59" w15:restartNumberingAfterBreak="0">
    <w:nsid w:val="6D9702DB"/>
    <w:multiLevelType w:val="hybridMultilevel"/>
    <w:tmpl w:val="5E1E1C36"/>
    <w:lvl w:ilvl="0" w:tplc="B87858F4">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0C44CE08">
      <w:numFmt w:val="bullet"/>
      <w:lvlText w:val="•"/>
      <w:lvlJc w:val="left"/>
      <w:pPr>
        <w:ind w:left="1796" w:hanging="360"/>
      </w:pPr>
      <w:rPr>
        <w:rFonts w:hint="default"/>
        <w:lang w:val="en-US" w:eastAsia="en-US" w:bidi="ar-SA"/>
      </w:rPr>
    </w:lvl>
    <w:lvl w:ilvl="2" w:tplc="ACFE1952">
      <w:numFmt w:val="bullet"/>
      <w:lvlText w:val="•"/>
      <w:lvlJc w:val="left"/>
      <w:pPr>
        <w:ind w:left="2653" w:hanging="360"/>
      </w:pPr>
      <w:rPr>
        <w:rFonts w:hint="default"/>
        <w:lang w:val="en-US" w:eastAsia="en-US" w:bidi="ar-SA"/>
      </w:rPr>
    </w:lvl>
    <w:lvl w:ilvl="3" w:tplc="DF4AB692">
      <w:numFmt w:val="bullet"/>
      <w:lvlText w:val="•"/>
      <w:lvlJc w:val="left"/>
      <w:pPr>
        <w:ind w:left="3509" w:hanging="360"/>
      </w:pPr>
      <w:rPr>
        <w:rFonts w:hint="default"/>
        <w:lang w:val="en-US" w:eastAsia="en-US" w:bidi="ar-SA"/>
      </w:rPr>
    </w:lvl>
    <w:lvl w:ilvl="4" w:tplc="971465F0">
      <w:numFmt w:val="bullet"/>
      <w:lvlText w:val="•"/>
      <w:lvlJc w:val="left"/>
      <w:pPr>
        <w:ind w:left="4366" w:hanging="360"/>
      </w:pPr>
      <w:rPr>
        <w:rFonts w:hint="default"/>
        <w:lang w:val="en-US" w:eastAsia="en-US" w:bidi="ar-SA"/>
      </w:rPr>
    </w:lvl>
    <w:lvl w:ilvl="5" w:tplc="2050E0A8">
      <w:numFmt w:val="bullet"/>
      <w:lvlText w:val="•"/>
      <w:lvlJc w:val="left"/>
      <w:pPr>
        <w:ind w:left="5223" w:hanging="360"/>
      </w:pPr>
      <w:rPr>
        <w:rFonts w:hint="default"/>
        <w:lang w:val="en-US" w:eastAsia="en-US" w:bidi="ar-SA"/>
      </w:rPr>
    </w:lvl>
    <w:lvl w:ilvl="6" w:tplc="09EE66DE">
      <w:numFmt w:val="bullet"/>
      <w:lvlText w:val="•"/>
      <w:lvlJc w:val="left"/>
      <w:pPr>
        <w:ind w:left="6079" w:hanging="360"/>
      </w:pPr>
      <w:rPr>
        <w:rFonts w:hint="default"/>
        <w:lang w:val="en-US" w:eastAsia="en-US" w:bidi="ar-SA"/>
      </w:rPr>
    </w:lvl>
    <w:lvl w:ilvl="7" w:tplc="CFAA632E">
      <w:numFmt w:val="bullet"/>
      <w:lvlText w:val="•"/>
      <w:lvlJc w:val="left"/>
      <w:pPr>
        <w:ind w:left="6936" w:hanging="360"/>
      </w:pPr>
      <w:rPr>
        <w:rFonts w:hint="default"/>
        <w:lang w:val="en-US" w:eastAsia="en-US" w:bidi="ar-SA"/>
      </w:rPr>
    </w:lvl>
    <w:lvl w:ilvl="8" w:tplc="4AB6A02C">
      <w:numFmt w:val="bullet"/>
      <w:lvlText w:val="•"/>
      <w:lvlJc w:val="left"/>
      <w:pPr>
        <w:ind w:left="7793" w:hanging="360"/>
      </w:pPr>
      <w:rPr>
        <w:rFonts w:hint="default"/>
        <w:lang w:val="en-US" w:eastAsia="en-US" w:bidi="ar-SA"/>
      </w:rPr>
    </w:lvl>
  </w:abstractNum>
  <w:abstractNum w:abstractNumId="60" w15:restartNumberingAfterBreak="0">
    <w:nsid w:val="6EBCDA20"/>
    <w:multiLevelType w:val="hybridMultilevel"/>
    <w:tmpl w:val="FFFFFFFF"/>
    <w:lvl w:ilvl="0" w:tplc="FA9E2822">
      <w:start w:val="1"/>
      <w:numFmt w:val="bullet"/>
      <w:lvlText w:val=""/>
      <w:lvlJc w:val="left"/>
      <w:pPr>
        <w:ind w:left="720" w:hanging="360"/>
      </w:pPr>
      <w:rPr>
        <w:rFonts w:ascii="Symbol" w:hAnsi="Symbol" w:hint="default"/>
      </w:rPr>
    </w:lvl>
    <w:lvl w:ilvl="1" w:tplc="0BFC0298">
      <w:start w:val="1"/>
      <w:numFmt w:val="bullet"/>
      <w:lvlText w:val="o"/>
      <w:lvlJc w:val="left"/>
      <w:pPr>
        <w:ind w:left="1440" w:hanging="360"/>
      </w:pPr>
      <w:rPr>
        <w:rFonts w:ascii="Courier New" w:hAnsi="Courier New" w:hint="default"/>
      </w:rPr>
    </w:lvl>
    <w:lvl w:ilvl="2" w:tplc="E6D0742E">
      <w:start w:val="1"/>
      <w:numFmt w:val="bullet"/>
      <w:lvlText w:val=""/>
      <w:lvlJc w:val="left"/>
      <w:pPr>
        <w:ind w:left="2160" w:hanging="360"/>
      </w:pPr>
      <w:rPr>
        <w:rFonts w:ascii="Wingdings" w:hAnsi="Wingdings" w:hint="default"/>
      </w:rPr>
    </w:lvl>
    <w:lvl w:ilvl="3" w:tplc="7CAA0D1A">
      <w:start w:val="1"/>
      <w:numFmt w:val="bullet"/>
      <w:lvlText w:val=""/>
      <w:lvlJc w:val="left"/>
      <w:pPr>
        <w:ind w:left="2880" w:hanging="360"/>
      </w:pPr>
      <w:rPr>
        <w:rFonts w:ascii="Symbol" w:hAnsi="Symbol" w:hint="default"/>
      </w:rPr>
    </w:lvl>
    <w:lvl w:ilvl="4" w:tplc="DAB4D290">
      <w:start w:val="1"/>
      <w:numFmt w:val="bullet"/>
      <w:lvlText w:val="o"/>
      <w:lvlJc w:val="left"/>
      <w:pPr>
        <w:ind w:left="3600" w:hanging="360"/>
      </w:pPr>
      <w:rPr>
        <w:rFonts w:ascii="Courier New" w:hAnsi="Courier New" w:hint="default"/>
      </w:rPr>
    </w:lvl>
    <w:lvl w:ilvl="5" w:tplc="9982793C">
      <w:start w:val="1"/>
      <w:numFmt w:val="bullet"/>
      <w:lvlText w:val=""/>
      <w:lvlJc w:val="left"/>
      <w:pPr>
        <w:ind w:left="4320" w:hanging="360"/>
      </w:pPr>
      <w:rPr>
        <w:rFonts w:ascii="Wingdings" w:hAnsi="Wingdings" w:hint="default"/>
      </w:rPr>
    </w:lvl>
    <w:lvl w:ilvl="6" w:tplc="6ED2D0D6">
      <w:start w:val="1"/>
      <w:numFmt w:val="bullet"/>
      <w:lvlText w:val=""/>
      <w:lvlJc w:val="left"/>
      <w:pPr>
        <w:ind w:left="5040" w:hanging="360"/>
      </w:pPr>
      <w:rPr>
        <w:rFonts w:ascii="Symbol" w:hAnsi="Symbol" w:hint="default"/>
      </w:rPr>
    </w:lvl>
    <w:lvl w:ilvl="7" w:tplc="3448F536">
      <w:start w:val="1"/>
      <w:numFmt w:val="bullet"/>
      <w:lvlText w:val="o"/>
      <w:lvlJc w:val="left"/>
      <w:pPr>
        <w:ind w:left="5760" w:hanging="360"/>
      </w:pPr>
      <w:rPr>
        <w:rFonts w:ascii="Courier New" w:hAnsi="Courier New" w:hint="default"/>
      </w:rPr>
    </w:lvl>
    <w:lvl w:ilvl="8" w:tplc="AEFA6278">
      <w:start w:val="1"/>
      <w:numFmt w:val="bullet"/>
      <w:lvlText w:val=""/>
      <w:lvlJc w:val="left"/>
      <w:pPr>
        <w:ind w:left="6480" w:hanging="360"/>
      </w:pPr>
      <w:rPr>
        <w:rFonts w:ascii="Wingdings" w:hAnsi="Wingdings" w:hint="default"/>
      </w:rPr>
    </w:lvl>
  </w:abstractNum>
  <w:abstractNum w:abstractNumId="61" w15:restartNumberingAfterBreak="0">
    <w:nsid w:val="6F0A3256"/>
    <w:multiLevelType w:val="hybridMultilevel"/>
    <w:tmpl w:val="8A9E6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FAF4976"/>
    <w:multiLevelType w:val="hybridMultilevel"/>
    <w:tmpl w:val="8F46F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7676B9D"/>
    <w:multiLevelType w:val="hybridMultilevel"/>
    <w:tmpl w:val="684C8AB0"/>
    <w:lvl w:ilvl="0" w:tplc="A46A1D46">
      <w:numFmt w:val="bullet"/>
      <w:lvlText w:val="-"/>
      <w:lvlJc w:val="left"/>
      <w:pPr>
        <w:ind w:left="84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8076F59"/>
    <w:multiLevelType w:val="hybridMultilevel"/>
    <w:tmpl w:val="16528854"/>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79D7A8"/>
    <w:multiLevelType w:val="hybridMultilevel"/>
    <w:tmpl w:val="FFFFFFFF"/>
    <w:lvl w:ilvl="0" w:tplc="8EB2EF80">
      <w:start w:val="1"/>
      <w:numFmt w:val="bullet"/>
      <w:lvlText w:val=""/>
      <w:lvlJc w:val="left"/>
      <w:pPr>
        <w:ind w:left="720" w:hanging="360"/>
      </w:pPr>
      <w:rPr>
        <w:rFonts w:ascii="Symbol" w:hAnsi="Symbol" w:hint="default"/>
      </w:rPr>
    </w:lvl>
    <w:lvl w:ilvl="1" w:tplc="8F4E068E">
      <w:start w:val="1"/>
      <w:numFmt w:val="bullet"/>
      <w:lvlText w:val="o"/>
      <w:lvlJc w:val="left"/>
      <w:pPr>
        <w:ind w:left="1440" w:hanging="360"/>
      </w:pPr>
      <w:rPr>
        <w:rFonts w:ascii="Courier New" w:hAnsi="Courier New" w:hint="default"/>
      </w:rPr>
    </w:lvl>
    <w:lvl w:ilvl="2" w:tplc="C498B22A">
      <w:start w:val="1"/>
      <w:numFmt w:val="bullet"/>
      <w:lvlText w:val=""/>
      <w:lvlJc w:val="left"/>
      <w:pPr>
        <w:ind w:left="2160" w:hanging="360"/>
      </w:pPr>
      <w:rPr>
        <w:rFonts w:ascii="Wingdings" w:hAnsi="Wingdings" w:hint="default"/>
      </w:rPr>
    </w:lvl>
    <w:lvl w:ilvl="3" w:tplc="810045D8">
      <w:start w:val="1"/>
      <w:numFmt w:val="bullet"/>
      <w:lvlText w:val=""/>
      <w:lvlJc w:val="left"/>
      <w:pPr>
        <w:ind w:left="2880" w:hanging="360"/>
      </w:pPr>
      <w:rPr>
        <w:rFonts w:ascii="Symbol" w:hAnsi="Symbol" w:hint="default"/>
      </w:rPr>
    </w:lvl>
    <w:lvl w:ilvl="4" w:tplc="C13CC5F4">
      <w:start w:val="1"/>
      <w:numFmt w:val="bullet"/>
      <w:lvlText w:val="o"/>
      <w:lvlJc w:val="left"/>
      <w:pPr>
        <w:ind w:left="3600" w:hanging="360"/>
      </w:pPr>
      <w:rPr>
        <w:rFonts w:ascii="Courier New" w:hAnsi="Courier New" w:hint="default"/>
      </w:rPr>
    </w:lvl>
    <w:lvl w:ilvl="5" w:tplc="B61CFB6C">
      <w:start w:val="1"/>
      <w:numFmt w:val="bullet"/>
      <w:lvlText w:val=""/>
      <w:lvlJc w:val="left"/>
      <w:pPr>
        <w:ind w:left="4320" w:hanging="360"/>
      </w:pPr>
      <w:rPr>
        <w:rFonts w:ascii="Wingdings" w:hAnsi="Wingdings" w:hint="default"/>
      </w:rPr>
    </w:lvl>
    <w:lvl w:ilvl="6" w:tplc="020CCD56">
      <w:start w:val="1"/>
      <w:numFmt w:val="bullet"/>
      <w:lvlText w:val=""/>
      <w:lvlJc w:val="left"/>
      <w:pPr>
        <w:ind w:left="5040" w:hanging="360"/>
      </w:pPr>
      <w:rPr>
        <w:rFonts w:ascii="Symbol" w:hAnsi="Symbol" w:hint="default"/>
      </w:rPr>
    </w:lvl>
    <w:lvl w:ilvl="7" w:tplc="0BA64DBA">
      <w:start w:val="1"/>
      <w:numFmt w:val="bullet"/>
      <w:lvlText w:val="o"/>
      <w:lvlJc w:val="left"/>
      <w:pPr>
        <w:ind w:left="5760" w:hanging="360"/>
      </w:pPr>
      <w:rPr>
        <w:rFonts w:ascii="Courier New" w:hAnsi="Courier New" w:hint="default"/>
      </w:rPr>
    </w:lvl>
    <w:lvl w:ilvl="8" w:tplc="33FCB636">
      <w:start w:val="1"/>
      <w:numFmt w:val="bullet"/>
      <w:lvlText w:val=""/>
      <w:lvlJc w:val="left"/>
      <w:pPr>
        <w:ind w:left="6480" w:hanging="360"/>
      </w:pPr>
      <w:rPr>
        <w:rFonts w:ascii="Wingdings" w:hAnsi="Wingdings" w:hint="default"/>
      </w:rPr>
    </w:lvl>
  </w:abstractNum>
  <w:abstractNum w:abstractNumId="66" w15:restartNumberingAfterBreak="0">
    <w:nsid w:val="79D70AD6"/>
    <w:multiLevelType w:val="hybridMultilevel"/>
    <w:tmpl w:val="E9C238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ABF46ED"/>
    <w:multiLevelType w:val="hybridMultilevel"/>
    <w:tmpl w:val="88300DEC"/>
    <w:lvl w:ilvl="0" w:tplc="8EC23946">
      <w:start w:val="1"/>
      <w:numFmt w:val="decimal"/>
      <w:lvlText w:val="%1)"/>
      <w:lvlJc w:val="left"/>
      <w:pPr>
        <w:ind w:left="1020" w:hanging="360"/>
      </w:pPr>
    </w:lvl>
    <w:lvl w:ilvl="1" w:tplc="AB96149E">
      <w:start w:val="1"/>
      <w:numFmt w:val="decimal"/>
      <w:lvlText w:val="%2)"/>
      <w:lvlJc w:val="left"/>
      <w:pPr>
        <w:ind w:left="1020" w:hanging="360"/>
      </w:pPr>
    </w:lvl>
    <w:lvl w:ilvl="2" w:tplc="681EAC38">
      <w:start w:val="1"/>
      <w:numFmt w:val="decimal"/>
      <w:lvlText w:val="%3)"/>
      <w:lvlJc w:val="left"/>
      <w:pPr>
        <w:ind w:left="1020" w:hanging="360"/>
      </w:pPr>
    </w:lvl>
    <w:lvl w:ilvl="3" w:tplc="90ACB20A">
      <w:start w:val="1"/>
      <w:numFmt w:val="decimal"/>
      <w:lvlText w:val="%4)"/>
      <w:lvlJc w:val="left"/>
      <w:pPr>
        <w:ind w:left="1020" w:hanging="360"/>
      </w:pPr>
    </w:lvl>
    <w:lvl w:ilvl="4" w:tplc="DD128956">
      <w:start w:val="1"/>
      <w:numFmt w:val="decimal"/>
      <w:lvlText w:val="%5)"/>
      <w:lvlJc w:val="left"/>
      <w:pPr>
        <w:ind w:left="1020" w:hanging="360"/>
      </w:pPr>
    </w:lvl>
    <w:lvl w:ilvl="5" w:tplc="17AA4FFA">
      <w:start w:val="1"/>
      <w:numFmt w:val="decimal"/>
      <w:lvlText w:val="%6)"/>
      <w:lvlJc w:val="left"/>
      <w:pPr>
        <w:ind w:left="1020" w:hanging="360"/>
      </w:pPr>
    </w:lvl>
    <w:lvl w:ilvl="6" w:tplc="80F0DC6E">
      <w:start w:val="1"/>
      <w:numFmt w:val="decimal"/>
      <w:lvlText w:val="%7)"/>
      <w:lvlJc w:val="left"/>
      <w:pPr>
        <w:ind w:left="1020" w:hanging="360"/>
      </w:pPr>
    </w:lvl>
    <w:lvl w:ilvl="7" w:tplc="FDA8A6C8">
      <w:start w:val="1"/>
      <w:numFmt w:val="decimal"/>
      <w:lvlText w:val="%8)"/>
      <w:lvlJc w:val="left"/>
      <w:pPr>
        <w:ind w:left="1020" w:hanging="360"/>
      </w:pPr>
    </w:lvl>
    <w:lvl w:ilvl="8" w:tplc="B9C2F1F6">
      <w:start w:val="1"/>
      <w:numFmt w:val="decimal"/>
      <w:lvlText w:val="%9)"/>
      <w:lvlJc w:val="left"/>
      <w:pPr>
        <w:ind w:left="1020" w:hanging="360"/>
      </w:pPr>
    </w:lvl>
  </w:abstractNum>
  <w:abstractNum w:abstractNumId="68" w15:restartNumberingAfterBreak="0">
    <w:nsid w:val="7B984347"/>
    <w:multiLevelType w:val="hybridMultilevel"/>
    <w:tmpl w:val="733A09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7C2D2E4D"/>
    <w:multiLevelType w:val="hybridMultilevel"/>
    <w:tmpl w:val="96BADE12"/>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5"/>
  </w:num>
  <w:num w:numId="2">
    <w:abstractNumId w:val="25"/>
  </w:num>
  <w:num w:numId="3">
    <w:abstractNumId w:val="58"/>
  </w:num>
  <w:num w:numId="4">
    <w:abstractNumId w:val="17"/>
  </w:num>
  <w:num w:numId="5">
    <w:abstractNumId w:val="15"/>
  </w:num>
  <w:num w:numId="6">
    <w:abstractNumId w:val="50"/>
  </w:num>
  <w:num w:numId="7">
    <w:abstractNumId w:val="54"/>
  </w:num>
  <w:num w:numId="8">
    <w:abstractNumId w:val="18"/>
  </w:num>
  <w:num w:numId="9">
    <w:abstractNumId w:val="40"/>
  </w:num>
  <w:num w:numId="10">
    <w:abstractNumId w:val="49"/>
  </w:num>
  <w:num w:numId="11">
    <w:abstractNumId w:val="4"/>
  </w:num>
  <w:num w:numId="12">
    <w:abstractNumId w:val="32"/>
  </w:num>
  <w:num w:numId="13">
    <w:abstractNumId w:val="53"/>
  </w:num>
  <w:num w:numId="14">
    <w:abstractNumId w:val="11"/>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2"/>
  </w:num>
  <w:num w:numId="20">
    <w:abstractNumId w:val="52"/>
  </w:num>
  <w:num w:numId="21">
    <w:abstractNumId w:val="41"/>
  </w:num>
  <w:num w:numId="22">
    <w:abstractNumId w:val="14"/>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1"/>
  </w:num>
  <w:num w:numId="28">
    <w:abstractNumId w:val="11"/>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num>
  <w:num w:numId="31">
    <w:abstractNumId w:val="1"/>
  </w:num>
  <w:num w:numId="32">
    <w:abstractNumId w:val="7"/>
  </w:num>
  <w:num w:numId="33">
    <w:abstractNumId w:val="51"/>
  </w:num>
  <w:num w:numId="34">
    <w:abstractNumId w:val="47"/>
  </w:num>
  <w:num w:numId="35">
    <w:abstractNumId w:val="55"/>
  </w:num>
  <w:num w:numId="36">
    <w:abstractNumId w:val="30"/>
  </w:num>
  <w:num w:numId="37">
    <w:abstractNumId w:val="13"/>
  </w:num>
  <w:num w:numId="38">
    <w:abstractNumId w:val="46"/>
  </w:num>
  <w:num w:numId="39">
    <w:abstractNumId w:val="36"/>
  </w:num>
  <w:num w:numId="40">
    <w:abstractNumId w:val="2"/>
  </w:num>
  <w:num w:numId="41">
    <w:abstractNumId w:val="56"/>
  </w:num>
  <w:num w:numId="42">
    <w:abstractNumId w:val="64"/>
  </w:num>
  <w:num w:numId="43">
    <w:abstractNumId w:val="37"/>
  </w:num>
  <w:num w:numId="44">
    <w:abstractNumId w:val="6"/>
  </w:num>
  <w:num w:numId="45">
    <w:abstractNumId w:val="63"/>
  </w:num>
  <w:num w:numId="46">
    <w:abstractNumId w:val="34"/>
  </w:num>
  <w:num w:numId="47">
    <w:abstractNumId w:val="0"/>
  </w:num>
  <w:num w:numId="48">
    <w:abstractNumId w:val="45"/>
  </w:num>
  <w:num w:numId="49">
    <w:abstractNumId w:val="12"/>
  </w:num>
  <w:num w:numId="50">
    <w:abstractNumId w:val="11"/>
  </w:num>
  <w:num w:numId="51">
    <w:abstractNumId w:val="66"/>
  </w:num>
  <w:num w:numId="5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20"/>
  </w:num>
  <w:num w:numId="55">
    <w:abstractNumId w:val="62"/>
  </w:num>
  <w:num w:numId="56">
    <w:abstractNumId w:val="10"/>
  </w:num>
  <w:num w:numId="57">
    <w:abstractNumId w:val="16"/>
  </w:num>
  <w:num w:numId="58">
    <w:abstractNumId w:val="5"/>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
  </w:num>
  <w:num w:numId="76">
    <w:abstractNumId w:val="24"/>
  </w:num>
  <w:num w:numId="77">
    <w:abstractNumId w:val="22"/>
  </w:num>
  <w:num w:numId="78">
    <w:abstractNumId w:val="62"/>
  </w:num>
  <w:num w:numId="79">
    <w:abstractNumId w:val="26"/>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2"/>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2"/>
    </w:lvlOverride>
  </w:num>
  <w:num w:numId="86">
    <w:abstractNumId w:val="57"/>
  </w:num>
  <w:num w:numId="87">
    <w:abstractNumId w:val="27"/>
  </w:num>
  <w:num w:numId="88">
    <w:abstractNumId w:val="31"/>
  </w:num>
  <w:num w:numId="89">
    <w:abstractNumId w:val="42"/>
  </w:num>
  <w:num w:numId="90">
    <w:abstractNumId w:val="9"/>
  </w:num>
  <w:num w:numId="91">
    <w:abstractNumId w:val="35"/>
  </w:num>
  <w:num w:numId="92">
    <w:abstractNumId w:val="69"/>
  </w:num>
  <w:num w:numId="93">
    <w:abstractNumId w:val="39"/>
  </w:num>
  <w:num w:numId="94">
    <w:abstractNumId w:val="38"/>
  </w:num>
  <w:num w:numId="95">
    <w:abstractNumId w:val="27"/>
  </w:num>
  <w:num w:numId="96">
    <w:abstractNumId w:val="61"/>
  </w:num>
  <w:num w:numId="97">
    <w:abstractNumId w:val="8"/>
  </w:num>
  <w:num w:numId="98">
    <w:abstractNumId w:val="23"/>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num>
  <w:num w:numId="101">
    <w:abstractNumId w:val="33"/>
  </w:num>
  <w:num w:numId="102">
    <w:abstractNumId w:val="21"/>
  </w:num>
  <w:num w:numId="103">
    <w:abstractNumId w:val="67"/>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9"/>
  </w:num>
  <w:num w:numId="106">
    <w:abstractNumId w:val="19"/>
  </w:num>
  <w:num w:numId="107">
    <w:abstractNumId w:val="60"/>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4"/>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024316B2-787C-4AC1-A7F5-485D83BBE22A"/>
    <w:docVar w:name="LW_COVERPAGE_TYPE" w:val="1"/>
    <w:docVar w:name="LW_CROSSREFERENCE" w:val="{COM(2025) 590 final} - {SEC(2025) 592 final} - {SWD(2025) 593 final}"/>
    <w:docVar w:name="LW_DocType" w:val="NORMAL"/>
    <w:docVar w:name="LW_EMISSION" w:val="3.9.2025"/>
    <w:docVar w:name="LW_EMISSION_ISODATE" w:val="2025-09-03"/>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establishing the Single Market and Customs Programme for the period 2028-2034 and repealing Regulations (EU)2021/444, (EU)2021/690, (EU)2021/785, (EU)2021/847 and (EU) 2021/1077"/>
    <w:docVar w:name="LW_PART_NBR" w:val="1"/>
    <w:docVar w:name="LW_PART_NBR_TOTAL" w:val="1"/>
    <w:docVar w:name="LW_REF.INST.NEW" w:val="SWD"/>
    <w:docVar w:name="LW_REF.INST.NEW_ADOPTED" w:val="final"/>
    <w:docVar w:name="LW_REF.INST.NEW_TEXT" w:val="(2025) 5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Single Market and Customs Programme"/>
    <w:docVar w:name="LW_TYPE.DOC.CP" w:val="COMMISSION STAFF WORKING DOCUMENT_x000b__x000b_IMPACT ASSESSMENT REPORT_x000b_"/>
    <w:docVar w:name="LW_TYPEACTEPRINCIPAL.CP" w:val="_x000b_Proposal for a Regulation of the European Parliament and of the Council"/>
    <w:docVar w:name="LwApiVersions" w:val="LW4CoDe 1.24.5.0; LW 9.0, Build 20240221"/>
  </w:docVars>
  <w:rsids>
    <w:rsidRoot w:val="006B087E"/>
    <w:rsid w:val="00000028"/>
    <w:rsid w:val="000000D0"/>
    <w:rsid w:val="000004DF"/>
    <w:rsid w:val="000005A0"/>
    <w:rsid w:val="000006EF"/>
    <w:rsid w:val="00000C4A"/>
    <w:rsid w:val="00000D55"/>
    <w:rsid w:val="000012E0"/>
    <w:rsid w:val="00001636"/>
    <w:rsid w:val="00001693"/>
    <w:rsid w:val="000017CB"/>
    <w:rsid w:val="00001813"/>
    <w:rsid w:val="00001851"/>
    <w:rsid w:val="0000192C"/>
    <w:rsid w:val="00001A0C"/>
    <w:rsid w:val="00001A89"/>
    <w:rsid w:val="00001C46"/>
    <w:rsid w:val="00001E82"/>
    <w:rsid w:val="00001F7E"/>
    <w:rsid w:val="000020BF"/>
    <w:rsid w:val="00002172"/>
    <w:rsid w:val="00002351"/>
    <w:rsid w:val="000023B9"/>
    <w:rsid w:val="00002514"/>
    <w:rsid w:val="0000280F"/>
    <w:rsid w:val="00002E07"/>
    <w:rsid w:val="00003000"/>
    <w:rsid w:val="0000300D"/>
    <w:rsid w:val="000030D5"/>
    <w:rsid w:val="000033B6"/>
    <w:rsid w:val="00003455"/>
    <w:rsid w:val="0000346D"/>
    <w:rsid w:val="00003529"/>
    <w:rsid w:val="000038C3"/>
    <w:rsid w:val="00003B2F"/>
    <w:rsid w:val="00003DFA"/>
    <w:rsid w:val="00003F5B"/>
    <w:rsid w:val="0000405A"/>
    <w:rsid w:val="000040CF"/>
    <w:rsid w:val="00004892"/>
    <w:rsid w:val="000048A6"/>
    <w:rsid w:val="00004A59"/>
    <w:rsid w:val="00004B5F"/>
    <w:rsid w:val="00005585"/>
    <w:rsid w:val="00005A64"/>
    <w:rsid w:val="00005A66"/>
    <w:rsid w:val="00005B7E"/>
    <w:rsid w:val="00005E34"/>
    <w:rsid w:val="00005E48"/>
    <w:rsid w:val="00005EA5"/>
    <w:rsid w:val="00005F7A"/>
    <w:rsid w:val="00005FEC"/>
    <w:rsid w:val="0000601C"/>
    <w:rsid w:val="0000616A"/>
    <w:rsid w:val="00006353"/>
    <w:rsid w:val="000063C1"/>
    <w:rsid w:val="00006A22"/>
    <w:rsid w:val="00006AA7"/>
    <w:rsid w:val="00006B81"/>
    <w:rsid w:val="00006CA4"/>
    <w:rsid w:val="00006D2A"/>
    <w:rsid w:val="00006E9F"/>
    <w:rsid w:val="00006F45"/>
    <w:rsid w:val="00007161"/>
    <w:rsid w:val="000071B9"/>
    <w:rsid w:val="00007301"/>
    <w:rsid w:val="000074B8"/>
    <w:rsid w:val="000075DD"/>
    <w:rsid w:val="00007846"/>
    <w:rsid w:val="000078BE"/>
    <w:rsid w:val="0000797A"/>
    <w:rsid w:val="00007A5A"/>
    <w:rsid w:val="00007BC7"/>
    <w:rsid w:val="00007C12"/>
    <w:rsid w:val="00007CAF"/>
    <w:rsid w:val="00007FC3"/>
    <w:rsid w:val="0001006D"/>
    <w:rsid w:val="00010209"/>
    <w:rsid w:val="000102AE"/>
    <w:rsid w:val="00010520"/>
    <w:rsid w:val="00010629"/>
    <w:rsid w:val="0001071A"/>
    <w:rsid w:val="000107B4"/>
    <w:rsid w:val="000108C8"/>
    <w:rsid w:val="00010B4E"/>
    <w:rsid w:val="00010BA3"/>
    <w:rsid w:val="00010EB2"/>
    <w:rsid w:val="000110E0"/>
    <w:rsid w:val="0001129E"/>
    <w:rsid w:val="00011465"/>
    <w:rsid w:val="0001177C"/>
    <w:rsid w:val="00011917"/>
    <w:rsid w:val="00011928"/>
    <w:rsid w:val="00011B33"/>
    <w:rsid w:val="00011BB3"/>
    <w:rsid w:val="00011BFC"/>
    <w:rsid w:val="00011D8A"/>
    <w:rsid w:val="00011FBD"/>
    <w:rsid w:val="0001226F"/>
    <w:rsid w:val="00012483"/>
    <w:rsid w:val="0001248E"/>
    <w:rsid w:val="0001276B"/>
    <w:rsid w:val="00012773"/>
    <w:rsid w:val="00012850"/>
    <w:rsid w:val="00012851"/>
    <w:rsid w:val="000128B7"/>
    <w:rsid w:val="000128FD"/>
    <w:rsid w:val="00012C19"/>
    <w:rsid w:val="00012C3E"/>
    <w:rsid w:val="00012DAB"/>
    <w:rsid w:val="00012EA3"/>
    <w:rsid w:val="000137F5"/>
    <w:rsid w:val="000138E8"/>
    <w:rsid w:val="00013931"/>
    <w:rsid w:val="00013A95"/>
    <w:rsid w:val="00013DF6"/>
    <w:rsid w:val="00013F90"/>
    <w:rsid w:val="00013FAD"/>
    <w:rsid w:val="000140A6"/>
    <w:rsid w:val="000141A6"/>
    <w:rsid w:val="00014409"/>
    <w:rsid w:val="00014497"/>
    <w:rsid w:val="000146D3"/>
    <w:rsid w:val="0001479C"/>
    <w:rsid w:val="000149A4"/>
    <w:rsid w:val="00014A03"/>
    <w:rsid w:val="00014C1C"/>
    <w:rsid w:val="00014EF7"/>
    <w:rsid w:val="0001513F"/>
    <w:rsid w:val="00015278"/>
    <w:rsid w:val="0001534E"/>
    <w:rsid w:val="00015497"/>
    <w:rsid w:val="00015703"/>
    <w:rsid w:val="00015937"/>
    <w:rsid w:val="00015977"/>
    <w:rsid w:val="0001598A"/>
    <w:rsid w:val="00015A49"/>
    <w:rsid w:val="00015A5F"/>
    <w:rsid w:val="00015B22"/>
    <w:rsid w:val="00015EC6"/>
    <w:rsid w:val="000162CE"/>
    <w:rsid w:val="00016384"/>
    <w:rsid w:val="000163B2"/>
    <w:rsid w:val="0001640E"/>
    <w:rsid w:val="000165ED"/>
    <w:rsid w:val="00016A69"/>
    <w:rsid w:val="00016B1A"/>
    <w:rsid w:val="00016BC5"/>
    <w:rsid w:val="00016ED4"/>
    <w:rsid w:val="00016F0B"/>
    <w:rsid w:val="00016F58"/>
    <w:rsid w:val="00017109"/>
    <w:rsid w:val="0001718E"/>
    <w:rsid w:val="0001745B"/>
    <w:rsid w:val="00017536"/>
    <w:rsid w:val="0001781D"/>
    <w:rsid w:val="000178DB"/>
    <w:rsid w:val="00017948"/>
    <w:rsid w:val="00017A3F"/>
    <w:rsid w:val="00017B27"/>
    <w:rsid w:val="00017C16"/>
    <w:rsid w:val="00017D4A"/>
    <w:rsid w:val="00017D76"/>
    <w:rsid w:val="00017F33"/>
    <w:rsid w:val="00017FEA"/>
    <w:rsid w:val="0002016D"/>
    <w:rsid w:val="000201D3"/>
    <w:rsid w:val="00020225"/>
    <w:rsid w:val="000202D4"/>
    <w:rsid w:val="00020502"/>
    <w:rsid w:val="00020566"/>
    <w:rsid w:val="000205D9"/>
    <w:rsid w:val="000205DF"/>
    <w:rsid w:val="00020774"/>
    <w:rsid w:val="0002085C"/>
    <w:rsid w:val="00020935"/>
    <w:rsid w:val="00020A87"/>
    <w:rsid w:val="00020C75"/>
    <w:rsid w:val="00020E2F"/>
    <w:rsid w:val="00020F29"/>
    <w:rsid w:val="00020F82"/>
    <w:rsid w:val="00020FF1"/>
    <w:rsid w:val="000210B7"/>
    <w:rsid w:val="000210EE"/>
    <w:rsid w:val="00021532"/>
    <w:rsid w:val="00021720"/>
    <w:rsid w:val="00021773"/>
    <w:rsid w:val="00021811"/>
    <w:rsid w:val="00021A04"/>
    <w:rsid w:val="00021AD2"/>
    <w:rsid w:val="00022AAD"/>
    <w:rsid w:val="00022CE8"/>
    <w:rsid w:val="00023255"/>
    <w:rsid w:val="00023577"/>
    <w:rsid w:val="00023597"/>
    <w:rsid w:val="000238FB"/>
    <w:rsid w:val="00023992"/>
    <w:rsid w:val="00023B2A"/>
    <w:rsid w:val="00023BC5"/>
    <w:rsid w:val="00023EC4"/>
    <w:rsid w:val="00024015"/>
    <w:rsid w:val="000240BF"/>
    <w:rsid w:val="000240F9"/>
    <w:rsid w:val="00024152"/>
    <w:rsid w:val="00024376"/>
    <w:rsid w:val="0002489E"/>
    <w:rsid w:val="00024955"/>
    <w:rsid w:val="0002497E"/>
    <w:rsid w:val="00024A26"/>
    <w:rsid w:val="00024DEA"/>
    <w:rsid w:val="00024F5E"/>
    <w:rsid w:val="00025051"/>
    <w:rsid w:val="0002505C"/>
    <w:rsid w:val="00025467"/>
    <w:rsid w:val="00025B04"/>
    <w:rsid w:val="00025B1A"/>
    <w:rsid w:val="00025B50"/>
    <w:rsid w:val="00025B66"/>
    <w:rsid w:val="00025FDD"/>
    <w:rsid w:val="000260AB"/>
    <w:rsid w:val="00026360"/>
    <w:rsid w:val="00026411"/>
    <w:rsid w:val="0002656E"/>
    <w:rsid w:val="000266F2"/>
    <w:rsid w:val="00026A7A"/>
    <w:rsid w:val="00026A96"/>
    <w:rsid w:val="00026AF0"/>
    <w:rsid w:val="00026B0B"/>
    <w:rsid w:val="00026B95"/>
    <w:rsid w:val="00026CEE"/>
    <w:rsid w:val="00026CF7"/>
    <w:rsid w:val="00026DDD"/>
    <w:rsid w:val="00026FB9"/>
    <w:rsid w:val="000271CE"/>
    <w:rsid w:val="000271F8"/>
    <w:rsid w:val="000274A7"/>
    <w:rsid w:val="00027546"/>
    <w:rsid w:val="000275BB"/>
    <w:rsid w:val="000276E9"/>
    <w:rsid w:val="000277D4"/>
    <w:rsid w:val="000278E0"/>
    <w:rsid w:val="00027B8B"/>
    <w:rsid w:val="00027F67"/>
    <w:rsid w:val="00027FD0"/>
    <w:rsid w:val="000300C2"/>
    <w:rsid w:val="000300EE"/>
    <w:rsid w:val="000303B0"/>
    <w:rsid w:val="000303D9"/>
    <w:rsid w:val="00030645"/>
    <w:rsid w:val="000306C6"/>
    <w:rsid w:val="000307E0"/>
    <w:rsid w:val="000308A1"/>
    <w:rsid w:val="00030A08"/>
    <w:rsid w:val="00030CA7"/>
    <w:rsid w:val="00030D4C"/>
    <w:rsid w:val="0003109E"/>
    <w:rsid w:val="0003115B"/>
    <w:rsid w:val="00031202"/>
    <w:rsid w:val="00031327"/>
    <w:rsid w:val="000313B0"/>
    <w:rsid w:val="0003147E"/>
    <w:rsid w:val="0003159A"/>
    <w:rsid w:val="00031898"/>
    <w:rsid w:val="00031A22"/>
    <w:rsid w:val="00031CDD"/>
    <w:rsid w:val="00031DAE"/>
    <w:rsid w:val="00031DF2"/>
    <w:rsid w:val="00031ECF"/>
    <w:rsid w:val="00032011"/>
    <w:rsid w:val="000325AF"/>
    <w:rsid w:val="000325FE"/>
    <w:rsid w:val="000328EF"/>
    <w:rsid w:val="00032C27"/>
    <w:rsid w:val="00032C8E"/>
    <w:rsid w:val="00032F7B"/>
    <w:rsid w:val="000330E8"/>
    <w:rsid w:val="00033147"/>
    <w:rsid w:val="00033222"/>
    <w:rsid w:val="00033293"/>
    <w:rsid w:val="00033A00"/>
    <w:rsid w:val="00033A35"/>
    <w:rsid w:val="00033BA6"/>
    <w:rsid w:val="00033BBB"/>
    <w:rsid w:val="00033C28"/>
    <w:rsid w:val="00033EFA"/>
    <w:rsid w:val="0003402D"/>
    <w:rsid w:val="0003403B"/>
    <w:rsid w:val="00034041"/>
    <w:rsid w:val="00034067"/>
    <w:rsid w:val="00034166"/>
    <w:rsid w:val="0003417C"/>
    <w:rsid w:val="000342F9"/>
    <w:rsid w:val="0003439D"/>
    <w:rsid w:val="000343A9"/>
    <w:rsid w:val="000345B8"/>
    <w:rsid w:val="00034627"/>
    <w:rsid w:val="00034764"/>
    <w:rsid w:val="00034775"/>
    <w:rsid w:val="0003489E"/>
    <w:rsid w:val="000349D1"/>
    <w:rsid w:val="00034AAC"/>
    <w:rsid w:val="00034BC2"/>
    <w:rsid w:val="00034C7A"/>
    <w:rsid w:val="00034D52"/>
    <w:rsid w:val="00034ED4"/>
    <w:rsid w:val="00034F5B"/>
    <w:rsid w:val="00035003"/>
    <w:rsid w:val="00035193"/>
    <w:rsid w:val="00035411"/>
    <w:rsid w:val="00035450"/>
    <w:rsid w:val="000355BF"/>
    <w:rsid w:val="0003568E"/>
    <w:rsid w:val="000356CA"/>
    <w:rsid w:val="0003570A"/>
    <w:rsid w:val="00035810"/>
    <w:rsid w:val="000358A5"/>
    <w:rsid w:val="00035AFE"/>
    <w:rsid w:val="00035BCD"/>
    <w:rsid w:val="00035C32"/>
    <w:rsid w:val="00035C91"/>
    <w:rsid w:val="00035F4A"/>
    <w:rsid w:val="00036154"/>
    <w:rsid w:val="000361E3"/>
    <w:rsid w:val="00036404"/>
    <w:rsid w:val="000364CC"/>
    <w:rsid w:val="00036538"/>
    <w:rsid w:val="000365EA"/>
    <w:rsid w:val="000367F6"/>
    <w:rsid w:val="0003689F"/>
    <w:rsid w:val="00036A96"/>
    <w:rsid w:val="00036AB6"/>
    <w:rsid w:val="00036B07"/>
    <w:rsid w:val="00036CCF"/>
    <w:rsid w:val="00036D0C"/>
    <w:rsid w:val="00036E72"/>
    <w:rsid w:val="00036F10"/>
    <w:rsid w:val="00036F2F"/>
    <w:rsid w:val="00037070"/>
    <w:rsid w:val="00037191"/>
    <w:rsid w:val="00037374"/>
    <w:rsid w:val="0003745A"/>
    <w:rsid w:val="0003748D"/>
    <w:rsid w:val="000377B1"/>
    <w:rsid w:val="00037ABF"/>
    <w:rsid w:val="00037CBC"/>
    <w:rsid w:val="00037EDD"/>
    <w:rsid w:val="00037F2A"/>
    <w:rsid w:val="00040079"/>
    <w:rsid w:val="000400F4"/>
    <w:rsid w:val="0004050D"/>
    <w:rsid w:val="000406FB"/>
    <w:rsid w:val="00040887"/>
    <w:rsid w:val="000408F2"/>
    <w:rsid w:val="00040903"/>
    <w:rsid w:val="000409FA"/>
    <w:rsid w:val="00040AEF"/>
    <w:rsid w:val="00040B0C"/>
    <w:rsid w:val="00040DAC"/>
    <w:rsid w:val="00041113"/>
    <w:rsid w:val="0004144C"/>
    <w:rsid w:val="00041611"/>
    <w:rsid w:val="0004161C"/>
    <w:rsid w:val="0004170A"/>
    <w:rsid w:val="00041978"/>
    <w:rsid w:val="00041F5D"/>
    <w:rsid w:val="0004237A"/>
    <w:rsid w:val="000424FB"/>
    <w:rsid w:val="00042516"/>
    <w:rsid w:val="00042520"/>
    <w:rsid w:val="0004267E"/>
    <w:rsid w:val="0004290B"/>
    <w:rsid w:val="00042A54"/>
    <w:rsid w:val="00042AFF"/>
    <w:rsid w:val="00042E00"/>
    <w:rsid w:val="00042EB1"/>
    <w:rsid w:val="0004303B"/>
    <w:rsid w:val="00043078"/>
    <w:rsid w:val="000430CB"/>
    <w:rsid w:val="000431E4"/>
    <w:rsid w:val="00043205"/>
    <w:rsid w:val="00043302"/>
    <w:rsid w:val="0004337E"/>
    <w:rsid w:val="00043642"/>
    <w:rsid w:val="00044017"/>
    <w:rsid w:val="000441AE"/>
    <w:rsid w:val="0004474B"/>
    <w:rsid w:val="00044784"/>
    <w:rsid w:val="0004497B"/>
    <w:rsid w:val="00044990"/>
    <w:rsid w:val="00044A6B"/>
    <w:rsid w:val="00044B5C"/>
    <w:rsid w:val="00044CDC"/>
    <w:rsid w:val="00044E8C"/>
    <w:rsid w:val="00044EDB"/>
    <w:rsid w:val="00044F16"/>
    <w:rsid w:val="000451BB"/>
    <w:rsid w:val="000452A8"/>
    <w:rsid w:val="0004531C"/>
    <w:rsid w:val="0004535B"/>
    <w:rsid w:val="000457D7"/>
    <w:rsid w:val="000458BC"/>
    <w:rsid w:val="0004597B"/>
    <w:rsid w:val="00045CAA"/>
    <w:rsid w:val="00045CDD"/>
    <w:rsid w:val="00045F47"/>
    <w:rsid w:val="000461BF"/>
    <w:rsid w:val="00046478"/>
    <w:rsid w:val="00046690"/>
    <w:rsid w:val="000466FD"/>
    <w:rsid w:val="00046783"/>
    <w:rsid w:val="00046A1C"/>
    <w:rsid w:val="00046C96"/>
    <w:rsid w:val="00046FC6"/>
    <w:rsid w:val="00047021"/>
    <w:rsid w:val="00047086"/>
    <w:rsid w:val="000470E0"/>
    <w:rsid w:val="000471FB"/>
    <w:rsid w:val="00047493"/>
    <w:rsid w:val="00047564"/>
    <w:rsid w:val="0004780C"/>
    <w:rsid w:val="00047D3E"/>
    <w:rsid w:val="00047E52"/>
    <w:rsid w:val="0004C9AE"/>
    <w:rsid w:val="000503CB"/>
    <w:rsid w:val="0005054F"/>
    <w:rsid w:val="00050651"/>
    <w:rsid w:val="00050817"/>
    <w:rsid w:val="00050834"/>
    <w:rsid w:val="00050867"/>
    <w:rsid w:val="00050A44"/>
    <w:rsid w:val="00050A80"/>
    <w:rsid w:val="00050BFB"/>
    <w:rsid w:val="00051113"/>
    <w:rsid w:val="000511BF"/>
    <w:rsid w:val="00051209"/>
    <w:rsid w:val="00051258"/>
    <w:rsid w:val="00051262"/>
    <w:rsid w:val="000513C2"/>
    <w:rsid w:val="000514C8"/>
    <w:rsid w:val="000515F3"/>
    <w:rsid w:val="00051786"/>
    <w:rsid w:val="000517E9"/>
    <w:rsid w:val="000518A4"/>
    <w:rsid w:val="00051945"/>
    <w:rsid w:val="00051976"/>
    <w:rsid w:val="00051A9D"/>
    <w:rsid w:val="00051B7A"/>
    <w:rsid w:val="00051EF9"/>
    <w:rsid w:val="00051F68"/>
    <w:rsid w:val="00052636"/>
    <w:rsid w:val="000527A5"/>
    <w:rsid w:val="00052932"/>
    <w:rsid w:val="000529AF"/>
    <w:rsid w:val="00052A5C"/>
    <w:rsid w:val="00052AC8"/>
    <w:rsid w:val="0005304F"/>
    <w:rsid w:val="00053273"/>
    <w:rsid w:val="00053324"/>
    <w:rsid w:val="00053351"/>
    <w:rsid w:val="0005339B"/>
    <w:rsid w:val="00053592"/>
    <w:rsid w:val="00053749"/>
    <w:rsid w:val="00053CED"/>
    <w:rsid w:val="00053D73"/>
    <w:rsid w:val="00053E5A"/>
    <w:rsid w:val="00054114"/>
    <w:rsid w:val="000542C4"/>
    <w:rsid w:val="00054390"/>
    <w:rsid w:val="000547B5"/>
    <w:rsid w:val="000548A1"/>
    <w:rsid w:val="000549B0"/>
    <w:rsid w:val="00054B1A"/>
    <w:rsid w:val="00054BAA"/>
    <w:rsid w:val="00054ED7"/>
    <w:rsid w:val="00054F57"/>
    <w:rsid w:val="00055390"/>
    <w:rsid w:val="00055433"/>
    <w:rsid w:val="00055632"/>
    <w:rsid w:val="00055752"/>
    <w:rsid w:val="000558F6"/>
    <w:rsid w:val="000558FC"/>
    <w:rsid w:val="00055D57"/>
    <w:rsid w:val="00055DDB"/>
    <w:rsid w:val="00055EAE"/>
    <w:rsid w:val="000560E2"/>
    <w:rsid w:val="00056141"/>
    <w:rsid w:val="00056268"/>
    <w:rsid w:val="00056355"/>
    <w:rsid w:val="000564C2"/>
    <w:rsid w:val="000568E5"/>
    <w:rsid w:val="00056A7E"/>
    <w:rsid w:val="00056B1E"/>
    <w:rsid w:val="00056EA6"/>
    <w:rsid w:val="00056ECB"/>
    <w:rsid w:val="00056FD0"/>
    <w:rsid w:val="00057086"/>
    <w:rsid w:val="000571FC"/>
    <w:rsid w:val="00057207"/>
    <w:rsid w:val="000574EA"/>
    <w:rsid w:val="00057C19"/>
    <w:rsid w:val="00057C7B"/>
    <w:rsid w:val="00057D27"/>
    <w:rsid w:val="00060071"/>
    <w:rsid w:val="0006019D"/>
    <w:rsid w:val="00060659"/>
    <w:rsid w:val="00060A6D"/>
    <w:rsid w:val="00060AD1"/>
    <w:rsid w:val="00060C40"/>
    <w:rsid w:val="00060DB9"/>
    <w:rsid w:val="00060E18"/>
    <w:rsid w:val="00061282"/>
    <w:rsid w:val="000616CA"/>
    <w:rsid w:val="00061A8F"/>
    <w:rsid w:val="00061BBB"/>
    <w:rsid w:val="00061BCC"/>
    <w:rsid w:val="00061C4B"/>
    <w:rsid w:val="00061D1B"/>
    <w:rsid w:val="00062130"/>
    <w:rsid w:val="00062206"/>
    <w:rsid w:val="00062336"/>
    <w:rsid w:val="00062509"/>
    <w:rsid w:val="00062592"/>
    <w:rsid w:val="00062B04"/>
    <w:rsid w:val="00062B84"/>
    <w:rsid w:val="00062C17"/>
    <w:rsid w:val="00062FF4"/>
    <w:rsid w:val="000630C7"/>
    <w:rsid w:val="000636FE"/>
    <w:rsid w:val="0006375C"/>
    <w:rsid w:val="000638E4"/>
    <w:rsid w:val="00063BE1"/>
    <w:rsid w:val="00063CC2"/>
    <w:rsid w:val="00063D43"/>
    <w:rsid w:val="00063D5E"/>
    <w:rsid w:val="00063DDE"/>
    <w:rsid w:val="00063FD5"/>
    <w:rsid w:val="00064013"/>
    <w:rsid w:val="00064079"/>
    <w:rsid w:val="000640F7"/>
    <w:rsid w:val="0006445A"/>
    <w:rsid w:val="000644A1"/>
    <w:rsid w:val="000647AB"/>
    <w:rsid w:val="00064969"/>
    <w:rsid w:val="00064A17"/>
    <w:rsid w:val="00064AF9"/>
    <w:rsid w:val="00064C8F"/>
    <w:rsid w:val="0006509A"/>
    <w:rsid w:val="00065100"/>
    <w:rsid w:val="00065151"/>
    <w:rsid w:val="000651C5"/>
    <w:rsid w:val="0006520B"/>
    <w:rsid w:val="00065244"/>
    <w:rsid w:val="00065380"/>
    <w:rsid w:val="00065391"/>
    <w:rsid w:val="0006540E"/>
    <w:rsid w:val="00065560"/>
    <w:rsid w:val="00065B45"/>
    <w:rsid w:val="00065B5C"/>
    <w:rsid w:val="00065B84"/>
    <w:rsid w:val="00065C35"/>
    <w:rsid w:val="00065EC2"/>
    <w:rsid w:val="00065FC3"/>
    <w:rsid w:val="00066083"/>
    <w:rsid w:val="00066343"/>
    <w:rsid w:val="000664CA"/>
    <w:rsid w:val="0006671B"/>
    <w:rsid w:val="0006674A"/>
    <w:rsid w:val="00066FE6"/>
    <w:rsid w:val="00067190"/>
    <w:rsid w:val="00067264"/>
    <w:rsid w:val="00067536"/>
    <w:rsid w:val="00067B2C"/>
    <w:rsid w:val="00067CB7"/>
    <w:rsid w:val="00067CE8"/>
    <w:rsid w:val="00067DA6"/>
    <w:rsid w:val="00067E8D"/>
    <w:rsid w:val="00070049"/>
    <w:rsid w:val="000700AE"/>
    <w:rsid w:val="00070428"/>
    <w:rsid w:val="000705E6"/>
    <w:rsid w:val="00070754"/>
    <w:rsid w:val="0007092D"/>
    <w:rsid w:val="0007099B"/>
    <w:rsid w:val="00070A45"/>
    <w:rsid w:val="00070C7C"/>
    <w:rsid w:val="00070D2F"/>
    <w:rsid w:val="00070D60"/>
    <w:rsid w:val="00070FE1"/>
    <w:rsid w:val="000713E3"/>
    <w:rsid w:val="00071515"/>
    <w:rsid w:val="000719ED"/>
    <w:rsid w:val="00071CB0"/>
    <w:rsid w:val="00071DF3"/>
    <w:rsid w:val="00072397"/>
    <w:rsid w:val="0007241C"/>
    <w:rsid w:val="000724F4"/>
    <w:rsid w:val="000728DD"/>
    <w:rsid w:val="0007297A"/>
    <w:rsid w:val="00072A5D"/>
    <w:rsid w:val="00072C30"/>
    <w:rsid w:val="00072F56"/>
    <w:rsid w:val="000730B3"/>
    <w:rsid w:val="00073456"/>
    <w:rsid w:val="00073824"/>
    <w:rsid w:val="00073939"/>
    <w:rsid w:val="00073A29"/>
    <w:rsid w:val="00073D02"/>
    <w:rsid w:val="00073DA8"/>
    <w:rsid w:val="00074017"/>
    <w:rsid w:val="000740C9"/>
    <w:rsid w:val="0007410B"/>
    <w:rsid w:val="000741F8"/>
    <w:rsid w:val="00074332"/>
    <w:rsid w:val="00074453"/>
    <w:rsid w:val="0007464F"/>
    <w:rsid w:val="00074733"/>
    <w:rsid w:val="0007474B"/>
    <w:rsid w:val="00074759"/>
    <w:rsid w:val="00074788"/>
    <w:rsid w:val="00074889"/>
    <w:rsid w:val="00074B09"/>
    <w:rsid w:val="00074C22"/>
    <w:rsid w:val="00075060"/>
    <w:rsid w:val="0007523F"/>
    <w:rsid w:val="0007534C"/>
    <w:rsid w:val="00075A01"/>
    <w:rsid w:val="00075B14"/>
    <w:rsid w:val="00075B8D"/>
    <w:rsid w:val="00075BE0"/>
    <w:rsid w:val="00075C6E"/>
    <w:rsid w:val="00075DF9"/>
    <w:rsid w:val="00075EAC"/>
    <w:rsid w:val="00075ECD"/>
    <w:rsid w:val="00075F21"/>
    <w:rsid w:val="0007600A"/>
    <w:rsid w:val="00076020"/>
    <w:rsid w:val="000760E1"/>
    <w:rsid w:val="00076155"/>
    <w:rsid w:val="0007621A"/>
    <w:rsid w:val="000764C1"/>
    <w:rsid w:val="000764CB"/>
    <w:rsid w:val="0007680A"/>
    <w:rsid w:val="00076EA2"/>
    <w:rsid w:val="00076EF0"/>
    <w:rsid w:val="00077129"/>
    <w:rsid w:val="00077253"/>
    <w:rsid w:val="0007745C"/>
    <w:rsid w:val="00077501"/>
    <w:rsid w:val="00077A7B"/>
    <w:rsid w:val="00077BAC"/>
    <w:rsid w:val="00077D5E"/>
    <w:rsid w:val="00077E5B"/>
    <w:rsid w:val="00080192"/>
    <w:rsid w:val="000803F9"/>
    <w:rsid w:val="00080517"/>
    <w:rsid w:val="00080735"/>
    <w:rsid w:val="00080763"/>
    <w:rsid w:val="00080810"/>
    <w:rsid w:val="00080F10"/>
    <w:rsid w:val="00080F79"/>
    <w:rsid w:val="00081031"/>
    <w:rsid w:val="000811FE"/>
    <w:rsid w:val="000812FC"/>
    <w:rsid w:val="0008130F"/>
    <w:rsid w:val="000813B2"/>
    <w:rsid w:val="0008140B"/>
    <w:rsid w:val="000815D1"/>
    <w:rsid w:val="00081614"/>
    <w:rsid w:val="0008166A"/>
    <w:rsid w:val="00081829"/>
    <w:rsid w:val="000819E9"/>
    <w:rsid w:val="00081BF5"/>
    <w:rsid w:val="00081E9D"/>
    <w:rsid w:val="00081F70"/>
    <w:rsid w:val="000820B2"/>
    <w:rsid w:val="000820E6"/>
    <w:rsid w:val="0008210B"/>
    <w:rsid w:val="00082130"/>
    <w:rsid w:val="00082425"/>
    <w:rsid w:val="000824CC"/>
    <w:rsid w:val="00082539"/>
    <w:rsid w:val="00082B30"/>
    <w:rsid w:val="00082C32"/>
    <w:rsid w:val="00082CBB"/>
    <w:rsid w:val="00082DBB"/>
    <w:rsid w:val="00082FD8"/>
    <w:rsid w:val="00083149"/>
    <w:rsid w:val="0008324B"/>
    <w:rsid w:val="00083385"/>
    <w:rsid w:val="0008348B"/>
    <w:rsid w:val="00083689"/>
    <w:rsid w:val="000837FA"/>
    <w:rsid w:val="00083A19"/>
    <w:rsid w:val="00083CB5"/>
    <w:rsid w:val="00083DB7"/>
    <w:rsid w:val="00084190"/>
    <w:rsid w:val="000841B9"/>
    <w:rsid w:val="00084689"/>
    <w:rsid w:val="00084885"/>
    <w:rsid w:val="000849DA"/>
    <w:rsid w:val="00084A7C"/>
    <w:rsid w:val="00084C52"/>
    <w:rsid w:val="00084C57"/>
    <w:rsid w:val="00084FE1"/>
    <w:rsid w:val="00084FFE"/>
    <w:rsid w:val="00085031"/>
    <w:rsid w:val="00085538"/>
    <w:rsid w:val="00085547"/>
    <w:rsid w:val="00085578"/>
    <w:rsid w:val="000855F5"/>
    <w:rsid w:val="00085857"/>
    <w:rsid w:val="000859CB"/>
    <w:rsid w:val="00085BB2"/>
    <w:rsid w:val="00085D3D"/>
    <w:rsid w:val="00085ECC"/>
    <w:rsid w:val="0008604F"/>
    <w:rsid w:val="0008614E"/>
    <w:rsid w:val="00086151"/>
    <w:rsid w:val="0008615C"/>
    <w:rsid w:val="0008616E"/>
    <w:rsid w:val="00086175"/>
    <w:rsid w:val="000861BC"/>
    <w:rsid w:val="0008621B"/>
    <w:rsid w:val="000864D0"/>
    <w:rsid w:val="00086549"/>
    <w:rsid w:val="0008666E"/>
    <w:rsid w:val="00086810"/>
    <w:rsid w:val="000868F1"/>
    <w:rsid w:val="000871EA"/>
    <w:rsid w:val="00087240"/>
    <w:rsid w:val="000872A6"/>
    <w:rsid w:val="00087329"/>
    <w:rsid w:val="000877F6"/>
    <w:rsid w:val="0008780A"/>
    <w:rsid w:val="0008789A"/>
    <w:rsid w:val="00087964"/>
    <w:rsid w:val="00087C39"/>
    <w:rsid w:val="00087CA8"/>
    <w:rsid w:val="00087CDF"/>
    <w:rsid w:val="00087D43"/>
    <w:rsid w:val="00087D6D"/>
    <w:rsid w:val="00087D95"/>
    <w:rsid w:val="00087E1D"/>
    <w:rsid w:val="00087F3B"/>
    <w:rsid w:val="00089206"/>
    <w:rsid w:val="00090000"/>
    <w:rsid w:val="000903DF"/>
    <w:rsid w:val="000904A6"/>
    <w:rsid w:val="000904C4"/>
    <w:rsid w:val="000904ED"/>
    <w:rsid w:val="00090801"/>
    <w:rsid w:val="00090883"/>
    <w:rsid w:val="0009096E"/>
    <w:rsid w:val="0009097A"/>
    <w:rsid w:val="00090AD5"/>
    <w:rsid w:val="00090C48"/>
    <w:rsid w:val="00090F47"/>
    <w:rsid w:val="0009100C"/>
    <w:rsid w:val="0009102A"/>
    <w:rsid w:val="00091329"/>
    <w:rsid w:val="00091552"/>
    <w:rsid w:val="0009193E"/>
    <w:rsid w:val="000919E4"/>
    <w:rsid w:val="00091AE4"/>
    <w:rsid w:val="00091EF3"/>
    <w:rsid w:val="000920C4"/>
    <w:rsid w:val="000920EF"/>
    <w:rsid w:val="0009218D"/>
    <w:rsid w:val="0009226B"/>
    <w:rsid w:val="000922FA"/>
    <w:rsid w:val="000924D5"/>
    <w:rsid w:val="00092805"/>
    <w:rsid w:val="00092A6B"/>
    <w:rsid w:val="00092AA9"/>
    <w:rsid w:val="00092BB5"/>
    <w:rsid w:val="00092BE9"/>
    <w:rsid w:val="00092C86"/>
    <w:rsid w:val="00092DC1"/>
    <w:rsid w:val="00092DED"/>
    <w:rsid w:val="00092E6B"/>
    <w:rsid w:val="00092EBF"/>
    <w:rsid w:val="000930AE"/>
    <w:rsid w:val="00093173"/>
    <w:rsid w:val="000933DF"/>
    <w:rsid w:val="0009346A"/>
    <w:rsid w:val="000935B9"/>
    <w:rsid w:val="000936A6"/>
    <w:rsid w:val="00093858"/>
    <w:rsid w:val="000938A9"/>
    <w:rsid w:val="00093999"/>
    <w:rsid w:val="00093AA6"/>
    <w:rsid w:val="00093E1A"/>
    <w:rsid w:val="00093EE8"/>
    <w:rsid w:val="00094432"/>
    <w:rsid w:val="00094870"/>
    <w:rsid w:val="00094A65"/>
    <w:rsid w:val="00094CEF"/>
    <w:rsid w:val="00094D55"/>
    <w:rsid w:val="00094E86"/>
    <w:rsid w:val="00095112"/>
    <w:rsid w:val="00095116"/>
    <w:rsid w:val="00095226"/>
    <w:rsid w:val="000954DD"/>
    <w:rsid w:val="00095539"/>
    <w:rsid w:val="000955B6"/>
    <w:rsid w:val="000956B7"/>
    <w:rsid w:val="00095717"/>
    <w:rsid w:val="00095964"/>
    <w:rsid w:val="00095A49"/>
    <w:rsid w:val="00095AB4"/>
    <w:rsid w:val="00095B09"/>
    <w:rsid w:val="00095BB1"/>
    <w:rsid w:val="00095C5D"/>
    <w:rsid w:val="00095DFF"/>
    <w:rsid w:val="00095E27"/>
    <w:rsid w:val="0009607C"/>
    <w:rsid w:val="000961C6"/>
    <w:rsid w:val="00096265"/>
    <w:rsid w:val="000964CC"/>
    <w:rsid w:val="00096529"/>
    <w:rsid w:val="0009673B"/>
    <w:rsid w:val="00096857"/>
    <w:rsid w:val="00096D3F"/>
    <w:rsid w:val="00096FCD"/>
    <w:rsid w:val="00096FFE"/>
    <w:rsid w:val="00097071"/>
    <w:rsid w:val="000970EA"/>
    <w:rsid w:val="0009712E"/>
    <w:rsid w:val="0009793B"/>
    <w:rsid w:val="00097BA8"/>
    <w:rsid w:val="00097D73"/>
    <w:rsid w:val="00097D7D"/>
    <w:rsid w:val="00097E6C"/>
    <w:rsid w:val="000A0007"/>
    <w:rsid w:val="000A0257"/>
    <w:rsid w:val="000A040B"/>
    <w:rsid w:val="000A053E"/>
    <w:rsid w:val="000A0588"/>
    <w:rsid w:val="000A059B"/>
    <w:rsid w:val="000A08C5"/>
    <w:rsid w:val="000A09AE"/>
    <w:rsid w:val="000A0BC7"/>
    <w:rsid w:val="000A0D5B"/>
    <w:rsid w:val="000A0E0D"/>
    <w:rsid w:val="000A0E7A"/>
    <w:rsid w:val="000A0F16"/>
    <w:rsid w:val="000A1204"/>
    <w:rsid w:val="000A12BC"/>
    <w:rsid w:val="000A12FF"/>
    <w:rsid w:val="000A13D1"/>
    <w:rsid w:val="000A150A"/>
    <w:rsid w:val="000A16A2"/>
    <w:rsid w:val="000A1A92"/>
    <w:rsid w:val="000A1ADF"/>
    <w:rsid w:val="000A1F4F"/>
    <w:rsid w:val="000A2052"/>
    <w:rsid w:val="000A2271"/>
    <w:rsid w:val="000A23E0"/>
    <w:rsid w:val="000A2553"/>
    <w:rsid w:val="000A26A6"/>
    <w:rsid w:val="000A2740"/>
    <w:rsid w:val="000A285B"/>
    <w:rsid w:val="000A2A0E"/>
    <w:rsid w:val="000A2BE6"/>
    <w:rsid w:val="000A307E"/>
    <w:rsid w:val="000A3131"/>
    <w:rsid w:val="000A31B5"/>
    <w:rsid w:val="000A3207"/>
    <w:rsid w:val="000A3269"/>
    <w:rsid w:val="000A34A5"/>
    <w:rsid w:val="000A3679"/>
    <w:rsid w:val="000A3688"/>
    <w:rsid w:val="000A370F"/>
    <w:rsid w:val="000A388C"/>
    <w:rsid w:val="000A3E9E"/>
    <w:rsid w:val="000A42CE"/>
    <w:rsid w:val="000A42D3"/>
    <w:rsid w:val="000A42DC"/>
    <w:rsid w:val="000A42DD"/>
    <w:rsid w:val="000A45BC"/>
    <w:rsid w:val="000A460A"/>
    <w:rsid w:val="000A4665"/>
    <w:rsid w:val="000A47EF"/>
    <w:rsid w:val="000A4895"/>
    <w:rsid w:val="000A48E7"/>
    <w:rsid w:val="000A4978"/>
    <w:rsid w:val="000A49B8"/>
    <w:rsid w:val="000A4A04"/>
    <w:rsid w:val="000A4BC5"/>
    <w:rsid w:val="000A4DD6"/>
    <w:rsid w:val="000A4DF7"/>
    <w:rsid w:val="000A50E8"/>
    <w:rsid w:val="000A516A"/>
    <w:rsid w:val="000A5298"/>
    <w:rsid w:val="000A53C2"/>
    <w:rsid w:val="000A53DB"/>
    <w:rsid w:val="000A5883"/>
    <w:rsid w:val="000A5B36"/>
    <w:rsid w:val="000A5B73"/>
    <w:rsid w:val="000A5C63"/>
    <w:rsid w:val="000A5F23"/>
    <w:rsid w:val="000A5F6C"/>
    <w:rsid w:val="000A62B7"/>
    <w:rsid w:val="000A6306"/>
    <w:rsid w:val="000A6365"/>
    <w:rsid w:val="000A6468"/>
    <w:rsid w:val="000A6485"/>
    <w:rsid w:val="000A6730"/>
    <w:rsid w:val="000A6CA0"/>
    <w:rsid w:val="000A6D49"/>
    <w:rsid w:val="000A6E03"/>
    <w:rsid w:val="000A70A3"/>
    <w:rsid w:val="000A710E"/>
    <w:rsid w:val="000A74AD"/>
    <w:rsid w:val="000A7589"/>
    <w:rsid w:val="000A7606"/>
    <w:rsid w:val="000A789B"/>
    <w:rsid w:val="000A7AFE"/>
    <w:rsid w:val="000A7B25"/>
    <w:rsid w:val="000A7C2A"/>
    <w:rsid w:val="000A7E44"/>
    <w:rsid w:val="000A7F23"/>
    <w:rsid w:val="000B0149"/>
    <w:rsid w:val="000B01B2"/>
    <w:rsid w:val="000B024F"/>
    <w:rsid w:val="000B064B"/>
    <w:rsid w:val="000B0716"/>
    <w:rsid w:val="000B0AB2"/>
    <w:rsid w:val="000B0B23"/>
    <w:rsid w:val="000B0B2C"/>
    <w:rsid w:val="000B0CD7"/>
    <w:rsid w:val="000B1022"/>
    <w:rsid w:val="000B10CB"/>
    <w:rsid w:val="000B112A"/>
    <w:rsid w:val="000B12A6"/>
    <w:rsid w:val="000B13E6"/>
    <w:rsid w:val="000B1674"/>
    <w:rsid w:val="000B184B"/>
    <w:rsid w:val="000B18CE"/>
    <w:rsid w:val="000B18F0"/>
    <w:rsid w:val="000B1A87"/>
    <w:rsid w:val="000B1B05"/>
    <w:rsid w:val="000B1B42"/>
    <w:rsid w:val="000B1C36"/>
    <w:rsid w:val="000B1EAE"/>
    <w:rsid w:val="000B1FAF"/>
    <w:rsid w:val="000B220A"/>
    <w:rsid w:val="000B2521"/>
    <w:rsid w:val="000B265B"/>
    <w:rsid w:val="000B28EC"/>
    <w:rsid w:val="000B2AA8"/>
    <w:rsid w:val="000B2B37"/>
    <w:rsid w:val="000B2B68"/>
    <w:rsid w:val="000B2C97"/>
    <w:rsid w:val="000B2E90"/>
    <w:rsid w:val="000B3071"/>
    <w:rsid w:val="000B32C6"/>
    <w:rsid w:val="000B32F9"/>
    <w:rsid w:val="000B3518"/>
    <w:rsid w:val="000B3802"/>
    <w:rsid w:val="000B39C7"/>
    <w:rsid w:val="000B3AB3"/>
    <w:rsid w:val="000B3B30"/>
    <w:rsid w:val="000B3CD6"/>
    <w:rsid w:val="000B3F68"/>
    <w:rsid w:val="000B408D"/>
    <w:rsid w:val="000B40A8"/>
    <w:rsid w:val="000B4254"/>
    <w:rsid w:val="000B4272"/>
    <w:rsid w:val="000B43C1"/>
    <w:rsid w:val="000B4695"/>
    <w:rsid w:val="000B46EE"/>
    <w:rsid w:val="000B48F3"/>
    <w:rsid w:val="000B4A1F"/>
    <w:rsid w:val="000B4A35"/>
    <w:rsid w:val="000B4E00"/>
    <w:rsid w:val="000B4F06"/>
    <w:rsid w:val="000B50CF"/>
    <w:rsid w:val="000B5220"/>
    <w:rsid w:val="000B5224"/>
    <w:rsid w:val="000B52EF"/>
    <w:rsid w:val="000B531B"/>
    <w:rsid w:val="000B56A6"/>
    <w:rsid w:val="000B589E"/>
    <w:rsid w:val="000B58E7"/>
    <w:rsid w:val="000B59BA"/>
    <w:rsid w:val="000B5ABD"/>
    <w:rsid w:val="000B5AF9"/>
    <w:rsid w:val="000B5BE0"/>
    <w:rsid w:val="000B5CF0"/>
    <w:rsid w:val="000B5E0E"/>
    <w:rsid w:val="000B5ED9"/>
    <w:rsid w:val="000B6196"/>
    <w:rsid w:val="000B6234"/>
    <w:rsid w:val="000B63AE"/>
    <w:rsid w:val="000B63BE"/>
    <w:rsid w:val="000B6529"/>
    <w:rsid w:val="000B6871"/>
    <w:rsid w:val="000B68D2"/>
    <w:rsid w:val="000B696B"/>
    <w:rsid w:val="000B6A11"/>
    <w:rsid w:val="000B6A1E"/>
    <w:rsid w:val="000B6BD9"/>
    <w:rsid w:val="000B6C3A"/>
    <w:rsid w:val="000B6F0B"/>
    <w:rsid w:val="000B7043"/>
    <w:rsid w:val="000B74B0"/>
    <w:rsid w:val="000B752E"/>
    <w:rsid w:val="000B7D6C"/>
    <w:rsid w:val="000B7E08"/>
    <w:rsid w:val="000C0115"/>
    <w:rsid w:val="000C019C"/>
    <w:rsid w:val="000C0229"/>
    <w:rsid w:val="000C038C"/>
    <w:rsid w:val="000C03CE"/>
    <w:rsid w:val="000C0813"/>
    <w:rsid w:val="000C09E2"/>
    <w:rsid w:val="000C0B74"/>
    <w:rsid w:val="000C0BA1"/>
    <w:rsid w:val="000C10B9"/>
    <w:rsid w:val="000C11AC"/>
    <w:rsid w:val="000C12B3"/>
    <w:rsid w:val="000C1606"/>
    <w:rsid w:val="000C1627"/>
    <w:rsid w:val="000C1651"/>
    <w:rsid w:val="000C194F"/>
    <w:rsid w:val="000C19CF"/>
    <w:rsid w:val="000C1DFF"/>
    <w:rsid w:val="000C1E1E"/>
    <w:rsid w:val="000C1E56"/>
    <w:rsid w:val="000C1E68"/>
    <w:rsid w:val="000C1E8F"/>
    <w:rsid w:val="000C1FF2"/>
    <w:rsid w:val="000C218B"/>
    <w:rsid w:val="000C222A"/>
    <w:rsid w:val="000C238E"/>
    <w:rsid w:val="000C2897"/>
    <w:rsid w:val="000C28CB"/>
    <w:rsid w:val="000C2907"/>
    <w:rsid w:val="000C2967"/>
    <w:rsid w:val="000C2BFD"/>
    <w:rsid w:val="000C2C30"/>
    <w:rsid w:val="000C2CD2"/>
    <w:rsid w:val="000C2D86"/>
    <w:rsid w:val="000C2E86"/>
    <w:rsid w:val="000C32E9"/>
    <w:rsid w:val="000C35AF"/>
    <w:rsid w:val="000C36F0"/>
    <w:rsid w:val="000C38A7"/>
    <w:rsid w:val="000C3B1C"/>
    <w:rsid w:val="000C3BA3"/>
    <w:rsid w:val="000C3C96"/>
    <w:rsid w:val="000C3D0F"/>
    <w:rsid w:val="000C3D62"/>
    <w:rsid w:val="000C3EC9"/>
    <w:rsid w:val="000C41E7"/>
    <w:rsid w:val="000C46CF"/>
    <w:rsid w:val="000C4C45"/>
    <w:rsid w:val="000C4C6B"/>
    <w:rsid w:val="000C4D68"/>
    <w:rsid w:val="000C4DD9"/>
    <w:rsid w:val="000C4ED8"/>
    <w:rsid w:val="000C4F0D"/>
    <w:rsid w:val="000C4F43"/>
    <w:rsid w:val="000C4FAA"/>
    <w:rsid w:val="000C51D4"/>
    <w:rsid w:val="000C526B"/>
    <w:rsid w:val="000C527B"/>
    <w:rsid w:val="000C5295"/>
    <w:rsid w:val="000C54C6"/>
    <w:rsid w:val="000C55BF"/>
    <w:rsid w:val="000C564C"/>
    <w:rsid w:val="000C570C"/>
    <w:rsid w:val="000C578C"/>
    <w:rsid w:val="000C5AFF"/>
    <w:rsid w:val="000C5CF0"/>
    <w:rsid w:val="000C5D8E"/>
    <w:rsid w:val="000C5E52"/>
    <w:rsid w:val="000C602C"/>
    <w:rsid w:val="000C6423"/>
    <w:rsid w:val="000C647C"/>
    <w:rsid w:val="000C650F"/>
    <w:rsid w:val="000C6563"/>
    <w:rsid w:val="000C688F"/>
    <w:rsid w:val="000C69A0"/>
    <w:rsid w:val="000C710F"/>
    <w:rsid w:val="000C742B"/>
    <w:rsid w:val="000C77C2"/>
    <w:rsid w:val="000C7892"/>
    <w:rsid w:val="000C79E3"/>
    <w:rsid w:val="000C7AD9"/>
    <w:rsid w:val="000C7B33"/>
    <w:rsid w:val="000C7D22"/>
    <w:rsid w:val="000C7ECF"/>
    <w:rsid w:val="000C7EEF"/>
    <w:rsid w:val="000C7F21"/>
    <w:rsid w:val="000C7F5C"/>
    <w:rsid w:val="000CF8FD"/>
    <w:rsid w:val="000D00B7"/>
    <w:rsid w:val="000D0252"/>
    <w:rsid w:val="000D02AF"/>
    <w:rsid w:val="000D0763"/>
    <w:rsid w:val="000D0960"/>
    <w:rsid w:val="000D0BB1"/>
    <w:rsid w:val="000D0BD9"/>
    <w:rsid w:val="000D0FB8"/>
    <w:rsid w:val="000D1032"/>
    <w:rsid w:val="000D104D"/>
    <w:rsid w:val="000D10AE"/>
    <w:rsid w:val="000D1376"/>
    <w:rsid w:val="000D1463"/>
    <w:rsid w:val="000D171F"/>
    <w:rsid w:val="000D1979"/>
    <w:rsid w:val="000D1B5C"/>
    <w:rsid w:val="000D1C06"/>
    <w:rsid w:val="000D1C21"/>
    <w:rsid w:val="000D1D51"/>
    <w:rsid w:val="000D1E5E"/>
    <w:rsid w:val="000D1E77"/>
    <w:rsid w:val="000D205F"/>
    <w:rsid w:val="000D2221"/>
    <w:rsid w:val="000D2235"/>
    <w:rsid w:val="000D22DC"/>
    <w:rsid w:val="000D238B"/>
    <w:rsid w:val="000D2873"/>
    <w:rsid w:val="000D291E"/>
    <w:rsid w:val="000D298D"/>
    <w:rsid w:val="000D2BBD"/>
    <w:rsid w:val="000D2C44"/>
    <w:rsid w:val="000D2CB9"/>
    <w:rsid w:val="000D2EB5"/>
    <w:rsid w:val="000D307F"/>
    <w:rsid w:val="000D30CF"/>
    <w:rsid w:val="000D3160"/>
    <w:rsid w:val="000D3295"/>
    <w:rsid w:val="000D3558"/>
    <w:rsid w:val="000D3593"/>
    <w:rsid w:val="000D3685"/>
    <w:rsid w:val="000D36B0"/>
    <w:rsid w:val="000D36E9"/>
    <w:rsid w:val="000D3748"/>
    <w:rsid w:val="000D3803"/>
    <w:rsid w:val="000D38D6"/>
    <w:rsid w:val="000D3AB3"/>
    <w:rsid w:val="000D3CC8"/>
    <w:rsid w:val="000D3D50"/>
    <w:rsid w:val="000D3E6C"/>
    <w:rsid w:val="000D3F8C"/>
    <w:rsid w:val="000D3FE2"/>
    <w:rsid w:val="000D424A"/>
    <w:rsid w:val="000D43C3"/>
    <w:rsid w:val="000D44C2"/>
    <w:rsid w:val="000D45D7"/>
    <w:rsid w:val="000D48DC"/>
    <w:rsid w:val="000D4A96"/>
    <w:rsid w:val="000D4DB2"/>
    <w:rsid w:val="000D4F58"/>
    <w:rsid w:val="000D4F97"/>
    <w:rsid w:val="000D521D"/>
    <w:rsid w:val="000D5259"/>
    <w:rsid w:val="000D56C1"/>
    <w:rsid w:val="000D58A4"/>
    <w:rsid w:val="000D5B8B"/>
    <w:rsid w:val="000D5C04"/>
    <w:rsid w:val="000D5C32"/>
    <w:rsid w:val="000D5DF3"/>
    <w:rsid w:val="000D5F9B"/>
    <w:rsid w:val="000D6041"/>
    <w:rsid w:val="000D6382"/>
    <w:rsid w:val="000D63C6"/>
    <w:rsid w:val="000D6485"/>
    <w:rsid w:val="000D6849"/>
    <w:rsid w:val="000D6878"/>
    <w:rsid w:val="000D6A2D"/>
    <w:rsid w:val="000D6A36"/>
    <w:rsid w:val="000D6E69"/>
    <w:rsid w:val="000D6ED6"/>
    <w:rsid w:val="000D7048"/>
    <w:rsid w:val="000D7530"/>
    <w:rsid w:val="000D78C0"/>
    <w:rsid w:val="000D7BBD"/>
    <w:rsid w:val="000D7DE0"/>
    <w:rsid w:val="000D7EC4"/>
    <w:rsid w:val="000E002B"/>
    <w:rsid w:val="000E0199"/>
    <w:rsid w:val="000E02C3"/>
    <w:rsid w:val="000E04C0"/>
    <w:rsid w:val="000E04D5"/>
    <w:rsid w:val="000E055F"/>
    <w:rsid w:val="000E0563"/>
    <w:rsid w:val="000E073F"/>
    <w:rsid w:val="000E081F"/>
    <w:rsid w:val="000E08B0"/>
    <w:rsid w:val="000E0B2D"/>
    <w:rsid w:val="000E0C51"/>
    <w:rsid w:val="000E0F2F"/>
    <w:rsid w:val="000E11F8"/>
    <w:rsid w:val="000E1535"/>
    <w:rsid w:val="000E170C"/>
    <w:rsid w:val="000E181C"/>
    <w:rsid w:val="000E198B"/>
    <w:rsid w:val="000E1B10"/>
    <w:rsid w:val="000E1F73"/>
    <w:rsid w:val="000E20BC"/>
    <w:rsid w:val="000E21F1"/>
    <w:rsid w:val="000E233B"/>
    <w:rsid w:val="000E2485"/>
    <w:rsid w:val="000E2543"/>
    <w:rsid w:val="000E26DF"/>
    <w:rsid w:val="000E2C23"/>
    <w:rsid w:val="000E2DB0"/>
    <w:rsid w:val="000E3086"/>
    <w:rsid w:val="000E32A0"/>
    <w:rsid w:val="000E345B"/>
    <w:rsid w:val="000E3830"/>
    <w:rsid w:val="000E38B6"/>
    <w:rsid w:val="000E38E6"/>
    <w:rsid w:val="000E3AC3"/>
    <w:rsid w:val="000E3C28"/>
    <w:rsid w:val="000E3C40"/>
    <w:rsid w:val="000E3E12"/>
    <w:rsid w:val="000E3F74"/>
    <w:rsid w:val="000E3F98"/>
    <w:rsid w:val="000E4207"/>
    <w:rsid w:val="000E4416"/>
    <w:rsid w:val="000E4589"/>
    <w:rsid w:val="000E4756"/>
    <w:rsid w:val="000E47FB"/>
    <w:rsid w:val="000E499A"/>
    <w:rsid w:val="000E4CE2"/>
    <w:rsid w:val="000E4CEA"/>
    <w:rsid w:val="000E4D02"/>
    <w:rsid w:val="000E4D94"/>
    <w:rsid w:val="000E4FBE"/>
    <w:rsid w:val="000E517F"/>
    <w:rsid w:val="000E5186"/>
    <w:rsid w:val="000E5416"/>
    <w:rsid w:val="000E558C"/>
    <w:rsid w:val="000E55DB"/>
    <w:rsid w:val="000E580C"/>
    <w:rsid w:val="000E5817"/>
    <w:rsid w:val="000E58C3"/>
    <w:rsid w:val="000E58DA"/>
    <w:rsid w:val="000E5CDD"/>
    <w:rsid w:val="000E5D04"/>
    <w:rsid w:val="000E5E93"/>
    <w:rsid w:val="000E606A"/>
    <w:rsid w:val="000E6104"/>
    <w:rsid w:val="000E61F1"/>
    <w:rsid w:val="000E620B"/>
    <w:rsid w:val="000E6299"/>
    <w:rsid w:val="000E63FA"/>
    <w:rsid w:val="000E68D8"/>
    <w:rsid w:val="000E6944"/>
    <w:rsid w:val="000E69E5"/>
    <w:rsid w:val="000E6DB8"/>
    <w:rsid w:val="000E7350"/>
    <w:rsid w:val="000E759A"/>
    <w:rsid w:val="000E77B6"/>
    <w:rsid w:val="000E7A34"/>
    <w:rsid w:val="000E7F4B"/>
    <w:rsid w:val="000E7FEB"/>
    <w:rsid w:val="000F0123"/>
    <w:rsid w:val="000F0465"/>
    <w:rsid w:val="000F04A1"/>
    <w:rsid w:val="000F051F"/>
    <w:rsid w:val="000F0754"/>
    <w:rsid w:val="000F0755"/>
    <w:rsid w:val="000F07F6"/>
    <w:rsid w:val="000F0952"/>
    <w:rsid w:val="000F0A39"/>
    <w:rsid w:val="000F0E2E"/>
    <w:rsid w:val="000F0E4D"/>
    <w:rsid w:val="000F115B"/>
    <w:rsid w:val="000F1461"/>
    <w:rsid w:val="000F148A"/>
    <w:rsid w:val="000F15BB"/>
    <w:rsid w:val="000F16EF"/>
    <w:rsid w:val="000F187A"/>
    <w:rsid w:val="000F19C5"/>
    <w:rsid w:val="000F1A56"/>
    <w:rsid w:val="000F1A68"/>
    <w:rsid w:val="000F1BF1"/>
    <w:rsid w:val="000F1CB7"/>
    <w:rsid w:val="000F1ED6"/>
    <w:rsid w:val="000F2052"/>
    <w:rsid w:val="000F2135"/>
    <w:rsid w:val="000F21F4"/>
    <w:rsid w:val="000F2290"/>
    <w:rsid w:val="000F22A1"/>
    <w:rsid w:val="000F23FA"/>
    <w:rsid w:val="000F25C9"/>
    <w:rsid w:val="000F275A"/>
    <w:rsid w:val="000F2836"/>
    <w:rsid w:val="000F294B"/>
    <w:rsid w:val="000F2A75"/>
    <w:rsid w:val="000F2CE7"/>
    <w:rsid w:val="000F2EC4"/>
    <w:rsid w:val="000F2EEB"/>
    <w:rsid w:val="000F2FC7"/>
    <w:rsid w:val="000F322B"/>
    <w:rsid w:val="000F3333"/>
    <w:rsid w:val="000F333E"/>
    <w:rsid w:val="000F34D0"/>
    <w:rsid w:val="000F3584"/>
    <w:rsid w:val="000F36B9"/>
    <w:rsid w:val="000F377F"/>
    <w:rsid w:val="000F37DA"/>
    <w:rsid w:val="000F381A"/>
    <w:rsid w:val="000F3A29"/>
    <w:rsid w:val="000F3B40"/>
    <w:rsid w:val="000F3C36"/>
    <w:rsid w:val="000F3EFE"/>
    <w:rsid w:val="000F405B"/>
    <w:rsid w:val="000F4090"/>
    <w:rsid w:val="000F41F7"/>
    <w:rsid w:val="000F4303"/>
    <w:rsid w:val="000F4427"/>
    <w:rsid w:val="000F4482"/>
    <w:rsid w:val="000F471F"/>
    <w:rsid w:val="000F47FB"/>
    <w:rsid w:val="000F486D"/>
    <w:rsid w:val="000F4A29"/>
    <w:rsid w:val="000F4DF7"/>
    <w:rsid w:val="000F4F8F"/>
    <w:rsid w:val="000F5085"/>
    <w:rsid w:val="000F509B"/>
    <w:rsid w:val="000F50BD"/>
    <w:rsid w:val="000F5267"/>
    <w:rsid w:val="000F538D"/>
    <w:rsid w:val="000F5575"/>
    <w:rsid w:val="000F562B"/>
    <w:rsid w:val="000F5689"/>
    <w:rsid w:val="000F5982"/>
    <w:rsid w:val="000F5B6E"/>
    <w:rsid w:val="000F5CA9"/>
    <w:rsid w:val="000F5F96"/>
    <w:rsid w:val="000F609D"/>
    <w:rsid w:val="000F60C9"/>
    <w:rsid w:val="000F620C"/>
    <w:rsid w:val="000F639D"/>
    <w:rsid w:val="000F63DB"/>
    <w:rsid w:val="000F6514"/>
    <w:rsid w:val="000F6690"/>
    <w:rsid w:val="000F6898"/>
    <w:rsid w:val="000F69D4"/>
    <w:rsid w:val="000F6AEC"/>
    <w:rsid w:val="000F6B7D"/>
    <w:rsid w:val="000F6C22"/>
    <w:rsid w:val="000F6C69"/>
    <w:rsid w:val="000F6ECD"/>
    <w:rsid w:val="000F6F27"/>
    <w:rsid w:val="000F6F4E"/>
    <w:rsid w:val="000F6FA6"/>
    <w:rsid w:val="000F7187"/>
    <w:rsid w:val="000F7209"/>
    <w:rsid w:val="000F72B1"/>
    <w:rsid w:val="000F72B9"/>
    <w:rsid w:val="000F736E"/>
    <w:rsid w:val="000F759A"/>
    <w:rsid w:val="000F7B07"/>
    <w:rsid w:val="000F7EEB"/>
    <w:rsid w:val="000F7FD8"/>
    <w:rsid w:val="000F7FF1"/>
    <w:rsid w:val="00100107"/>
    <w:rsid w:val="0010015B"/>
    <w:rsid w:val="00100184"/>
    <w:rsid w:val="001001CF"/>
    <w:rsid w:val="0010025D"/>
    <w:rsid w:val="00100367"/>
    <w:rsid w:val="0010037F"/>
    <w:rsid w:val="001003B5"/>
    <w:rsid w:val="0010046C"/>
    <w:rsid w:val="00100569"/>
    <w:rsid w:val="00100618"/>
    <w:rsid w:val="00100720"/>
    <w:rsid w:val="001008C6"/>
    <w:rsid w:val="00100EB8"/>
    <w:rsid w:val="00100FA1"/>
    <w:rsid w:val="001012D6"/>
    <w:rsid w:val="001014DE"/>
    <w:rsid w:val="001018DB"/>
    <w:rsid w:val="0010199A"/>
    <w:rsid w:val="00101CBF"/>
    <w:rsid w:val="00102449"/>
    <w:rsid w:val="001024AE"/>
    <w:rsid w:val="001025D3"/>
    <w:rsid w:val="00102980"/>
    <w:rsid w:val="00102B24"/>
    <w:rsid w:val="00102B27"/>
    <w:rsid w:val="00102B37"/>
    <w:rsid w:val="00102B7F"/>
    <w:rsid w:val="00102C5A"/>
    <w:rsid w:val="00102DA2"/>
    <w:rsid w:val="00102EF2"/>
    <w:rsid w:val="00102FFD"/>
    <w:rsid w:val="00103006"/>
    <w:rsid w:val="0010300A"/>
    <w:rsid w:val="0010318E"/>
    <w:rsid w:val="0010339C"/>
    <w:rsid w:val="00103428"/>
    <w:rsid w:val="001038F6"/>
    <w:rsid w:val="00103971"/>
    <w:rsid w:val="00103A43"/>
    <w:rsid w:val="00103B38"/>
    <w:rsid w:val="00103C20"/>
    <w:rsid w:val="00103C94"/>
    <w:rsid w:val="00103CC8"/>
    <w:rsid w:val="00103E40"/>
    <w:rsid w:val="00103FA3"/>
    <w:rsid w:val="00104204"/>
    <w:rsid w:val="00104510"/>
    <w:rsid w:val="0010458F"/>
    <w:rsid w:val="00104735"/>
    <w:rsid w:val="0010484B"/>
    <w:rsid w:val="00104A91"/>
    <w:rsid w:val="00104BEE"/>
    <w:rsid w:val="00104D3A"/>
    <w:rsid w:val="00104ED2"/>
    <w:rsid w:val="001050D9"/>
    <w:rsid w:val="00105100"/>
    <w:rsid w:val="00105120"/>
    <w:rsid w:val="00105166"/>
    <w:rsid w:val="001051BF"/>
    <w:rsid w:val="001052B5"/>
    <w:rsid w:val="0010535D"/>
    <w:rsid w:val="00105575"/>
    <w:rsid w:val="0010567A"/>
    <w:rsid w:val="00105761"/>
    <w:rsid w:val="00105782"/>
    <w:rsid w:val="00105919"/>
    <w:rsid w:val="001059B1"/>
    <w:rsid w:val="00105A56"/>
    <w:rsid w:val="00105A5D"/>
    <w:rsid w:val="00105BF0"/>
    <w:rsid w:val="00105E1B"/>
    <w:rsid w:val="00105E22"/>
    <w:rsid w:val="00105F23"/>
    <w:rsid w:val="00105FD1"/>
    <w:rsid w:val="00106044"/>
    <w:rsid w:val="001061C2"/>
    <w:rsid w:val="001061DF"/>
    <w:rsid w:val="0010655B"/>
    <w:rsid w:val="00106665"/>
    <w:rsid w:val="0010672B"/>
    <w:rsid w:val="00106744"/>
    <w:rsid w:val="001067AB"/>
    <w:rsid w:val="0010685F"/>
    <w:rsid w:val="0010689B"/>
    <w:rsid w:val="00106CB7"/>
    <w:rsid w:val="001070D9"/>
    <w:rsid w:val="001072A8"/>
    <w:rsid w:val="00107494"/>
    <w:rsid w:val="0010757B"/>
    <w:rsid w:val="001075D4"/>
    <w:rsid w:val="00107678"/>
    <w:rsid w:val="00107820"/>
    <w:rsid w:val="00107B5A"/>
    <w:rsid w:val="00107C70"/>
    <w:rsid w:val="0011007D"/>
    <w:rsid w:val="001100A5"/>
    <w:rsid w:val="001101E3"/>
    <w:rsid w:val="00110476"/>
    <w:rsid w:val="001104FC"/>
    <w:rsid w:val="001105D1"/>
    <w:rsid w:val="001105DD"/>
    <w:rsid w:val="001107FD"/>
    <w:rsid w:val="00110BD6"/>
    <w:rsid w:val="00110F69"/>
    <w:rsid w:val="0011117C"/>
    <w:rsid w:val="00111276"/>
    <w:rsid w:val="0011127A"/>
    <w:rsid w:val="00111543"/>
    <w:rsid w:val="00111564"/>
    <w:rsid w:val="001115E9"/>
    <w:rsid w:val="00111868"/>
    <w:rsid w:val="00111952"/>
    <w:rsid w:val="00111D7E"/>
    <w:rsid w:val="00111F6F"/>
    <w:rsid w:val="00111FF7"/>
    <w:rsid w:val="00112169"/>
    <w:rsid w:val="001122D1"/>
    <w:rsid w:val="0011234E"/>
    <w:rsid w:val="0011237F"/>
    <w:rsid w:val="00112442"/>
    <w:rsid w:val="001127D1"/>
    <w:rsid w:val="00112830"/>
    <w:rsid w:val="00112AA1"/>
    <w:rsid w:val="00112BD0"/>
    <w:rsid w:val="00112C32"/>
    <w:rsid w:val="00112C9F"/>
    <w:rsid w:val="00112D02"/>
    <w:rsid w:val="00112D5D"/>
    <w:rsid w:val="00112DD8"/>
    <w:rsid w:val="00112E22"/>
    <w:rsid w:val="00112E76"/>
    <w:rsid w:val="00112F2F"/>
    <w:rsid w:val="00112FDD"/>
    <w:rsid w:val="0011307E"/>
    <w:rsid w:val="001133E7"/>
    <w:rsid w:val="0011349E"/>
    <w:rsid w:val="001134F7"/>
    <w:rsid w:val="00113716"/>
    <w:rsid w:val="0011389B"/>
    <w:rsid w:val="0011392B"/>
    <w:rsid w:val="0011397D"/>
    <w:rsid w:val="00113B8B"/>
    <w:rsid w:val="00113D72"/>
    <w:rsid w:val="00113F0E"/>
    <w:rsid w:val="00113FBA"/>
    <w:rsid w:val="00113FEB"/>
    <w:rsid w:val="0011403B"/>
    <w:rsid w:val="0011455A"/>
    <w:rsid w:val="00114643"/>
    <w:rsid w:val="00114768"/>
    <w:rsid w:val="001147B8"/>
    <w:rsid w:val="00114C24"/>
    <w:rsid w:val="00114D91"/>
    <w:rsid w:val="00114E78"/>
    <w:rsid w:val="00114FF8"/>
    <w:rsid w:val="0011500D"/>
    <w:rsid w:val="0011529D"/>
    <w:rsid w:val="001155DB"/>
    <w:rsid w:val="0011568E"/>
    <w:rsid w:val="001157E0"/>
    <w:rsid w:val="0011581D"/>
    <w:rsid w:val="001158C4"/>
    <w:rsid w:val="00115A3A"/>
    <w:rsid w:val="00115A9C"/>
    <w:rsid w:val="00115BDA"/>
    <w:rsid w:val="00115EB9"/>
    <w:rsid w:val="00115F82"/>
    <w:rsid w:val="00116100"/>
    <w:rsid w:val="00116128"/>
    <w:rsid w:val="00116203"/>
    <w:rsid w:val="0011620D"/>
    <w:rsid w:val="001163F1"/>
    <w:rsid w:val="00116582"/>
    <w:rsid w:val="001166A3"/>
    <w:rsid w:val="0011687E"/>
    <w:rsid w:val="00116AEE"/>
    <w:rsid w:val="00116B99"/>
    <w:rsid w:val="00116C2C"/>
    <w:rsid w:val="00116C7E"/>
    <w:rsid w:val="00117188"/>
    <w:rsid w:val="00117205"/>
    <w:rsid w:val="00117465"/>
    <w:rsid w:val="00117473"/>
    <w:rsid w:val="001174EB"/>
    <w:rsid w:val="001176E0"/>
    <w:rsid w:val="001177F9"/>
    <w:rsid w:val="00117861"/>
    <w:rsid w:val="00117930"/>
    <w:rsid w:val="001179D4"/>
    <w:rsid w:val="00117A1F"/>
    <w:rsid w:val="00117B05"/>
    <w:rsid w:val="00117B67"/>
    <w:rsid w:val="00117BBF"/>
    <w:rsid w:val="00117CD5"/>
    <w:rsid w:val="00117D06"/>
    <w:rsid w:val="00117D44"/>
    <w:rsid w:val="00117EAD"/>
    <w:rsid w:val="00120259"/>
    <w:rsid w:val="001203AF"/>
    <w:rsid w:val="00120546"/>
    <w:rsid w:val="00120A4B"/>
    <w:rsid w:val="00120FE1"/>
    <w:rsid w:val="001210BB"/>
    <w:rsid w:val="001211DE"/>
    <w:rsid w:val="0012134A"/>
    <w:rsid w:val="001213BF"/>
    <w:rsid w:val="001213DC"/>
    <w:rsid w:val="001215E2"/>
    <w:rsid w:val="00121732"/>
    <w:rsid w:val="00121929"/>
    <w:rsid w:val="0012194C"/>
    <w:rsid w:val="00121A0A"/>
    <w:rsid w:val="00121AAF"/>
    <w:rsid w:val="00121C3B"/>
    <w:rsid w:val="00121D72"/>
    <w:rsid w:val="00122428"/>
    <w:rsid w:val="0012242E"/>
    <w:rsid w:val="0012267D"/>
    <w:rsid w:val="001227F9"/>
    <w:rsid w:val="00122930"/>
    <w:rsid w:val="001229AA"/>
    <w:rsid w:val="00122C34"/>
    <w:rsid w:val="00122CCD"/>
    <w:rsid w:val="00122D66"/>
    <w:rsid w:val="00122F8E"/>
    <w:rsid w:val="00122FAE"/>
    <w:rsid w:val="00122FCC"/>
    <w:rsid w:val="00122FF9"/>
    <w:rsid w:val="001232DF"/>
    <w:rsid w:val="00123411"/>
    <w:rsid w:val="001237C6"/>
    <w:rsid w:val="0012380A"/>
    <w:rsid w:val="00123AA1"/>
    <w:rsid w:val="00123C7D"/>
    <w:rsid w:val="00123DB0"/>
    <w:rsid w:val="0012402A"/>
    <w:rsid w:val="001240D7"/>
    <w:rsid w:val="00124163"/>
    <w:rsid w:val="001241EB"/>
    <w:rsid w:val="0012431D"/>
    <w:rsid w:val="0012445B"/>
    <w:rsid w:val="00124475"/>
    <w:rsid w:val="001247D3"/>
    <w:rsid w:val="00124815"/>
    <w:rsid w:val="00124B45"/>
    <w:rsid w:val="00124C1B"/>
    <w:rsid w:val="00124CA6"/>
    <w:rsid w:val="001251D2"/>
    <w:rsid w:val="00125DDF"/>
    <w:rsid w:val="00125E52"/>
    <w:rsid w:val="001260BD"/>
    <w:rsid w:val="00126230"/>
    <w:rsid w:val="0012648A"/>
    <w:rsid w:val="001266A0"/>
    <w:rsid w:val="001268BC"/>
    <w:rsid w:val="00126B43"/>
    <w:rsid w:val="00126D6B"/>
    <w:rsid w:val="00126D82"/>
    <w:rsid w:val="00126E0D"/>
    <w:rsid w:val="00126E42"/>
    <w:rsid w:val="00126E9B"/>
    <w:rsid w:val="00126EC4"/>
    <w:rsid w:val="001272A5"/>
    <w:rsid w:val="00127594"/>
    <w:rsid w:val="001276DF"/>
    <w:rsid w:val="001277A4"/>
    <w:rsid w:val="00127820"/>
    <w:rsid w:val="00127941"/>
    <w:rsid w:val="001279D4"/>
    <w:rsid w:val="00127B1F"/>
    <w:rsid w:val="00127DBF"/>
    <w:rsid w:val="001301A7"/>
    <w:rsid w:val="0013040A"/>
    <w:rsid w:val="0013047B"/>
    <w:rsid w:val="00130540"/>
    <w:rsid w:val="001305D7"/>
    <w:rsid w:val="001306C7"/>
    <w:rsid w:val="0013071E"/>
    <w:rsid w:val="001307C2"/>
    <w:rsid w:val="001307D7"/>
    <w:rsid w:val="0013089B"/>
    <w:rsid w:val="0013097D"/>
    <w:rsid w:val="00130CCB"/>
    <w:rsid w:val="00130CDB"/>
    <w:rsid w:val="00130F26"/>
    <w:rsid w:val="00130FD9"/>
    <w:rsid w:val="001310DF"/>
    <w:rsid w:val="00131148"/>
    <w:rsid w:val="00131252"/>
    <w:rsid w:val="00131637"/>
    <w:rsid w:val="0013178D"/>
    <w:rsid w:val="0013182A"/>
    <w:rsid w:val="00131970"/>
    <w:rsid w:val="00131983"/>
    <w:rsid w:val="001319A3"/>
    <w:rsid w:val="001319F7"/>
    <w:rsid w:val="00131A0C"/>
    <w:rsid w:val="00131AD3"/>
    <w:rsid w:val="00131AE4"/>
    <w:rsid w:val="00131B9C"/>
    <w:rsid w:val="00131D7C"/>
    <w:rsid w:val="00131EBA"/>
    <w:rsid w:val="00131F0A"/>
    <w:rsid w:val="00131F10"/>
    <w:rsid w:val="00131F5A"/>
    <w:rsid w:val="00132119"/>
    <w:rsid w:val="00132764"/>
    <w:rsid w:val="0013278B"/>
    <w:rsid w:val="001327E6"/>
    <w:rsid w:val="0013296A"/>
    <w:rsid w:val="00133012"/>
    <w:rsid w:val="001332D8"/>
    <w:rsid w:val="0013375C"/>
    <w:rsid w:val="00133BE6"/>
    <w:rsid w:val="00133E62"/>
    <w:rsid w:val="00133FDC"/>
    <w:rsid w:val="00134099"/>
    <w:rsid w:val="001340ED"/>
    <w:rsid w:val="00134121"/>
    <w:rsid w:val="001344E0"/>
    <w:rsid w:val="00134659"/>
    <w:rsid w:val="00134707"/>
    <w:rsid w:val="00134A88"/>
    <w:rsid w:val="00134A8A"/>
    <w:rsid w:val="00134D12"/>
    <w:rsid w:val="00134D34"/>
    <w:rsid w:val="00134E06"/>
    <w:rsid w:val="00134EC1"/>
    <w:rsid w:val="00134F08"/>
    <w:rsid w:val="0013505E"/>
    <w:rsid w:val="0013518E"/>
    <w:rsid w:val="001353AD"/>
    <w:rsid w:val="00135416"/>
    <w:rsid w:val="0013556F"/>
    <w:rsid w:val="0013560C"/>
    <w:rsid w:val="0013582B"/>
    <w:rsid w:val="0013585B"/>
    <w:rsid w:val="0013597F"/>
    <w:rsid w:val="00135C7A"/>
    <w:rsid w:val="00135E83"/>
    <w:rsid w:val="0013630C"/>
    <w:rsid w:val="00136684"/>
    <w:rsid w:val="00136701"/>
    <w:rsid w:val="001369C2"/>
    <w:rsid w:val="00136C9A"/>
    <w:rsid w:val="00136DB0"/>
    <w:rsid w:val="00136DC1"/>
    <w:rsid w:val="00136EAF"/>
    <w:rsid w:val="00137207"/>
    <w:rsid w:val="00137250"/>
    <w:rsid w:val="00137269"/>
    <w:rsid w:val="001375C5"/>
    <w:rsid w:val="001376A6"/>
    <w:rsid w:val="00137B41"/>
    <w:rsid w:val="00137EA6"/>
    <w:rsid w:val="00137EC3"/>
    <w:rsid w:val="00137F89"/>
    <w:rsid w:val="001400E5"/>
    <w:rsid w:val="00140243"/>
    <w:rsid w:val="001402BA"/>
    <w:rsid w:val="0014032C"/>
    <w:rsid w:val="00140444"/>
    <w:rsid w:val="00140618"/>
    <w:rsid w:val="001406B8"/>
    <w:rsid w:val="00140895"/>
    <w:rsid w:val="00140924"/>
    <w:rsid w:val="00140AB4"/>
    <w:rsid w:val="00140C04"/>
    <w:rsid w:val="00140C6F"/>
    <w:rsid w:val="00140D1D"/>
    <w:rsid w:val="00140D6F"/>
    <w:rsid w:val="00140DA2"/>
    <w:rsid w:val="00141230"/>
    <w:rsid w:val="001413AE"/>
    <w:rsid w:val="00141463"/>
    <w:rsid w:val="001414D2"/>
    <w:rsid w:val="0014164E"/>
    <w:rsid w:val="00141854"/>
    <w:rsid w:val="0014197E"/>
    <w:rsid w:val="00141990"/>
    <w:rsid w:val="001419A8"/>
    <w:rsid w:val="00141AF6"/>
    <w:rsid w:val="00141EC9"/>
    <w:rsid w:val="0014252E"/>
    <w:rsid w:val="00142602"/>
    <w:rsid w:val="001426B7"/>
    <w:rsid w:val="00142929"/>
    <w:rsid w:val="00142962"/>
    <w:rsid w:val="00142A64"/>
    <w:rsid w:val="00142C0F"/>
    <w:rsid w:val="00142F55"/>
    <w:rsid w:val="00142F85"/>
    <w:rsid w:val="00142FE2"/>
    <w:rsid w:val="00142FEE"/>
    <w:rsid w:val="001431DC"/>
    <w:rsid w:val="00143255"/>
    <w:rsid w:val="00143462"/>
    <w:rsid w:val="001434C7"/>
    <w:rsid w:val="00143562"/>
    <w:rsid w:val="00143572"/>
    <w:rsid w:val="001435DB"/>
    <w:rsid w:val="00143638"/>
    <w:rsid w:val="0014363F"/>
    <w:rsid w:val="0014367C"/>
    <w:rsid w:val="0014367F"/>
    <w:rsid w:val="001437DA"/>
    <w:rsid w:val="00143863"/>
    <w:rsid w:val="001439CB"/>
    <w:rsid w:val="00143A8F"/>
    <w:rsid w:val="00143AC9"/>
    <w:rsid w:val="00143BB3"/>
    <w:rsid w:val="00143CD9"/>
    <w:rsid w:val="00143D18"/>
    <w:rsid w:val="00143E77"/>
    <w:rsid w:val="0014418C"/>
    <w:rsid w:val="001441B6"/>
    <w:rsid w:val="00144464"/>
    <w:rsid w:val="001445D3"/>
    <w:rsid w:val="00144624"/>
    <w:rsid w:val="001447AB"/>
    <w:rsid w:val="001448C9"/>
    <w:rsid w:val="0014493A"/>
    <w:rsid w:val="00144A9E"/>
    <w:rsid w:val="00144B8E"/>
    <w:rsid w:val="00144B92"/>
    <w:rsid w:val="00144C14"/>
    <w:rsid w:val="00144CE0"/>
    <w:rsid w:val="00144F0C"/>
    <w:rsid w:val="00144F21"/>
    <w:rsid w:val="00145196"/>
    <w:rsid w:val="0014531F"/>
    <w:rsid w:val="0014553C"/>
    <w:rsid w:val="00145561"/>
    <w:rsid w:val="0014589D"/>
    <w:rsid w:val="00145A26"/>
    <w:rsid w:val="00145A2A"/>
    <w:rsid w:val="00145A4B"/>
    <w:rsid w:val="00145BD9"/>
    <w:rsid w:val="00145C7A"/>
    <w:rsid w:val="00145DF0"/>
    <w:rsid w:val="00145FE6"/>
    <w:rsid w:val="001460A7"/>
    <w:rsid w:val="001461AF"/>
    <w:rsid w:val="0014620B"/>
    <w:rsid w:val="001462CC"/>
    <w:rsid w:val="00146539"/>
    <w:rsid w:val="00146559"/>
    <w:rsid w:val="001466AA"/>
    <w:rsid w:val="00146766"/>
    <w:rsid w:val="001467CB"/>
    <w:rsid w:val="001468E7"/>
    <w:rsid w:val="0014699A"/>
    <w:rsid w:val="00146BAB"/>
    <w:rsid w:val="00146CC8"/>
    <w:rsid w:val="00146E58"/>
    <w:rsid w:val="00146F31"/>
    <w:rsid w:val="0014708B"/>
    <w:rsid w:val="001472D8"/>
    <w:rsid w:val="00147367"/>
    <w:rsid w:val="001474A3"/>
    <w:rsid w:val="0014750B"/>
    <w:rsid w:val="001476C6"/>
    <w:rsid w:val="00147780"/>
    <w:rsid w:val="001477ED"/>
    <w:rsid w:val="001478E3"/>
    <w:rsid w:val="001479EF"/>
    <w:rsid w:val="00147D9D"/>
    <w:rsid w:val="00147DD7"/>
    <w:rsid w:val="00147F60"/>
    <w:rsid w:val="00150142"/>
    <w:rsid w:val="0015025F"/>
    <w:rsid w:val="00150295"/>
    <w:rsid w:val="001502B0"/>
    <w:rsid w:val="001502C9"/>
    <w:rsid w:val="001503C3"/>
    <w:rsid w:val="001508F1"/>
    <w:rsid w:val="00150BC2"/>
    <w:rsid w:val="00150E86"/>
    <w:rsid w:val="00150ECB"/>
    <w:rsid w:val="00150EF8"/>
    <w:rsid w:val="001510AD"/>
    <w:rsid w:val="001511D6"/>
    <w:rsid w:val="001511DD"/>
    <w:rsid w:val="00151535"/>
    <w:rsid w:val="00151559"/>
    <w:rsid w:val="0015185E"/>
    <w:rsid w:val="001519E2"/>
    <w:rsid w:val="00151A74"/>
    <w:rsid w:val="00151C85"/>
    <w:rsid w:val="00151D0F"/>
    <w:rsid w:val="00151D98"/>
    <w:rsid w:val="00151FEF"/>
    <w:rsid w:val="00151FF4"/>
    <w:rsid w:val="001520A3"/>
    <w:rsid w:val="0015221A"/>
    <w:rsid w:val="001522B1"/>
    <w:rsid w:val="00152412"/>
    <w:rsid w:val="0015284C"/>
    <w:rsid w:val="001528EB"/>
    <w:rsid w:val="001529F7"/>
    <w:rsid w:val="00152A74"/>
    <w:rsid w:val="00152C12"/>
    <w:rsid w:val="00152C79"/>
    <w:rsid w:val="00152D3B"/>
    <w:rsid w:val="001530A5"/>
    <w:rsid w:val="00153937"/>
    <w:rsid w:val="00153CB6"/>
    <w:rsid w:val="00153E6D"/>
    <w:rsid w:val="00154114"/>
    <w:rsid w:val="001541E5"/>
    <w:rsid w:val="00154330"/>
    <w:rsid w:val="00154587"/>
    <w:rsid w:val="0015459B"/>
    <w:rsid w:val="00154747"/>
    <w:rsid w:val="001547E4"/>
    <w:rsid w:val="0015485B"/>
    <w:rsid w:val="00154863"/>
    <w:rsid w:val="001549F2"/>
    <w:rsid w:val="001549F7"/>
    <w:rsid w:val="00154C0F"/>
    <w:rsid w:val="00154C19"/>
    <w:rsid w:val="00154CF8"/>
    <w:rsid w:val="001550E0"/>
    <w:rsid w:val="0015533B"/>
    <w:rsid w:val="0015543A"/>
    <w:rsid w:val="00155585"/>
    <w:rsid w:val="00155767"/>
    <w:rsid w:val="00155892"/>
    <w:rsid w:val="00155977"/>
    <w:rsid w:val="00155A3A"/>
    <w:rsid w:val="00155A4E"/>
    <w:rsid w:val="00155A86"/>
    <w:rsid w:val="00155B0F"/>
    <w:rsid w:val="00155CDF"/>
    <w:rsid w:val="00155FFC"/>
    <w:rsid w:val="001561AE"/>
    <w:rsid w:val="00156209"/>
    <w:rsid w:val="0015639D"/>
    <w:rsid w:val="0015648C"/>
    <w:rsid w:val="00156522"/>
    <w:rsid w:val="0015662A"/>
    <w:rsid w:val="00156C21"/>
    <w:rsid w:val="00156DCA"/>
    <w:rsid w:val="00156DCC"/>
    <w:rsid w:val="00156F8D"/>
    <w:rsid w:val="0015700C"/>
    <w:rsid w:val="00157046"/>
    <w:rsid w:val="001571A8"/>
    <w:rsid w:val="00157340"/>
    <w:rsid w:val="001573CA"/>
    <w:rsid w:val="001573FC"/>
    <w:rsid w:val="001573FF"/>
    <w:rsid w:val="001577FB"/>
    <w:rsid w:val="0015783B"/>
    <w:rsid w:val="00157919"/>
    <w:rsid w:val="00157B1B"/>
    <w:rsid w:val="00157CD0"/>
    <w:rsid w:val="00157E3E"/>
    <w:rsid w:val="00157E93"/>
    <w:rsid w:val="00160089"/>
    <w:rsid w:val="00160241"/>
    <w:rsid w:val="001603FA"/>
    <w:rsid w:val="00160594"/>
    <w:rsid w:val="0016098C"/>
    <w:rsid w:val="00160AEF"/>
    <w:rsid w:val="00160C4B"/>
    <w:rsid w:val="00160CCF"/>
    <w:rsid w:val="00161114"/>
    <w:rsid w:val="001611BF"/>
    <w:rsid w:val="0016152E"/>
    <w:rsid w:val="00161962"/>
    <w:rsid w:val="00161BC7"/>
    <w:rsid w:val="00161C42"/>
    <w:rsid w:val="00161D25"/>
    <w:rsid w:val="00161EC7"/>
    <w:rsid w:val="00161FDC"/>
    <w:rsid w:val="00161FF9"/>
    <w:rsid w:val="00162063"/>
    <w:rsid w:val="00162128"/>
    <w:rsid w:val="0016238F"/>
    <w:rsid w:val="001623FF"/>
    <w:rsid w:val="00162444"/>
    <w:rsid w:val="001624A5"/>
    <w:rsid w:val="00162663"/>
    <w:rsid w:val="00162A16"/>
    <w:rsid w:val="00162BA4"/>
    <w:rsid w:val="00162CF5"/>
    <w:rsid w:val="00162D97"/>
    <w:rsid w:val="00162E83"/>
    <w:rsid w:val="00162EE1"/>
    <w:rsid w:val="00162FAB"/>
    <w:rsid w:val="00162FDE"/>
    <w:rsid w:val="00163100"/>
    <w:rsid w:val="0016345A"/>
    <w:rsid w:val="001634E2"/>
    <w:rsid w:val="001636A5"/>
    <w:rsid w:val="0016398D"/>
    <w:rsid w:val="00163C98"/>
    <w:rsid w:val="00163FBD"/>
    <w:rsid w:val="0016408D"/>
    <w:rsid w:val="001640FA"/>
    <w:rsid w:val="001641B7"/>
    <w:rsid w:val="00164233"/>
    <w:rsid w:val="001642C8"/>
    <w:rsid w:val="001645F2"/>
    <w:rsid w:val="001646E4"/>
    <w:rsid w:val="00164792"/>
    <w:rsid w:val="00164B58"/>
    <w:rsid w:val="001651C9"/>
    <w:rsid w:val="00165216"/>
    <w:rsid w:val="001652E1"/>
    <w:rsid w:val="00165683"/>
    <w:rsid w:val="00165691"/>
    <w:rsid w:val="0016569A"/>
    <w:rsid w:val="00165721"/>
    <w:rsid w:val="001657F6"/>
    <w:rsid w:val="001658CC"/>
    <w:rsid w:val="001658EE"/>
    <w:rsid w:val="00165A2A"/>
    <w:rsid w:val="00165BC7"/>
    <w:rsid w:val="00165D32"/>
    <w:rsid w:val="00165F24"/>
    <w:rsid w:val="00165FFC"/>
    <w:rsid w:val="0016625E"/>
    <w:rsid w:val="001662E5"/>
    <w:rsid w:val="001663A1"/>
    <w:rsid w:val="00166454"/>
    <w:rsid w:val="00166748"/>
    <w:rsid w:val="0016689F"/>
    <w:rsid w:val="001669E3"/>
    <w:rsid w:val="00166AFB"/>
    <w:rsid w:val="00166B7C"/>
    <w:rsid w:val="00166C22"/>
    <w:rsid w:val="00166CEB"/>
    <w:rsid w:val="00166D3D"/>
    <w:rsid w:val="00167152"/>
    <w:rsid w:val="00167394"/>
    <w:rsid w:val="001673AA"/>
    <w:rsid w:val="0016746C"/>
    <w:rsid w:val="001675F9"/>
    <w:rsid w:val="0016762C"/>
    <w:rsid w:val="001677F7"/>
    <w:rsid w:val="00167866"/>
    <w:rsid w:val="001679B6"/>
    <w:rsid w:val="001679E5"/>
    <w:rsid w:val="00167C38"/>
    <w:rsid w:val="00167D04"/>
    <w:rsid w:val="00170007"/>
    <w:rsid w:val="001700B6"/>
    <w:rsid w:val="001701DE"/>
    <w:rsid w:val="00170621"/>
    <w:rsid w:val="0017062C"/>
    <w:rsid w:val="001707F9"/>
    <w:rsid w:val="00170BC3"/>
    <w:rsid w:val="00170BE6"/>
    <w:rsid w:val="00171079"/>
    <w:rsid w:val="0017157A"/>
    <w:rsid w:val="001717BB"/>
    <w:rsid w:val="001719F5"/>
    <w:rsid w:val="00171BE8"/>
    <w:rsid w:val="00171CE1"/>
    <w:rsid w:val="001721C2"/>
    <w:rsid w:val="0017220C"/>
    <w:rsid w:val="001722B9"/>
    <w:rsid w:val="0017232D"/>
    <w:rsid w:val="00172671"/>
    <w:rsid w:val="00172716"/>
    <w:rsid w:val="0017275A"/>
    <w:rsid w:val="001729DC"/>
    <w:rsid w:val="00172AE2"/>
    <w:rsid w:val="00172E3D"/>
    <w:rsid w:val="00172FF6"/>
    <w:rsid w:val="00173000"/>
    <w:rsid w:val="00173067"/>
    <w:rsid w:val="001732F8"/>
    <w:rsid w:val="001733AD"/>
    <w:rsid w:val="00173619"/>
    <w:rsid w:val="001736FE"/>
    <w:rsid w:val="00173723"/>
    <w:rsid w:val="00173C2C"/>
    <w:rsid w:val="00173DBD"/>
    <w:rsid w:val="00173F69"/>
    <w:rsid w:val="00174051"/>
    <w:rsid w:val="001744CE"/>
    <w:rsid w:val="0017487F"/>
    <w:rsid w:val="001749F8"/>
    <w:rsid w:val="00174A39"/>
    <w:rsid w:val="00174A96"/>
    <w:rsid w:val="00174AB5"/>
    <w:rsid w:val="00174B2F"/>
    <w:rsid w:val="00174D6B"/>
    <w:rsid w:val="00174FFC"/>
    <w:rsid w:val="001753F3"/>
    <w:rsid w:val="001753FE"/>
    <w:rsid w:val="0017548F"/>
    <w:rsid w:val="001754ED"/>
    <w:rsid w:val="0017557C"/>
    <w:rsid w:val="00175597"/>
    <w:rsid w:val="00175741"/>
    <w:rsid w:val="00175C34"/>
    <w:rsid w:val="00175E66"/>
    <w:rsid w:val="00175EB4"/>
    <w:rsid w:val="00176014"/>
    <w:rsid w:val="001760A1"/>
    <w:rsid w:val="001761FA"/>
    <w:rsid w:val="00176287"/>
    <w:rsid w:val="001762AD"/>
    <w:rsid w:val="0017630F"/>
    <w:rsid w:val="001763EC"/>
    <w:rsid w:val="001763F5"/>
    <w:rsid w:val="0017643D"/>
    <w:rsid w:val="001764BE"/>
    <w:rsid w:val="001764C1"/>
    <w:rsid w:val="001767A7"/>
    <w:rsid w:val="00176A6A"/>
    <w:rsid w:val="00176B22"/>
    <w:rsid w:val="00176C1E"/>
    <w:rsid w:val="00176FEC"/>
    <w:rsid w:val="001770EC"/>
    <w:rsid w:val="00177216"/>
    <w:rsid w:val="00177449"/>
    <w:rsid w:val="00177606"/>
    <w:rsid w:val="00177626"/>
    <w:rsid w:val="0017763E"/>
    <w:rsid w:val="00177764"/>
    <w:rsid w:val="0017781D"/>
    <w:rsid w:val="00177886"/>
    <w:rsid w:val="001779FF"/>
    <w:rsid w:val="00177A34"/>
    <w:rsid w:val="00177D8E"/>
    <w:rsid w:val="00177DFC"/>
    <w:rsid w:val="00177E29"/>
    <w:rsid w:val="00177E77"/>
    <w:rsid w:val="001800E5"/>
    <w:rsid w:val="0018057C"/>
    <w:rsid w:val="00180639"/>
    <w:rsid w:val="00180663"/>
    <w:rsid w:val="00180679"/>
    <w:rsid w:val="001806AB"/>
    <w:rsid w:val="001807EB"/>
    <w:rsid w:val="00180B99"/>
    <w:rsid w:val="00180BF3"/>
    <w:rsid w:val="00180CCC"/>
    <w:rsid w:val="00180E09"/>
    <w:rsid w:val="00180E87"/>
    <w:rsid w:val="00181040"/>
    <w:rsid w:val="00181249"/>
    <w:rsid w:val="001812F9"/>
    <w:rsid w:val="001813BF"/>
    <w:rsid w:val="001814A4"/>
    <w:rsid w:val="00181571"/>
    <w:rsid w:val="001815DC"/>
    <w:rsid w:val="001816D6"/>
    <w:rsid w:val="0018199D"/>
    <w:rsid w:val="00181A05"/>
    <w:rsid w:val="00181BC3"/>
    <w:rsid w:val="00181C51"/>
    <w:rsid w:val="00181C78"/>
    <w:rsid w:val="00181DC2"/>
    <w:rsid w:val="00181E93"/>
    <w:rsid w:val="00182072"/>
    <w:rsid w:val="001820D4"/>
    <w:rsid w:val="001821A8"/>
    <w:rsid w:val="001821B2"/>
    <w:rsid w:val="0018229A"/>
    <w:rsid w:val="0018269B"/>
    <w:rsid w:val="00182C7E"/>
    <w:rsid w:val="00182F01"/>
    <w:rsid w:val="00182FA8"/>
    <w:rsid w:val="001831BF"/>
    <w:rsid w:val="001832CE"/>
    <w:rsid w:val="00183421"/>
    <w:rsid w:val="00183503"/>
    <w:rsid w:val="001839F2"/>
    <w:rsid w:val="00183A21"/>
    <w:rsid w:val="00183A23"/>
    <w:rsid w:val="00183BD1"/>
    <w:rsid w:val="00183CAD"/>
    <w:rsid w:val="00183D27"/>
    <w:rsid w:val="00183E06"/>
    <w:rsid w:val="001840B1"/>
    <w:rsid w:val="00184429"/>
    <w:rsid w:val="00184668"/>
    <w:rsid w:val="0018467F"/>
    <w:rsid w:val="00184680"/>
    <w:rsid w:val="001849F5"/>
    <w:rsid w:val="00184A31"/>
    <w:rsid w:val="00184BC7"/>
    <w:rsid w:val="00184DFD"/>
    <w:rsid w:val="00184E0C"/>
    <w:rsid w:val="00184E8C"/>
    <w:rsid w:val="00184F07"/>
    <w:rsid w:val="00184FDF"/>
    <w:rsid w:val="00185236"/>
    <w:rsid w:val="00185335"/>
    <w:rsid w:val="00185366"/>
    <w:rsid w:val="00185541"/>
    <w:rsid w:val="00185619"/>
    <w:rsid w:val="0018587D"/>
    <w:rsid w:val="001858D6"/>
    <w:rsid w:val="0018594F"/>
    <w:rsid w:val="00185975"/>
    <w:rsid w:val="00185BD4"/>
    <w:rsid w:val="00185F72"/>
    <w:rsid w:val="0018622F"/>
    <w:rsid w:val="00186323"/>
    <w:rsid w:val="00186513"/>
    <w:rsid w:val="0018654D"/>
    <w:rsid w:val="00186BD7"/>
    <w:rsid w:val="00186C6F"/>
    <w:rsid w:val="00186F6D"/>
    <w:rsid w:val="0018714A"/>
    <w:rsid w:val="00187157"/>
    <w:rsid w:val="00187304"/>
    <w:rsid w:val="001876BC"/>
    <w:rsid w:val="001876F8"/>
    <w:rsid w:val="00187B2D"/>
    <w:rsid w:val="00187B65"/>
    <w:rsid w:val="00187B8D"/>
    <w:rsid w:val="00187C61"/>
    <w:rsid w:val="00187D7B"/>
    <w:rsid w:val="00187F7D"/>
    <w:rsid w:val="00187FBB"/>
    <w:rsid w:val="0019052D"/>
    <w:rsid w:val="00190A67"/>
    <w:rsid w:val="00190CB1"/>
    <w:rsid w:val="00190D16"/>
    <w:rsid w:val="00190E42"/>
    <w:rsid w:val="00190FAE"/>
    <w:rsid w:val="00191017"/>
    <w:rsid w:val="001910D5"/>
    <w:rsid w:val="001912A9"/>
    <w:rsid w:val="0019132B"/>
    <w:rsid w:val="001914D2"/>
    <w:rsid w:val="001914DE"/>
    <w:rsid w:val="00191596"/>
    <w:rsid w:val="00191736"/>
    <w:rsid w:val="001917C2"/>
    <w:rsid w:val="00191883"/>
    <w:rsid w:val="00191AFC"/>
    <w:rsid w:val="00191B99"/>
    <w:rsid w:val="00191D32"/>
    <w:rsid w:val="00192248"/>
    <w:rsid w:val="0019259A"/>
    <w:rsid w:val="001927D8"/>
    <w:rsid w:val="00192B40"/>
    <w:rsid w:val="00192B61"/>
    <w:rsid w:val="00192BA9"/>
    <w:rsid w:val="00192C61"/>
    <w:rsid w:val="00192D19"/>
    <w:rsid w:val="00192E67"/>
    <w:rsid w:val="00193118"/>
    <w:rsid w:val="00193131"/>
    <w:rsid w:val="00193365"/>
    <w:rsid w:val="0019348F"/>
    <w:rsid w:val="00193539"/>
    <w:rsid w:val="0019364C"/>
    <w:rsid w:val="001936C2"/>
    <w:rsid w:val="00193723"/>
    <w:rsid w:val="001937F2"/>
    <w:rsid w:val="00193E3B"/>
    <w:rsid w:val="001942BE"/>
    <w:rsid w:val="0019443C"/>
    <w:rsid w:val="001945A3"/>
    <w:rsid w:val="0019477C"/>
    <w:rsid w:val="001947A2"/>
    <w:rsid w:val="001947B4"/>
    <w:rsid w:val="00194841"/>
    <w:rsid w:val="00195104"/>
    <w:rsid w:val="0019518E"/>
    <w:rsid w:val="0019527D"/>
    <w:rsid w:val="00195331"/>
    <w:rsid w:val="00195582"/>
    <w:rsid w:val="001955E6"/>
    <w:rsid w:val="00195647"/>
    <w:rsid w:val="001956EB"/>
    <w:rsid w:val="00195971"/>
    <w:rsid w:val="0019597A"/>
    <w:rsid w:val="00195984"/>
    <w:rsid w:val="00195A0E"/>
    <w:rsid w:val="00195C65"/>
    <w:rsid w:val="00195F1B"/>
    <w:rsid w:val="00195F23"/>
    <w:rsid w:val="00195F3A"/>
    <w:rsid w:val="00195F7C"/>
    <w:rsid w:val="00195FAC"/>
    <w:rsid w:val="00196055"/>
    <w:rsid w:val="0019620C"/>
    <w:rsid w:val="00196478"/>
    <w:rsid w:val="001964C4"/>
    <w:rsid w:val="00196505"/>
    <w:rsid w:val="0019666A"/>
    <w:rsid w:val="001969C3"/>
    <w:rsid w:val="00196BD4"/>
    <w:rsid w:val="001973BB"/>
    <w:rsid w:val="00197831"/>
    <w:rsid w:val="00197845"/>
    <w:rsid w:val="0019797F"/>
    <w:rsid w:val="00197AC6"/>
    <w:rsid w:val="00197BB9"/>
    <w:rsid w:val="00197EE6"/>
    <w:rsid w:val="00197F2F"/>
    <w:rsid w:val="00197FBB"/>
    <w:rsid w:val="001A0026"/>
    <w:rsid w:val="001A0093"/>
    <w:rsid w:val="001A0210"/>
    <w:rsid w:val="001A021E"/>
    <w:rsid w:val="001A0341"/>
    <w:rsid w:val="001A0360"/>
    <w:rsid w:val="001A03A5"/>
    <w:rsid w:val="001A03B6"/>
    <w:rsid w:val="001A0506"/>
    <w:rsid w:val="001A07B1"/>
    <w:rsid w:val="001A07C4"/>
    <w:rsid w:val="001A0862"/>
    <w:rsid w:val="001A0947"/>
    <w:rsid w:val="001A0BBA"/>
    <w:rsid w:val="001A0D3D"/>
    <w:rsid w:val="001A0E27"/>
    <w:rsid w:val="001A0F44"/>
    <w:rsid w:val="001A10C9"/>
    <w:rsid w:val="001A10D1"/>
    <w:rsid w:val="001A129F"/>
    <w:rsid w:val="001A1391"/>
    <w:rsid w:val="001A1527"/>
    <w:rsid w:val="001A1790"/>
    <w:rsid w:val="001A17AC"/>
    <w:rsid w:val="001A1B3E"/>
    <w:rsid w:val="001A1BD6"/>
    <w:rsid w:val="001A2053"/>
    <w:rsid w:val="001A20A9"/>
    <w:rsid w:val="001A20D5"/>
    <w:rsid w:val="001A20D7"/>
    <w:rsid w:val="001A218F"/>
    <w:rsid w:val="001A21CB"/>
    <w:rsid w:val="001A224F"/>
    <w:rsid w:val="001A23F0"/>
    <w:rsid w:val="001A2638"/>
    <w:rsid w:val="001A2ECB"/>
    <w:rsid w:val="001A3497"/>
    <w:rsid w:val="001A350C"/>
    <w:rsid w:val="001A3518"/>
    <w:rsid w:val="001A36B2"/>
    <w:rsid w:val="001A36C8"/>
    <w:rsid w:val="001A39F3"/>
    <w:rsid w:val="001A39F7"/>
    <w:rsid w:val="001A3AF2"/>
    <w:rsid w:val="001A3B1E"/>
    <w:rsid w:val="001A3E09"/>
    <w:rsid w:val="001A3E7C"/>
    <w:rsid w:val="001A3F58"/>
    <w:rsid w:val="001A3FC3"/>
    <w:rsid w:val="001A42FF"/>
    <w:rsid w:val="001A445A"/>
    <w:rsid w:val="001A4651"/>
    <w:rsid w:val="001A46BD"/>
    <w:rsid w:val="001A477D"/>
    <w:rsid w:val="001A489E"/>
    <w:rsid w:val="001A4961"/>
    <w:rsid w:val="001A49EA"/>
    <w:rsid w:val="001A4A89"/>
    <w:rsid w:val="001A4B61"/>
    <w:rsid w:val="001A4CD1"/>
    <w:rsid w:val="001A4EEA"/>
    <w:rsid w:val="001A50EE"/>
    <w:rsid w:val="001A5135"/>
    <w:rsid w:val="001A51CA"/>
    <w:rsid w:val="001A551D"/>
    <w:rsid w:val="001A5577"/>
    <w:rsid w:val="001A5754"/>
    <w:rsid w:val="001A575B"/>
    <w:rsid w:val="001A578D"/>
    <w:rsid w:val="001A5807"/>
    <w:rsid w:val="001A5BB6"/>
    <w:rsid w:val="001A5F7E"/>
    <w:rsid w:val="001A6118"/>
    <w:rsid w:val="001A6217"/>
    <w:rsid w:val="001A650E"/>
    <w:rsid w:val="001A670C"/>
    <w:rsid w:val="001A6D12"/>
    <w:rsid w:val="001A6D70"/>
    <w:rsid w:val="001A6E83"/>
    <w:rsid w:val="001A6F19"/>
    <w:rsid w:val="001A6FBB"/>
    <w:rsid w:val="001A7065"/>
    <w:rsid w:val="001A714D"/>
    <w:rsid w:val="001A7257"/>
    <w:rsid w:val="001A7352"/>
    <w:rsid w:val="001A7470"/>
    <w:rsid w:val="001A7497"/>
    <w:rsid w:val="001A7523"/>
    <w:rsid w:val="001A758B"/>
    <w:rsid w:val="001A762E"/>
    <w:rsid w:val="001A78C3"/>
    <w:rsid w:val="001A7A3C"/>
    <w:rsid w:val="001A7AA3"/>
    <w:rsid w:val="001A7AB7"/>
    <w:rsid w:val="001A7BC8"/>
    <w:rsid w:val="001A7C36"/>
    <w:rsid w:val="001A7F0F"/>
    <w:rsid w:val="001B0161"/>
    <w:rsid w:val="001B0265"/>
    <w:rsid w:val="001B02FA"/>
    <w:rsid w:val="001B033A"/>
    <w:rsid w:val="001B042C"/>
    <w:rsid w:val="001B0520"/>
    <w:rsid w:val="001B072B"/>
    <w:rsid w:val="001B086D"/>
    <w:rsid w:val="001B09B4"/>
    <w:rsid w:val="001B09E0"/>
    <w:rsid w:val="001B0CB3"/>
    <w:rsid w:val="001B0D57"/>
    <w:rsid w:val="001B0ED2"/>
    <w:rsid w:val="001B1063"/>
    <w:rsid w:val="001B1076"/>
    <w:rsid w:val="001B107B"/>
    <w:rsid w:val="001B10B9"/>
    <w:rsid w:val="001B1100"/>
    <w:rsid w:val="001B120E"/>
    <w:rsid w:val="001B1239"/>
    <w:rsid w:val="001B1355"/>
    <w:rsid w:val="001B1449"/>
    <w:rsid w:val="001B1543"/>
    <w:rsid w:val="001B1613"/>
    <w:rsid w:val="001B1842"/>
    <w:rsid w:val="001B1C12"/>
    <w:rsid w:val="001B1CBB"/>
    <w:rsid w:val="001B1F00"/>
    <w:rsid w:val="001B1F35"/>
    <w:rsid w:val="001B207E"/>
    <w:rsid w:val="001B21A5"/>
    <w:rsid w:val="001B221D"/>
    <w:rsid w:val="001B2237"/>
    <w:rsid w:val="001B236A"/>
    <w:rsid w:val="001B23DB"/>
    <w:rsid w:val="001B25ED"/>
    <w:rsid w:val="001B2648"/>
    <w:rsid w:val="001B2BC2"/>
    <w:rsid w:val="001B2D68"/>
    <w:rsid w:val="001B2E53"/>
    <w:rsid w:val="001B2FAC"/>
    <w:rsid w:val="001B3432"/>
    <w:rsid w:val="001B3488"/>
    <w:rsid w:val="001B3507"/>
    <w:rsid w:val="001B352F"/>
    <w:rsid w:val="001B37F4"/>
    <w:rsid w:val="001B381E"/>
    <w:rsid w:val="001B39FB"/>
    <w:rsid w:val="001B3B71"/>
    <w:rsid w:val="001B3BED"/>
    <w:rsid w:val="001B3D25"/>
    <w:rsid w:val="001B3EB8"/>
    <w:rsid w:val="001B3F94"/>
    <w:rsid w:val="001B40C8"/>
    <w:rsid w:val="001B421E"/>
    <w:rsid w:val="001B43BE"/>
    <w:rsid w:val="001B4435"/>
    <w:rsid w:val="001B4547"/>
    <w:rsid w:val="001B471E"/>
    <w:rsid w:val="001B486E"/>
    <w:rsid w:val="001B49AA"/>
    <w:rsid w:val="001B4C68"/>
    <w:rsid w:val="001B4C6C"/>
    <w:rsid w:val="001B4EBB"/>
    <w:rsid w:val="001B5216"/>
    <w:rsid w:val="001B58B9"/>
    <w:rsid w:val="001B5D43"/>
    <w:rsid w:val="001B5D76"/>
    <w:rsid w:val="001B5F6E"/>
    <w:rsid w:val="001B60F4"/>
    <w:rsid w:val="001B616A"/>
    <w:rsid w:val="001B6175"/>
    <w:rsid w:val="001B6367"/>
    <w:rsid w:val="001B639B"/>
    <w:rsid w:val="001B644C"/>
    <w:rsid w:val="001B65D0"/>
    <w:rsid w:val="001B6717"/>
    <w:rsid w:val="001B68A3"/>
    <w:rsid w:val="001B6A08"/>
    <w:rsid w:val="001B6C51"/>
    <w:rsid w:val="001B6CE0"/>
    <w:rsid w:val="001B6D1E"/>
    <w:rsid w:val="001B6D30"/>
    <w:rsid w:val="001B6DAE"/>
    <w:rsid w:val="001B6F16"/>
    <w:rsid w:val="001B6F68"/>
    <w:rsid w:val="001B6F98"/>
    <w:rsid w:val="001B7095"/>
    <w:rsid w:val="001B7285"/>
    <w:rsid w:val="001B7318"/>
    <w:rsid w:val="001B73F9"/>
    <w:rsid w:val="001B766B"/>
    <w:rsid w:val="001B774F"/>
    <w:rsid w:val="001B7780"/>
    <w:rsid w:val="001B77FA"/>
    <w:rsid w:val="001B7C34"/>
    <w:rsid w:val="001B7D4D"/>
    <w:rsid w:val="001C028C"/>
    <w:rsid w:val="001C0298"/>
    <w:rsid w:val="001C04A5"/>
    <w:rsid w:val="001C0609"/>
    <w:rsid w:val="001C062C"/>
    <w:rsid w:val="001C070B"/>
    <w:rsid w:val="001C08B2"/>
    <w:rsid w:val="001C0912"/>
    <w:rsid w:val="001C0D8D"/>
    <w:rsid w:val="001C0E8B"/>
    <w:rsid w:val="001C115E"/>
    <w:rsid w:val="001C1427"/>
    <w:rsid w:val="001C1473"/>
    <w:rsid w:val="001C1477"/>
    <w:rsid w:val="001C14A6"/>
    <w:rsid w:val="001C14DE"/>
    <w:rsid w:val="001C159E"/>
    <w:rsid w:val="001C1716"/>
    <w:rsid w:val="001C171D"/>
    <w:rsid w:val="001C181D"/>
    <w:rsid w:val="001C1970"/>
    <w:rsid w:val="001C1DE5"/>
    <w:rsid w:val="001C1E44"/>
    <w:rsid w:val="001C1E8D"/>
    <w:rsid w:val="001C205F"/>
    <w:rsid w:val="001C249B"/>
    <w:rsid w:val="001C24AE"/>
    <w:rsid w:val="001C2503"/>
    <w:rsid w:val="001C263F"/>
    <w:rsid w:val="001C265B"/>
    <w:rsid w:val="001C2770"/>
    <w:rsid w:val="001C2908"/>
    <w:rsid w:val="001C2AA1"/>
    <w:rsid w:val="001C2F35"/>
    <w:rsid w:val="001C2F9A"/>
    <w:rsid w:val="001C3398"/>
    <w:rsid w:val="001C33D0"/>
    <w:rsid w:val="001C341C"/>
    <w:rsid w:val="001C3560"/>
    <w:rsid w:val="001C3581"/>
    <w:rsid w:val="001C36E8"/>
    <w:rsid w:val="001C376B"/>
    <w:rsid w:val="001C3961"/>
    <w:rsid w:val="001C3A42"/>
    <w:rsid w:val="001C3C8E"/>
    <w:rsid w:val="001C3C96"/>
    <w:rsid w:val="001C3DB1"/>
    <w:rsid w:val="001C3EC5"/>
    <w:rsid w:val="001C4094"/>
    <w:rsid w:val="001C4129"/>
    <w:rsid w:val="001C4164"/>
    <w:rsid w:val="001C4411"/>
    <w:rsid w:val="001C4511"/>
    <w:rsid w:val="001C469D"/>
    <w:rsid w:val="001C46C7"/>
    <w:rsid w:val="001C4784"/>
    <w:rsid w:val="001C4B11"/>
    <w:rsid w:val="001C4E35"/>
    <w:rsid w:val="001C52D4"/>
    <w:rsid w:val="001C54E6"/>
    <w:rsid w:val="001C5A02"/>
    <w:rsid w:val="001C5C09"/>
    <w:rsid w:val="001C5C35"/>
    <w:rsid w:val="001C5DB9"/>
    <w:rsid w:val="001C5DC4"/>
    <w:rsid w:val="001C5E23"/>
    <w:rsid w:val="001C5E8B"/>
    <w:rsid w:val="001C5F23"/>
    <w:rsid w:val="001C6097"/>
    <w:rsid w:val="001C609B"/>
    <w:rsid w:val="001C6119"/>
    <w:rsid w:val="001C6173"/>
    <w:rsid w:val="001C61E9"/>
    <w:rsid w:val="001C629D"/>
    <w:rsid w:val="001C632E"/>
    <w:rsid w:val="001C6381"/>
    <w:rsid w:val="001C6404"/>
    <w:rsid w:val="001C6469"/>
    <w:rsid w:val="001C6668"/>
    <w:rsid w:val="001C6670"/>
    <w:rsid w:val="001C6A22"/>
    <w:rsid w:val="001C6AC5"/>
    <w:rsid w:val="001C6EBD"/>
    <w:rsid w:val="001C6F0E"/>
    <w:rsid w:val="001C6FD1"/>
    <w:rsid w:val="001C6FD4"/>
    <w:rsid w:val="001C7108"/>
    <w:rsid w:val="001C723A"/>
    <w:rsid w:val="001C729F"/>
    <w:rsid w:val="001C7387"/>
    <w:rsid w:val="001C74FB"/>
    <w:rsid w:val="001C76CA"/>
    <w:rsid w:val="001C770D"/>
    <w:rsid w:val="001C7AEF"/>
    <w:rsid w:val="001C7B7F"/>
    <w:rsid w:val="001C7E2A"/>
    <w:rsid w:val="001C7F54"/>
    <w:rsid w:val="001C7FCA"/>
    <w:rsid w:val="001D0146"/>
    <w:rsid w:val="001D0212"/>
    <w:rsid w:val="001D0286"/>
    <w:rsid w:val="001D054E"/>
    <w:rsid w:val="001D0685"/>
    <w:rsid w:val="001D07F9"/>
    <w:rsid w:val="001D0808"/>
    <w:rsid w:val="001D08ED"/>
    <w:rsid w:val="001D0A6F"/>
    <w:rsid w:val="001D0CF1"/>
    <w:rsid w:val="001D1015"/>
    <w:rsid w:val="001D1028"/>
    <w:rsid w:val="001D10BD"/>
    <w:rsid w:val="001D15AE"/>
    <w:rsid w:val="001D1602"/>
    <w:rsid w:val="001D163F"/>
    <w:rsid w:val="001D17F3"/>
    <w:rsid w:val="001D1873"/>
    <w:rsid w:val="001D1A45"/>
    <w:rsid w:val="001D1A49"/>
    <w:rsid w:val="001D1C47"/>
    <w:rsid w:val="001D1DA3"/>
    <w:rsid w:val="001D1E1C"/>
    <w:rsid w:val="001D2029"/>
    <w:rsid w:val="001D205A"/>
    <w:rsid w:val="001D2257"/>
    <w:rsid w:val="001D229A"/>
    <w:rsid w:val="001D23F7"/>
    <w:rsid w:val="001D249D"/>
    <w:rsid w:val="001D28E9"/>
    <w:rsid w:val="001D2B98"/>
    <w:rsid w:val="001D2C37"/>
    <w:rsid w:val="001D2DCF"/>
    <w:rsid w:val="001D3372"/>
    <w:rsid w:val="001D3401"/>
    <w:rsid w:val="001D351B"/>
    <w:rsid w:val="001D3530"/>
    <w:rsid w:val="001D35DA"/>
    <w:rsid w:val="001D36ED"/>
    <w:rsid w:val="001D393D"/>
    <w:rsid w:val="001D3C3E"/>
    <w:rsid w:val="001D3DDD"/>
    <w:rsid w:val="001D3FEE"/>
    <w:rsid w:val="001D4156"/>
    <w:rsid w:val="001D41FD"/>
    <w:rsid w:val="001D4234"/>
    <w:rsid w:val="001D4272"/>
    <w:rsid w:val="001D432D"/>
    <w:rsid w:val="001D481A"/>
    <w:rsid w:val="001D495E"/>
    <w:rsid w:val="001D4BC3"/>
    <w:rsid w:val="001D4C63"/>
    <w:rsid w:val="001D4EA6"/>
    <w:rsid w:val="001D4F92"/>
    <w:rsid w:val="001D5035"/>
    <w:rsid w:val="001D50EF"/>
    <w:rsid w:val="001D568C"/>
    <w:rsid w:val="001D596B"/>
    <w:rsid w:val="001D59FE"/>
    <w:rsid w:val="001D5A5B"/>
    <w:rsid w:val="001D5F44"/>
    <w:rsid w:val="001D5FCD"/>
    <w:rsid w:val="001D6094"/>
    <w:rsid w:val="001D633B"/>
    <w:rsid w:val="001D6409"/>
    <w:rsid w:val="001D6813"/>
    <w:rsid w:val="001D6879"/>
    <w:rsid w:val="001D6B19"/>
    <w:rsid w:val="001D6B54"/>
    <w:rsid w:val="001D6B58"/>
    <w:rsid w:val="001D6CA6"/>
    <w:rsid w:val="001D7069"/>
    <w:rsid w:val="001D70A4"/>
    <w:rsid w:val="001D7127"/>
    <w:rsid w:val="001D73AA"/>
    <w:rsid w:val="001D7523"/>
    <w:rsid w:val="001D78E7"/>
    <w:rsid w:val="001D7AD9"/>
    <w:rsid w:val="001D7AF7"/>
    <w:rsid w:val="001D7B1B"/>
    <w:rsid w:val="001D7C63"/>
    <w:rsid w:val="001D7C86"/>
    <w:rsid w:val="001D7E43"/>
    <w:rsid w:val="001E002A"/>
    <w:rsid w:val="001E0218"/>
    <w:rsid w:val="001E024E"/>
    <w:rsid w:val="001E02AF"/>
    <w:rsid w:val="001E0531"/>
    <w:rsid w:val="001E053E"/>
    <w:rsid w:val="001E065D"/>
    <w:rsid w:val="001E0B55"/>
    <w:rsid w:val="001E0D79"/>
    <w:rsid w:val="001E0E75"/>
    <w:rsid w:val="001E0F4F"/>
    <w:rsid w:val="001E100A"/>
    <w:rsid w:val="001E10A2"/>
    <w:rsid w:val="001E126C"/>
    <w:rsid w:val="001E133C"/>
    <w:rsid w:val="001E1502"/>
    <w:rsid w:val="001E1839"/>
    <w:rsid w:val="001E1A1E"/>
    <w:rsid w:val="001E1AF6"/>
    <w:rsid w:val="001E1AFB"/>
    <w:rsid w:val="001E1CD7"/>
    <w:rsid w:val="001E1D1A"/>
    <w:rsid w:val="001E1F35"/>
    <w:rsid w:val="001E1FA9"/>
    <w:rsid w:val="001E2021"/>
    <w:rsid w:val="001E2062"/>
    <w:rsid w:val="001E22D3"/>
    <w:rsid w:val="001E2456"/>
    <w:rsid w:val="001E265E"/>
    <w:rsid w:val="001E27BA"/>
    <w:rsid w:val="001E28B7"/>
    <w:rsid w:val="001E2971"/>
    <w:rsid w:val="001E2AF3"/>
    <w:rsid w:val="001E2B94"/>
    <w:rsid w:val="001E2F16"/>
    <w:rsid w:val="001E2FDE"/>
    <w:rsid w:val="001E30BF"/>
    <w:rsid w:val="001E361B"/>
    <w:rsid w:val="001E37C1"/>
    <w:rsid w:val="001E37CF"/>
    <w:rsid w:val="001E37E1"/>
    <w:rsid w:val="001E37F0"/>
    <w:rsid w:val="001E3861"/>
    <w:rsid w:val="001E3946"/>
    <w:rsid w:val="001E3A63"/>
    <w:rsid w:val="001E3B16"/>
    <w:rsid w:val="001E3C43"/>
    <w:rsid w:val="001E3C57"/>
    <w:rsid w:val="001E3D17"/>
    <w:rsid w:val="001E3E5E"/>
    <w:rsid w:val="001E3EA5"/>
    <w:rsid w:val="001E41CF"/>
    <w:rsid w:val="001E4249"/>
    <w:rsid w:val="001E462E"/>
    <w:rsid w:val="001E47C4"/>
    <w:rsid w:val="001E483D"/>
    <w:rsid w:val="001E4B92"/>
    <w:rsid w:val="001E4BAA"/>
    <w:rsid w:val="001E4DA7"/>
    <w:rsid w:val="001E4E4F"/>
    <w:rsid w:val="001E4E63"/>
    <w:rsid w:val="001E4FB2"/>
    <w:rsid w:val="001E5125"/>
    <w:rsid w:val="001E5243"/>
    <w:rsid w:val="001E5491"/>
    <w:rsid w:val="001E54E7"/>
    <w:rsid w:val="001E557D"/>
    <w:rsid w:val="001E5596"/>
    <w:rsid w:val="001E55A5"/>
    <w:rsid w:val="001E5615"/>
    <w:rsid w:val="001E578F"/>
    <w:rsid w:val="001E57B0"/>
    <w:rsid w:val="001E57D6"/>
    <w:rsid w:val="001E58F1"/>
    <w:rsid w:val="001E5974"/>
    <w:rsid w:val="001E5A66"/>
    <w:rsid w:val="001E5E23"/>
    <w:rsid w:val="001E5EEC"/>
    <w:rsid w:val="001E5F81"/>
    <w:rsid w:val="001E602C"/>
    <w:rsid w:val="001E611A"/>
    <w:rsid w:val="001E651A"/>
    <w:rsid w:val="001E6574"/>
    <w:rsid w:val="001E670A"/>
    <w:rsid w:val="001E68E9"/>
    <w:rsid w:val="001E6954"/>
    <w:rsid w:val="001E6E8A"/>
    <w:rsid w:val="001E7339"/>
    <w:rsid w:val="001E73F4"/>
    <w:rsid w:val="001E7716"/>
    <w:rsid w:val="001E77DA"/>
    <w:rsid w:val="001E78B7"/>
    <w:rsid w:val="001E7AF7"/>
    <w:rsid w:val="001E7E90"/>
    <w:rsid w:val="001E7F4C"/>
    <w:rsid w:val="001F026B"/>
    <w:rsid w:val="001F0286"/>
    <w:rsid w:val="001F02A5"/>
    <w:rsid w:val="001F0328"/>
    <w:rsid w:val="001F0493"/>
    <w:rsid w:val="001F0584"/>
    <w:rsid w:val="001F05CE"/>
    <w:rsid w:val="001F0664"/>
    <w:rsid w:val="001F0691"/>
    <w:rsid w:val="001F0A33"/>
    <w:rsid w:val="001F0A88"/>
    <w:rsid w:val="001F0AD3"/>
    <w:rsid w:val="001F0D59"/>
    <w:rsid w:val="001F10FF"/>
    <w:rsid w:val="001F13B3"/>
    <w:rsid w:val="001F14D7"/>
    <w:rsid w:val="001F153B"/>
    <w:rsid w:val="001F15DB"/>
    <w:rsid w:val="001F167A"/>
    <w:rsid w:val="001F1895"/>
    <w:rsid w:val="001F1A69"/>
    <w:rsid w:val="001F1BD5"/>
    <w:rsid w:val="001F1BF0"/>
    <w:rsid w:val="001F1CF3"/>
    <w:rsid w:val="001F1E6C"/>
    <w:rsid w:val="001F215B"/>
    <w:rsid w:val="001F21C8"/>
    <w:rsid w:val="001F2228"/>
    <w:rsid w:val="001F2235"/>
    <w:rsid w:val="001F233F"/>
    <w:rsid w:val="001F2388"/>
    <w:rsid w:val="001F242C"/>
    <w:rsid w:val="001F246D"/>
    <w:rsid w:val="001F24E3"/>
    <w:rsid w:val="001F2B22"/>
    <w:rsid w:val="001F2F75"/>
    <w:rsid w:val="001F32F5"/>
    <w:rsid w:val="001F333E"/>
    <w:rsid w:val="001F33B9"/>
    <w:rsid w:val="001F3443"/>
    <w:rsid w:val="001F34BF"/>
    <w:rsid w:val="001F351A"/>
    <w:rsid w:val="001F37CA"/>
    <w:rsid w:val="001F3A22"/>
    <w:rsid w:val="001F3C8C"/>
    <w:rsid w:val="001F3DAE"/>
    <w:rsid w:val="001F4002"/>
    <w:rsid w:val="001F4088"/>
    <w:rsid w:val="001F423E"/>
    <w:rsid w:val="001F4250"/>
    <w:rsid w:val="001F46EA"/>
    <w:rsid w:val="001F4705"/>
    <w:rsid w:val="001F4A5A"/>
    <w:rsid w:val="001F4B49"/>
    <w:rsid w:val="001F4C3E"/>
    <w:rsid w:val="001F4EAB"/>
    <w:rsid w:val="001F4F3C"/>
    <w:rsid w:val="001F508B"/>
    <w:rsid w:val="001F53BF"/>
    <w:rsid w:val="001F5536"/>
    <w:rsid w:val="001F5670"/>
    <w:rsid w:val="001F56BF"/>
    <w:rsid w:val="001F571B"/>
    <w:rsid w:val="001F5776"/>
    <w:rsid w:val="001F5896"/>
    <w:rsid w:val="001F5B8B"/>
    <w:rsid w:val="001F5BA3"/>
    <w:rsid w:val="001F5C59"/>
    <w:rsid w:val="001F5E10"/>
    <w:rsid w:val="001F5E6D"/>
    <w:rsid w:val="001F6007"/>
    <w:rsid w:val="001F611F"/>
    <w:rsid w:val="001F62AA"/>
    <w:rsid w:val="001F63E9"/>
    <w:rsid w:val="001F64F3"/>
    <w:rsid w:val="001F6723"/>
    <w:rsid w:val="001F6BA1"/>
    <w:rsid w:val="001F6C83"/>
    <w:rsid w:val="001F6C99"/>
    <w:rsid w:val="001F6D00"/>
    <w:rsid w:val="001F6D01"/>
    <w:rsid w:val="001F6E49"/>
    <w:rsid w:val="001F6EB9"/>
    <w:rsid w:val="001F6F80"/>
    <w:rsid w:val="001F70F2"/>
    <w:rsid w:val="001F74A0"/>
    <w:rsid w:val="001F74BB"/>
    <w:rsid w:val="001F74CF"/>
    <w:rsid w:val="001F7547"/>
    <w:rsid w:val="001F767D"/>
    <w:rsid w:val="001F7786"/>
    <w:rsid w:val="001F77B7"/>
    <w:rsid w:val="001F77D1"/>
    <w:rsid w:val="001F79A3"/>
    <w:rsid w:val="001F7B73"/>
    <w:rsid w:val="001F7C22"/>
    <w:rsid w:val="001F7CA5"/>
    <w:rsid w:val="001F7FA7"/>
    <w:rsid w:val="001F7FF0"/>
    <w:rsid w:val="002001BC"/>
    <w:rsid w:val="00200432"/>
    <w:rsid w:val="002004A8"/>
    <w:rsid w:val="00200517"/>
    <w:rsid w:val="0020064E"/>
    <w:rsid w:val="00200756"/>
    <w:rsid w:val="002007DC"/>
    <w:rsid w:val="002007F3"/>
    <w:rsid w:val="00200818"/>
    <w:rsid w:val="002009F6"/>
    <w:rsid w:val="00200B3F"/>
    <w:rsid w:val="00200B52"/>
    <w:rsid w:val="00200BA1"/>
    <w:rsid w:val="00200C66"/>
    <w:rsid w:val="00200EF9"/>
    <w:rsid w:val="00201002"/>
    <w:rsid w:val="00201050"/>
    <w:rsid w:val="0020121D"/>
    <w:rsid w:val="002012BA"/>
    <w:rsid w:val="002012CF"/>
    <w:rsid w:val="0020155E"/>
    <w:rsid w:val="0020163F"/>
    <w:rsid w:val="002017D1"/>
    <w:rsid w:val="00201CB5"/>
    <w:rsid w:val="00201CE0"/>
    <w:rsid w:val="00201D05"/>
    <w:rsid w:val="00201D15"/>
    <w:rsid w:val="00201E53"/>
    <w:rsid w:val="00201F90"/>
    <w:rsid w:val="00201F98"/>
    <w:rsid w:val="00202088"/>
    <w:rsid w:val="002022C9"/>
    <w:rsid w:val="0020246D"/>
    <w:rsid w:val="00202525"/>
    <w:rsid w:val="00202546"/>
    <w:rsid w:val="00202600"/>
    <w:rsid w:val="0020280C"/>
    <w:rsid w:val="00202983"/>
    <w:rsid w:val="00202AD5"/>
    <w:rsid w:val="00202B37"/>
    <w:rsid w:val="00202CEF"/>
    <w:rsid w:val="00202DD6"/>
    <w:rsid w:val="002030BC"/>
    <w:rsid w:val="00203271"/>
    <w:rsid w:val="00203690"/>
    <w:rsid w:val="002036D1"/>
    <w:rsid w:val="002037CC"/>
    <w:rsid w:val="002037D1"/>
    <w:rsid w:val="002038F3"/>
    <w:rsid w:val="00203B44"/>
    <w:rsid w:val="00203E9F"/>
    <w:rsid w:val="00203F4C"/>
    <w:rsid w:val="00203FCE"/>
    <w:rsid w:val="0020403B"/>
    <w:rsid w:val="0020428E"/>
    <w:rsid w:val="0020435E"/>
    <w:rsid w:val="00204360"/>
    <w:rsid w:val="002043B2"/>
    <w:rsid w:val="00204548"/>
    <w:rsid w:val="00204608"/>
    <w:rsid w:val="00204693"/>
    <w:rsid w:val="0020474D"/>
    <w:rsid w:val="0020478B"/>
    <w:rsid w:val="00204925"/>
    <w:rsid w:val="00204A92"/>
    <w:rsid w:val="00204D52"/>
    <w:rsid w:val="00204F7A"/>
    <w:rsid w:val="0020501D"/>
    <w:rsid w:val="00205026"/>
    <w:rsid w:val="002050C3"/>
    <w:rsid w:val="002051C5"/>
    <w:rsid w:val="002051E7"/>
    <w:rsid w:val="00205385"/>
    <w:rsid w:val="002053F7"/>
    <w:rsid w:val="00205563"/>
    <w:rsid w:val="002056AF"/>
    <w:rsid w:val="00205703"/>
    <w:rsid w:val="00205967"/>
    <w:rsid w:val="002059B7"/>
    <w:rsid w:val="002060A0"/>
    <w:rsid w:val="00206184"/>
    <w:rsid w:val="00206554"/>
    <w:rsid w:val="002065AE"/>
    <w:rsid w:val="002068DF"/>
    <w:rsid w:val="00206986"/>
    <w:rsid w:val="002069F9"/>
    <w:rsid w:val="00206A19"/>
    <w:rsid w:val="00206BF5"/>
    <w:rsid w:val="00207343"/>
    <w:rsid w:val="00207743"/>
    <w:rsid w:val="002078B6"/>
    <w:rsid w:val="00207A3F"/>
    <w:rsid w:val="00207DED"/>
    <w:rsid w:val="0020A3BC"/>
    <w:rsid w:val="0021013F"/>
    <w:rsid w:val="002101DF"/>
    <w:rsid w:val="002102C8"/>
    <w:rsid w:val="002103C6"/>
    <w:rsid w:val="0021045D"/>
    <w:rsid w:val="00210696"/>
    <w:rsid w:val="002106BE"/>
    <w:rsid w:val="0021080D"/>
    <w:rsid w:val="0021086F"/>
    <w:rsid w:val="00210958"/>
    <w:rsid w:val="00210C7B"/>
    <w:rsid w:val="00210D16"/>
    <w:rsid w:val="002113BB"/>
    <w:rsid w:val="002114A3"/>
    <w:rsid w:val="002116FA"/>
    <w:rsid w:val="002118C9"/>
    <w:rsid w:val="00211B81"/>
    <w:rsid w:val="00211BE6"/>
    <w:rsid w:val="00211CAD"/>
    <w:rsid w:val="00211CF8"/>
    <w:rsid w:val="00211D00"/>
    <w:rsid w:val="00211D60"/>
    <w:rsid w:val="002121E4"/>
    <w:rsid w:val="0021254B"/>
    <w:rsid w:val="002125A9"/>
    <w:rsid w:val="002125EF"/>
    <w:rsid w:val="0021273F"/>
    <w:rsid w:val="0021279D"/>
    <w:rsid w:val="00212A2C"/>
    <w:rsid w:val="00212A54"/>
    <w:rsid w:val="00212C4E"/>
    <w:rsid w:val="00212D4E"/>
    <w:rsid w:val="00212F37"/>
    <w:rsid w:val="002130B1"/>
    <w:rsid w:val="002131A7"/>
    <w:rsid w:val="002131AD"/>
    <w:rsid w:val="002132E0"/>
    <w:rsid w:val="00213356"/>
    <w:rsid w:val="00213438"/>
    <w:rsid w:val="00213642"/>
    <w:rsid w:val="00213A39"/>
    <w:rsid w:val="00213CB4"/>
    <w:rsid w:val="00213D08"/>
    <w:rsid w:val="00213D6D"/>
    <w:rsid w:val="00213EA8"/>
    <w:rsid w:val="00213FDF"/>
    <w:rsid w:val="00214116"/>
    <w:rsid w:val="00214214"/>
    <w:rsid w:val="002142D9"/>
    <w:rsid w:val="00214496"/>
    <w:rsid w:val="002144E5"/>
    <w:rsid w:val="002147AD"/>
    <w:rsid w:val="002147D0"/>
    <w:rsid w:val="0021485E"/>
    <w:rsid w:val="00214AF1"/>
    <w:rsid w:val="00214C68"/>
    <w:rsid w:val="00214C9B"/>
    <w:rsid w:val="00214D33"/>
    <w:rsid w:val="00214E0D"/>
    <w:rsid w:val="00214E3B"/>
    <w:rsid w:val="0021514C"/>
    <w:rsid w:val="00215233"/>
    <w:rsid w:val="00215248"/>
    <w:rsid w:val="002152DE"/>
    <w:rsid w:val="0021536B"/>
    <w:rsid w:val="002154BB"/>
    <w:rsid w:val="00215510"/>
    <w:rsid w:val="0021565D"/>
    <w:rsid w:val="0021569E"/>
    <w:rsid w:val="002159A8"/>
    <w:rsid w:val="002162E2"/>
    <w:rsid w:val="00216492"/>
    <w:rsid w:val="00216555"/>
    <w:rsid w:val="00216621"/>
    <w:rsid w:val="002168A6"/>
    <w:rsid w:val="00216BC3"/>
    <w:rsid w:val="00216C16"/>
    <w:rsid w:val="00216FFD"/>
    <w:rsid w:val="00217261"/>
    <w:rsid w:val="002173E0"/>
    <w:rsid w:val="002173E3"/>
    <w:rsid w:val="00217482"/>
    <w:rsid w:val="0021772E"/>
    <w:rsid w:val="00217765"/>
    <w:rsid w:val="00217A01"/>
    <w:rsid w:val="00217A08"/>
    <w:rsid w:val="00217B58"/>
    <w:rsid w:val="00217E32"/>
    <w:rsid w:val="00218727"/>
    <w:rsid w:val="0022007B"/>
    <w:rsid w:val="002203A3"/>
    <w:rsid w:val="002203C6"/>
    <w:rsid w:val="0022046B"/>
    <w:rsid w:val="00220815"/>
    <w:rsid w:val="0022095E"/>
    <w:rsid w:val="002209E4"/>
    <w:rsid w:val="00220E21"/>
    <w:rsid w:val="00220FC2"/>
    <w:rsid w:val="0022110C"/>
    <w:rsid w:val="002213CB"/>
    <w:rsid w:val="00221409"/>
    <w:rsid w:val="00221444"/>
    <w:rsid w:val="002214CD"/>
    <w:rsid w:val="0022183E"/>
    <w:rsid w:val="00221A16"/>
    <w:rsid w:val="00221AAC"/>
    <w:rsid w:val="00221E58"/>
    <w:rsid w:val="00221E83"/>
    <w:rsid w:val="0022200F"/>
    <w:rsid w:val="002220A4"/>
    <w:rsid w:val="00222189"/>
    <w:rsid w:val="00222216"/>
    <w:rsid w:val="00222267"/>
    <w:rsid w:val="002223DC"/>
    <w:rsid w:val="0022271E"/>
    <w:rsid w:val="002227AE"/>
    <w:rsid w:val="002227D0"/>
    <w:rsid w:val="00222876"/>
    <w:rsid w:val="00222AFC"/>
    <w:rsid w:val="00222B84"/>
    <w:rsid w:val="00222C19"/>
    <w:rsid w:val="00222EC0"/>
    <w:rsid w:val="002231E9"/>
    <w:rsid w:val="00223341"/>
    <w:rsid w:val="00223348"/>
    <w:rsid w:val="002233E1"/>
    <w:rsid w:val="002239D4"/>
    <w:rsid w:val="00223A37"/>
    <w:rsid w:val="00223B42"/>
    <w:rsid w:val="00223B67"/>
    <w:rsid w:val="00223D5C"/>
    <w:rsid w:val="00224296"/>
    <w:rsid w:val="002242ED"/>
    <w:rsid w:val="00224320"/>
    <w:rsid w:val="0022432B"/>
    <w:rsid w:val="00224558"/>
    <w:rsid w:val="002248A4"/>
    <w:rsid w:val="00224C1E"/>
    <w:rsid w:val="00225195"/>
    <w:rsid w:val="00225203"/>
    <w:rsid w:val="002252CF"/>
    <w:rsid w:val="00225474"/>
    <w:rsid w:val="00225594"/>
    <w:rsid w:val="0022566E"/>
    <w:rsid w:val="002257DB"/>
    <w:rsid w:val="00225989"/>
    <w:rsid w:val="002259C9"/>
    <w:rsid w:val="00225AE7"/>
    <w:rsid w:val="00225C6E"/>
    <w:rsid w:val="00225CAA"/>
    <w:rsid w:val="00225CF9"/>
    <w:rsid w:val="00225DF7"/>
    <w:rsid w:val="00225FB3"/>
    <w:rsid w:val="00226130"/>
    <w:rsid w:val="0022618C"/>
    <w:rsid w:val="0022625B"/>
    <w:rsid w:val="00226329"/>
    <w:rsid w:val="00226606"/>
    <w:rsid w:val="00226823"/>
    <w:rsid w:val="00226954"/>
    <w:rsid w:val="00226A24"/>
    <w:rsid w:val="00226B5B"/>
    <w:rsid w:val="00227090"/>
    <w:rsid w:val="002275B3"/>
    <w:rsid w:val="00227723"/>
    <w:rsid w:val="002277ED"/>
    <w:rsid w:val="00227A24"/>
    <w:rsid w:val="00227B82"/>
    <w:rsid w:val="00227D23"/>
    <w:rsid w:val="00227E12"/>
    <w:rsid w:val="00227E69"/>
    <w:rsid w:val="002301A8"/>
    <w:rsid w:val="00230215"/>
    <w:rsid w:val="0023022F"/>
    <w:rsid w:val="00230244"/>
    <w:rsid w:val="00230570"/>
    <w:rsid w:val="002305D0"/>
    <w:rsid w:val="002309E1"/>
    <w:rsid w:val="00230B3C"/>
    <w:rsid w:val="00230E8A"/>
    <w:rsid w:val="00230EE1"/>
    <w:rsid w:val="002310B3"/>
    <w:rsid w:val="002313A9"/>
    <w:rsid w:val="002313BF"/>
    <w:rsid w:val="002313F0"/>
    <w:rsid w:val="00231543"/>
    <w:rsid w:val="002315A4"/>
    <w:rsid w:val="002315C0"/>
    <w:rsid w:val="00231692"/>
    <w:rsid w:val="00231815"/>
    <w:rsid w:val="00231B39"/>
    <w:rsid w:val="00231C25"/>
    <w:rsid w:val="00231D9D"/>
    <w:rsid w:val="00231DB9"/>
    <w:rsid w:val="00231FE9"/>
    <w:rsid w:val="00232003"/>
    <w:rsid w:val="00232115"/>
    <w:rsid w:val="00232307"/>
    <w:rsid w:val="00232446"/>
    <w:rsid w:val="002324AA"/>
    <w:rsid w:val="00232552"/>
    <w:rsid w:val="00232641"/>
    <w:rsid w:val="002326B2"/>
    <w:rsid w:val="00232A95"/>
    <w:rsid w:val="00232AB4"/>
    <w:rsid w:val="00232ABC"/>
    <w:rsid w:val="00232B3A"/>
    <w:rsid w:val="00232CFC"/>
    <w:rsid w:val="00232EBA"/>
    <w:rsid w:val="00232EE8"/>
    <w:rsid w:val="0023304A"/>
    <w:rsid w:val="00233195"/>
    <w:rsid w:val="00233345"/>
    <w:rsid w:val="00233394"/>
    <w:rsid w:val="0023351D"/>
    <w:rsid w:val="0023353B"/>
    <w:rsid w:val="0023354C"/>
    <w:rsid w:val="00233695"/>
    <w:rsid w:val="002338A2"/>
    <w:rsid w:val="00233A3B"/>
    <w:rsid w:val="00233B45"/>
    <w:rsid w:val="00233FCC"/>
    <w:rsid w:val="002341B5"/>
    <w:rsid w:val="002342A3"/>
    <w:rsid w:val="002342C4"/>
    <w:rsid w:val="002343D4"/>
    <w:rsid w:val="0023442B"/>
    <w:rsid w:val="0023454C"/>
    <w:rsid w:val="00234878"/>
    <w:rsid w:val="00234ADF"/>
    <w:rsid w:val="00234BFA"/>
    <w:rsid w:val="00234DF4"/>
    <w:rsid w:val="00234E51"/>
    <w:rsid w:val="00234FE5"/>
    <w:rsid w:val="0023515D"/>
    <w:rsid w:val="002351B0"/>
    <w:rsid w:val="002352C6"/>
    <w:rsid w:val="00235318"/>
    <w:rsid w:val="0023542D"/>
    <w:rsid w:val="0023554E"/>
    <w:rsid w:val="00235851"/>
    <w:rsid w:val="00235FCF"/>
    <w:rsid w:val="00236070"/>
    <w:rsid w:val="00236191"/>
    <w:rsid w:val="002362B1"/>
    <w:rsid w:val="0023638B"/>
    <w:rsid w:val="002363EB"/>
    <w:rsid w:val="002364A6"/>
    <w:rsid w:val="002364AA"/>
    <w:rsid w:val="0023658D"/>
    <w:rsid w:val="002365BC"/>
    <w:rsid w:val="00236658"/>
    <w:rsid w:val="0023669A"/>
    <w:rsid w:val="00236972"/>
    <w:rsid w:val="00236A5B"/>
    <w:rsid w:val="00236A6F"/>
    <w:rsid w:val="00236B72"/>
    <w:rsid w:val="00236BB4"/>
    <w:rsid w:val="00236C10"/>
    <w:rsid w:val="00236C11"/>
    <w:rsid w:val="00236C25"/>
    <w:rsid w:val="00236EF8"/>
    <w:rsid w:val="00236F32"/>
    <w:rsid w:val="00237367"/>
    <w:rsid w:val="0023741E"/>
    <w:rsid w:val="002378E1"/>
    <w:rsid w:val="002379E5"/>
    <w:rsid w:val="00237BD2"/>
    <w:rsid w:val="00237D27"/>
    <w:rsid w:val="00237DF0"/>
    <w:rsid w:val="00237E65"/>
    <w:rsid w:val="00237F10"/>
    <w:rsid w:val="00237F22"/>
    <w:rsid w:val="00237FA7"/>
    <w:rsid w:val="00240189"/>
    <w:rsid w:val="00240292"/>
    <w:rsid w:val="00240354"/>
    <w:rsid w:val="002404C5"/>
    <w:rsid w:val="002406BA"/>
    <w:rsid w:val="002406CD"/>
    <w:rsid w:val="002407FC"/>
    <w:rsid w:val="00240821"/>
    <w:rsid w:val="0024085F"/>
    <w:rsid w:val="00240E8A"/>
    <w:rsid w:val="00240F20"/>
    <w:rsid w:val="0024105D"/>
    <w:rsid w:val="00241652"/>
    <w:rsid w:val="00241943"/>
    <w:rsid w:val="0024199A"/>
    <w:rsid w:val="00241E21"/>
    <w:rsid w:val="00241E8D"/>
    <w:rsid w:val="00241F7D"/>
    <w:rsid w:val="002420AD"/>
    <w:rsid w:val="00242285"/>
    <w:rsid w:val="0024239D"/>
    <w:rsid w:val="00242441"/>
    <w:rsid w:val="0024254E"/>
    <w:rsid w:val="0024265F"/>
    <w:rsid w:val="0024286F"/>
    <w:rsid w:val="00242873"/>
    <w:rsid w:val="00242AB4"/>
    <w:rsid w:val="00242B78"/>
    <w:rsid w:val="00242CC2"/>
    <w:rsid w:val="00242F6D"/>
    <w:rsid w:val="002430BF"/>
    <w:rsid w:val="002432E4"/>
    <w:rsid w:val="002433F2"/>
    <w:rsid w:val="00243475"/>
    <w:rsid w:val="00243606"/>
    <w:rsid w:val="002436A1"/>
    <w:rsid w:val="0024384B"/>
    <w:rsid w:val="00243893"/>
    <w:rsid w:val="002438E7"/>
    <w:rsid w:val="0024392F"/>
    <w:rsid w:val="00243BB3"/>
    <w:rsid w:val="00243C30"/>
    <w:rsid w:val="00243F04"/>
    <w:rsid w:val="00243FA3"/>
    <w:rsid w:val="0024422B"/>
    <w:rsid w:val="00244432"/>
    <w:rsid w:val="002444B1"/>
    <w:rsid w:val="002444DD"/>
    <w:rsid w:val="002445E2"/>
    <w:rsid w:val="00244802"/>
    <w:rsid w:val="002449AB"/>
    <w:rsid w:val="00244B1A"/>
    <w:rsid w:val="00244C2B"/>
    <w:rsid w:val="00244D32"/>
    <w:rsid w:val="00244DB1"/>
    <w:rsid w:val="00245356"/>
    <w:rsid w:val="0024537F"/>
    <w:rsid w:val="0024552E"/>
    <w:rsid w:val="002458DD"/>
    <w:rsid w:val="002458E2"/>
    <w:rsid w:val="00245DBC"/>
    <w:rsid w:val="00245E21"/>
    <w:rsid w:val="0024605E"/>
    <w:rsid w:val="00246312"/>
    <w:rsid w:val="00246492"/>
    <w:rsid w:val="002464AA"/>
    <w:rsid w:val="00246552"/>
    <w:rsid w:val="002467C9"/>
    <w:rsid w:val="00246BC0"/>
    <w:rsid w:val="00246DCD"/>
    <w:rsid w:val="00246EC2"/>
    <w:rsid w:val="00246EC3"/>
    <w:rsid w:val="00247048"/>
    <w:rsid w:val="002474FA"/>
    <w:rsid w:val="00247504"/>
    <w:rsid w:val="002477C0"/>
    <w:rsid w:val="00247BB5"/>
    <w:rsid w:val="00247BE8"/>
    <w:rsid w:val="00247D79"/>
    <w:rsid w:val="00247F8D"/>
    <w:rsid w:val="00247FDA"/>
    <w:rsid w:val="00250038"/>
    <w:rsid w:val="00250148"/>
    <w:rsid w:val="002501F7"/>
    <w:rsid w:val="0025022A"/>
    <w:rsid w:val="00250288"/>
    <w:rsid w:val="002502FB"/>
    <w:rsid w:val="002504F2"/>
    <w:rsid w:val="00250539"/>
    <w:rsid w:val="0025058F"/>
    <w:rsid w:val="00250793"/>
    <w:rsid w:val="0025080A"/>
    <w:rsid w:val="00250A15"/>
    <w:rsid w:val="00250CC0"/>
    <w:rsid w:val="00250D69"/>
    <w:rsid w:val="00250E0D"/>
    <w:rsid w:val="00251019"/>
    <w:rsid w:val="002510AE"/>
    <w:rsid w:val="002511E7"/>
    <w:rsid w:val="0025120C"/>
    <w:rsid w:val="00251523"/>
    <w:rsid w:val="002515B5"/>
    <w:rsid w:val="0025168F"/>
    <w:rsid w:val="002516E2"/>
    <w:rsid w:val="002516EE"/>
    <w:rsid w:val="00251C14"/>
    <w:rsid w:val="00251C2D"/>
    <w:rsid w:val="00251DE8"/>
    <w:rsid w:val="00251E32"/>
    <w:rsid w:val="00251ED0"/>
    <w:rsid w:val="00251FF7"/>
    <w:rsid w:val="0025204F"/>
    <w:rsid w:val="00252264"/>
    <w:rsid w:val="002522A3"/>
    <w:rsid w:val="002522FA"/>
    <w:rsid w:val="00252545"/>
    <w:rsid w:val="0025265D"/>
    <w:rsid w:val="00252869"/>
    <w:rsid w:val="002529B1"/>
    <w:rsid w:val="00252CD5"/>
    <w:rsid w:val="00252F78"/>
    <w:rsid w:val="00253198"/>
    <w:rsid w:val="0025342E"/>
    <w:rsid w:val="002534EF"/>
    <w:rsid w:val="00253584"/>
    <w:rsid w:val="002538A4"/>
    <w:rsid w:val="002538E2"/>
    <w:rsid w:val="00253C75"/>
    <w:rsid w:val="00253FDD"/>
    <w:rsid w:val="002540B2"/>
    <w:rsid w:val="002542C0"/>
    <w:rsid w:val="002544BC"/>
    <w:rsid w:val="002545B6"/>
    <w:rsid w:val="002546BC"/>
    <w:rsid w:val="002549A0"/>
    <w:rsid w:val="00254C18"/>
    <w:rsid w:val="00254CDD"/>
    <w:rsid w:val="00254E73"/>
    <w:rsid w:val="00254EF8"/>
    <w:rsid w:val="00254F8C"/>
    <w:rsid w:val="00254FB9"/>
    <w:rsid w:val="002551FF"/>
    <w:rsid w:val="00255233"/>
    <w:rsid w:val="002555E0"/>
    <w:rsid w:val="0025566C"/>
    <w:rsid w:val="00255970"/>
    <w:rsid w:val="00255B97"/>
    <w:rsid w:val="00255F5E"/>
    <w:rsid w:val="00255F7C"/>
    <w:rsid w:val="0025608F"/>
    <w:rsid w:val="002564DE"/>
    <w:rsid w:val="00256562"/>
    <w:rsid w:val="00256621"/>
    <w:rsid w:val="0025668A"/>
    <w:rsid w:val="002566E7"/>
    <w:rsid w:val="002567E9"/>
    <w:rsid w:val="00256A1F"/>
    <w:rsid w:val="00256AC4"/>
    <w:rsid w:val="00256B41"/>
    <w:rsid w:val="00256BAB"/>
    <w:rsid w:val="00256BC9"/>
    <w:rsid w:val="00256C81"/>
    <w:rsid w:val="00256D5C"/>
    <w:rsid w:val="00256E64"/>
    <w:rsid w:val="00256EB8"/>
    <w:rsid w:val="00256F17"/>
    <w:rsid w:val="00256F37"/>
    <w:rsid w:val="00256FAD"/>
    <w:rsid w:val="0025701C"/>
    <w:rsid w:val="002570FE"/>
    <w:rsid w:val="002572AB"/>
    <w:rsid w:val="00257304"/>
    <w:rsid w:val="00257451"/>
    <w:rsid w:val="00257513"/>
    <w:rsid w:val="002575C2"/>
    <w:rsid w:val="002575E8"/>
    <w:rsid w:val="002578AC"/>
    <w:rsid w:val="00257B18"/>
    <w:rsid w:val="00257C03"/>
    <w:rsid w:val="00257CA1"/>
    <w:rsid w:val="00257E5D"/>
    <w:rsid w:val="00257F66"/>
    <w:rsid w:val="00257FA8"/>
    <w:rsid w:val="00260049"/>
    <w:rsid w:val="00260215"/>
    <w:rsid w:val="002602DE"/>
    <w:rsid w:val="002604C3"/>
    <w:rsid w:val="002605D6"/>
    <w:rsid w:val="00260AB1"/>
    <w:rsid w:val="00260AB2"/>
    <w:rsid w:val="00260B56"/>
    <w:rsid w:val="00260CE6"/>
    <w:rsid w:val="00261027"/>
    <w:rsid w:val="0026102F"/>
    <w:rsid w:val="00261035"/>
    <w:rsid w:val="0026104F"/>
    <w:rsid w:val="002612BF"/>
    <w:rsid w:val="00261455"/>
    <w:rsid w:val="002616CE"/>
    <w:rsid w:val="002616F6"/>
    <w:rsid w:val="002617F2"/>
    <w:rsid w:val="00261946"/>
    <w:rsid w:val="00261A97"/>
    <w:rsid w:val="00261A9C"/>
    <w:rsid w:val="00261F70"/>
    <w:rsid w:val="00261F80"/>
    <w:rsid w:val="00262392"/>
    <w:rsid w:val="00262585"/>
    <w:rsid w:val="0026260E"/>
    <w:rsid w:val="002626EF"/>
    <w:rsid w:val="002629BA"/>
    <w:rsid w:val="00262C7F"/>
    <w:rsid w:val="00263165"/>
    <w:rsid w:val="00263359"/>
    <w:rsid w:val="002633FD"/>
    <w:rsid w:val="0026347E"/>
    <w:rsid w:val="0026359D"/>
    <w:rsid w:val="00263666"/>
    <w:rsid w:val="0026382E"/>
    <w:rsid w:val="002638BB"/>
    <w:rsid w:val="0026399A"/>
    <w:rsid w:val="002639DB"/>
    <w:rsid w:val="00263BC0"/>
    <w:rsid w:val="00263D6C"/>
    <w:rsid w:val="00263EED"/>
    <w:rsid w:val="00263FA6"/>
    <w:rsid w:val="00264226"/>
    <w:rsid w:val="0026427B"/>
    <w:rsid w:val="00264282"/>
    <w:rsid w:val="002643CE"/>
    <w:rsid w:val="00264614"/>
    <w:rsid w:val="00264675"/>
    <w:rsid w:val="002646EB"/>
    <w:rsid w:val="00264751"/>
    <w:rsid w:val="0026481D"/>
    <w:rsid w:val="00264AF4"/>
    <w:rsid w:val="00264DCC"/>
    <w:rsid w:val="00264F53"/>
    <w:rsid w:val="00264F61"/>
    <w:rsid w:val="00264F7F"/>
    <w:rsid w:val="00265396"/>
    <w:rsid w:val="0026539A"/>
    <w:rsid w:val="002659EF"/>
    <w:rsid w:val="002659FB"/>
    <w:rsid w:val="00265CDA"/>
    <w:rsid w:val="00265DCE"/>
    <w:rsid w:val="0026617D"/>
    <w:rsid w:val="00266404"/>
    <w:rsid w:val="00266572"/>
    <w:rsid w:val="0026664B"/>
    <w:rsid w:val="00266677"/>
    <w:rsid w:val="002666EC"/>
    <w:rsid w:val="002666FE"/>
    <w:rsid w:val="002667B7"/>
    <w:rsid w:val="002667D7"/>
    <w:rsid w:val="00266916"/>
    <w:rsid w:val="00266A45"/>
    <w:rsid w:val="00266A83"/>
    <w:rsid w:val="00266BD0"/>
    <w:rsid w:val="00266F33"/>
    <w:rsid w:val="002670D1"/>
    <w:rsid w:val="0026730A"/>
    <w:rsid w:val="002675EC"/>
    <w:rsid w:val="0026786E"/>
    <w:rsid w:val="00267B1B"/>
    <w:rsid w:val="00267B55"/>
    <w:rsid w:val="00267B7C"/>
    <w:rsid w:val="00267BF6"/>
    <w:rsid w:val="00267E9F"/>
    <w:rsid w:val="00270273"/>
    <w:rsid w:val="002702D9"/>
    <w:rsid w:val="00270564"/>
    <w:rsid w:val="002707DA"/>
    <w:rsid w:val="002708E3"/>
    <w:rsid w:val="00270932"/>
    <w:rsid w:val="00270933"/>
    <w:rsid w:val="0027098F"/>
    <w:rsid w:val="00270A13"/>
    <w:rsid w:val="00270A92"/>
    <w:rsid w:val="00270CFF"/>
    <w:rsid w:val="00270D79"/>
    <w:rsid w:val="00270D89"/>
    <w:rsid w:val="00270D90"/>
    <w:rsid w:val="00270E0F"/>
    <w:rsid w:val="00270E44"/>
    <w:rsid w:val="00271037"/>
    <w:rsid w:val="0027103B"/>
    <w:rsid w:val="002711FE"/>
    <w:rsid w:val="00271AC2"/>
    <w:rsid w:val="00271DC5"/>
    <w:rsid w:val="00271DF4"/>
    <w:rsid w:val="00271FCA"/>
    <w:rsid w:val="00272103"/>
    <w:rsid w:val="00272112"/>
    <w:rsid w:val="00272254"/>
    <w:rsid w:val="002722BA"/>
    <w:rsid w:val="0027239C"/>
    <w:rsid w:val="002723AD"/>
    <w:rsid w:val="0027248C"/>
    <w:rsid w:val="00272596"/>
    <w:rsid w:val="0027270C"/>
    <w:rsid w:val="00272742"/>
    <w:rsid w:val="002727BA"/>
    <w:rsid w:val="00272878"/>
    <w:rsid w:val="0027292B"/>
    <w:rsid w:val="00272B87"/>
    <w:rsid w:val="00272BF1"/>
    <w:rsid w:val="00272C39"/>
    <w:rsid w:val="00272C4C"/>
    <w:rsid w:val="00273037"/>
    <w:rsid w:val="00273246"/>
    <w:rsid w:val="0027330E"/>
    <w:rsid w:val="0027330F"/>
    <w:rsid w:val="0027337E"/>
    <w:rsid w:val="002733C3"/>
    <w:rsid w:val="00273413"/>
    <w:rsid w:val="00273431"/>
    <w:rsid w:val="00273728"/>
    <w:rsid w:val="0027372D"/>
    <w:rsid w:val="002737AC"/>
    <w:rsid w:val="00273806"/>
    <w:rsid w:val="00273816"/>
    <w:rsid w:val="002739B3"/>
    <w:rsid w:val="00273B5F"/>
    <w:rsid w:val="00273B7A"/>
    <w:rsid w:val="00273BD2"/>
    <w:rsid w:val="00273C63"/>
    <w:rsid w:val="00273DE0"/>
    <w:rsid w:val="0027422E"/>
    <w:rsid w:val="002743B3"/>
    <w:rsid w:val="00274610"/>
    <w:rsid w:val="0027469B"/>
    <w:rsid w:val="002748DD"/>
    <w:rsid w:val="002748EC"/>
    <w:rsid w:val="00274BD7"/>
    <w:rsid w:val="00274C1F"/>
    <w:rsid w:val="00274D8A"/>
    <w:rsid w:val="00275086"/>
    <w:rsid w:val="00275209"/>
    <w:rsid w:val="00275215"/>
    <w:rsid w:val="00275293"/>
    <w:rsid w:val="0027529A"/>
    <w:rsid w:val="002752B3"/>
    <w:rsid w:val="00275340"/>
    <w:rsid w:val="00275629"/>
    <w:rsid w:val="00275815"/>
    <w:rsid w:val="002758D7"/>
    <w:rsid w:val="002758EF"/>
    <w:rsid w:val="002759F5"/>
    <w:rsid w:val="00275A39"/>
    <w:rsid w:val="00275C4C"/>
    <w:rsid w:val="00275E70"/>
    <w:rsid w:val="00275F48"/>
    <w:rsid w:val="00276198"/>
    <w:rsid w:val="00276273"/>
    <w:rsid w:val="0027636D"/>
    <w:rsid w:val="00276374"/>
    <w:rsid w:val="0027641C"/>
    <w:rsid w:val="00276A77"/>
    <w:rsid w:val="00276AC0"/>
    <w:rsid w:val="00276C11"/>
    <w:rsid w:val="00276D9B"/>
    <w:rsid w:val="00276DCB"/>
    <w:rsid w:val="00276FB0"/>
    <w:rsid w:val="00277232"/>
    <w:rsid w:val="002772A7"/>
    <w:rsid w:val="002774F0"/>
    <w:rsid w:val="0027769E"/>
    <w:rsid w:val="002776C1"/>
    <w:rsid w:val="00277706"/>
    <w:rsid w:val="00277714"/>
    <w:rsid w:val="00277A34"/>
    <w:rsid w:val="00277CBC"/>
    <w:rsid w:val="00277CC2"/>
    <w:rsid w:val="00277EF1"/>
    <w:rsid w:val="0027C9DB"/>
    <w:rsid w:val="0028029E"/>
    <w:rsid w:val="0028050D"/>
    <w:rsid w:val="00280779"/>
    <w:rsid w:val="00280883"/>
    <w:rsid w:val="002808CD"/>
    <w:rsid w:val="00281235"/>
    <w:rsid w:val="00281419"/>
    <w:rsid w:val="00281573"/>
    <w:rsid w:val="002815B9"/>
    <w:rsid w:val="002817D2"/>
    <w:rsid w:val="00281A2E"/>
    <w:rsid w:val="00281D96"/>
    <w:rsid w:val="00281E1A"/>
    <w:rsid w:val="00281E77"/>
    <w:rsid w:val="00281E7C"/>
    <w:rsid w:val="00281E9E"/>
    <w:rsid w:val="00282262"/>
    <w:rsid w:val="002822A4"/>
    <w:rsid w:val="002822B1"/>
    <w:rsid w:val="002822C1"/>
    <w:rsid w:val="002823B7"/>
    <w:rsid w:val="002823C9"/>
    <w:rsid w:val="002823DB"/>
    <w:rsid w:val="002824D8"/>
    <w:rsid w:val="00282511"/>
    <w:rsid w:val="00282878"/>
    <w:rsid w:val="002828C4"/>
    <w:rsid w:val="002828CC"/>
    <w:rsid w:val="00282B95"/>
    <w:rsid w:val="00282C00"/>
    <w:rsid w:val="00282CE4"/>
    <w:rsid w:val="00282E17"/>
    <w:rsid w:val="00282FF2"/>
    <w:rsid w:val="00283018"/>
    <w:rsid w:val="00283151"/>
    <w:rsid w:val="0028317A"/>
    <w:rsid w:val="002831B0"/>
    <w:rsid w:val="002832C0"/>
    <w:rsid w:val="00283309"/>
    <w:rsid w:val="002834EA"/>
    <w:rsid w:val="0028393B"/>
    <w:rsid w:val="0028395F"/>
    <w:rsid w:val="00283BC0"/>
    <w:rsid w:val="00283C10"/>
    <w:rsid w:val="00283CA1"/>
    <w:rsid w:val="00283D69"/>
    <w:rsid w:val="00283EBB"/>
    <w:rsid w:val="00283F63"/>
    <w:rsid w:val="00284086"/>
    <w:rsid w:val="00284346"/>
    <w:rsid w:val="00284485"/>
    <w:rsid w:val="00284591"/>
    <w:rsid w:val="00284747"/>
    <w:rsid w:val="002847B3"/>
    <w:rsid w:val="002848A1"/>
    <w:rsid w:val="00284A7D"/>
    <w:rsid w:val="00284F23"/>
    <w:rsid w:val="00284F9B"/>
    <w:rsid w:val="00285198"/>
    <w:rsid w:val="00285837"/>
    <w:rsid w:val="00285A13"/>
    <w:rsid w:val="00285A18"/>
    <w:rsid w:val="00285D8A"/>
    <w:rsid w:val="00285DE2"/>
    <w:rsid w:val="00285DF1"/>
    <w:rsid w:val="00285E2D"/>
    <w:rsid w:val="00285F6A"/>
    <w:rsid w:val="00285FAA"/>
    <w:rsid w:val="00286062"/>
    <w:rsid w:val="0028611A"/>
    <w:rsid w:val="00286195"/>
    <w:rsid w:val="00286247"/>
    <w:rsid w:val="0028629A"/>
    <w:rsid w:val="002863EE"/>
    <w:rsid w:val="002864B9"/>
    <w:rsid w:val="002867EC"/>
    <w:rsid w:val="00286AA2"/>
    <w:rsid w:val="00286AE4"/>
    <w:rsid w:val="00286B16"/>
    <w:rsid w:val="00286B3D"/>
    <w:rsid w:val="00286B4E"/>
    <w:rsid w:val="00286BF5"/>
    <w:rsid w:val="00286C24"/>
    <w:rsid w:val="00286CB2"/>
    <w:rsid w:val="00286DE6"/>
    <w:rsid w:val="00286E83"/>
    <w:rsid w:val="00286F36"/>
    <w:rsid w:val="0028719D"/>
    <w:rsid w:val="00287358"/>
    <w:rsid w:val="00287410"/>
    <w:rsid w:val="002875AF"/>
    <w:rsid w:val="0028784E"/>
    <w:rsid w:val="002878F3"/>
    <w:rsid w:val="0028793C"/>
    <w:rsid w:val="00287959"/>
    <w:rsid w:val="002879D6"/>
    <w:rsid w:val="00287A8C"/>
    <w:rsid w:val="00287B2C"/>
    <w:rsid w:val="00287BD8"/>
    <w:rsid w:val="00287FD9"/>
    <w:rsid w:val="0029003B"/>
    <w:rsid w:val="002900F3"/>
    <w:rsid w:val="0029026D"/>
    <w:rsid w:val="00290574"/>
    <w:rsid w:val="00290D23"/>
    <w:rsid w:val="00290EDC"/>
    <w:rsid w:val="002910A5"/>
    <w:rsid w:val="00291218"/>
    <w:rsid w:val="00291229"/>
    <w:rsid w:val="00291500"/>
    <w:rsid w:val="0029150D"/>
    <w:rsid w:val="0029155E"/>
    <w:rsid w:val="002916E0"/>
    <w:rsid w:val="002918D6"/>
    <w:rsid w:val="00291908"/>
    <w:rsid w:val="00291A70"/>
    <w:rsid w:val="00291AB1"/>
    <w:rsid w:val="00291D0B"/>
    <w:rsid w:val="002923FA"/>
    <w:rsid w:val="0029251F"/>
    <w:rsid w:val="0029281F"/>
    <w:rsid w:val="002929B7"/>
    <w:rsid w:val="00292AC7"/>
    <w:rsid w:val="00292AFC"/>
    <w:rsid w:val="00292D6B"/>
    <w:rsid w:val="00292E26"/>
    <w:rsid w:val="002931E3"/>
    <w:rsid w:val="00293274"/>
    <w:rsid w:val="00293321"/>
    <w:rsid w:val="002933F6"/>
    <w:rsid w:val="00293431"/>
    <w:rsid w:val="002935EC"/>
    <w:rsid w:val="0029360E"/>
    <w:rsid w:val="00293626"/>
    <w:rsid w:val="002936B0"/>
    <w:rsid w:val="002936DF"/>
    <w:rsid w:val="0029383A"/>
    <w:rsid w:val="00293873"/>
    <w:rsid w:val="0029397B"/>
    <w:rsid w:val="002939F2"/>
    <w:rsid w:val="00293A18"/>
    <w:rsid w:val="00293A56"/>
    <w:rsid w:val="00293A5A"/>
    <w:rsid w:val="00293BD3"/>
    <w:rsid w:val="00293CF1"/>
    <w:rsid w:val="00293E88"/>
    <w:rsid w:val="00293EC3"/>
    <w:rsid w:val="0029400E"/>
    <w:rsid w:val="00294069"/>
    <w:rsid w:val="00294728"/>
    <w:rsid w:val="002947D4"/>
    <w:rsid w:val="00294A49"/>
    <w:rsid w:val="00294A8C"/>
    <w:rsid w:val="00294AC4"/>
    <w:rsid w:val="00294C96"/>
    <w:rsid w:val="00294D19"/>
    <w:rsid w:val="00294ED6"/>
    <w:rsid w:val="00294FF1"/>
    <w:rsid w:val="0029501F"/>
    <w:rsid w:val="002952A3"/>
    <w:rsid w:val="00295478"/>
    <w:rsid w:val="00295638"/>
    <w:rsid w:val="00295669"/>
    <w:rsid w:val="00295794"/>
    <w:rsid w:val="002957E8"/>
    <w:rsid w:val="002957EE"/>
    <w:rsid w:val="0029597F"/>
    <w:rsid w:val="00295980"/>
    <w:rsid w:val="00295BD2"/>
    <w:rsid w:val="00295D18"/>
    <w:rsid w:val="00295D3E"/>
    <w:rsid w:val="00296040"/>
    <w:rsid w:val="002961BB"/>
    <w:rsid w:val="0029632D"/>
    <w:rsid w:val="00296373"/>
    <w:rsid w:val="0029647F"/>
    <w:rsid w:val="002965AD"/>
    <w:rsid w:val="002965B3"/>
    <w:rsid w:val="002965FC"/>
    <w:rsid w:val="002968DB"/>
    <w:rsid w:val="00296938"/>
    <w:rsid w:val="002969DA"/>
    <w:rsid w:val="00296CDC"/>
    <w:rsid w:val="00296EDD"/>
    <w:rsid w:val="00296F66"/>
    <w:rsid w:val="00297196"/>
    <w:rsid w:val="00297251"/>
    <w:rsid w:val="00297672"/>
    <w:rsid w:val="00297D50"/>
    <w:rsid w:val="00297F51"/>
    <w:rsid w:val="002A024D"/>
    <w:rsid w:val="002A0473"/>
    <w:rsid w:val="002A0498"/>
    <w:rsid w:val="002A0693"/>
    <w:rsid w:val="002A0723"/>
    <w:rsid w:val="002A0912"/>
    <w:rsid w:val="002A09EC"/>
    <w:rsid w:val="002A0A87"/>
    <w:rsid w:val="002A0AF8"/>
    <w:rsid w:val="002A0BDC"/>
    <w:rsid w:val="002A0C22"/>
    <w:rsid w:val="002A0FBA"/>
    <w:rsid w:val="002A1127"/>
    <w:rsid w:val="002A127E"/>
    <w:rsid w:val="002A14A7"/>
    <w:rsid w:val="002A14AC"/>
    <w:rsid w:val="002A15A0"/>
    <w:rsid w:val="002A168C"/>
    <w:rsid w:val="002A1720"/>
    <w:rsid w:val="002A1865"/>
    <w:rsid w:val="002A18E8"/>
    <w:rsid w:val="002A1963"/>
    <w:rsid w:val="002A19AB"/>
    <w:rsid w:val="002A1C9F"/>
    <w:rsid w:val="002A1E9D"/>
    <w:rsid w:val="002A1FFB"/>
    <w:rsid w:val="002A2128"/>
    <w:rsid w:val="002A23BD"/>
    <w:rsid w:val="002A24BE"/>
    <w:rsid w:val="002A2514"/>
    <w:rsid w:val="002A257F"/>
    <w:rsid w:val="002A26D7"/>
    <w:rsid w:val="002A28B9"/>
    <w:rsid w:val="002A2B58"/>
    <w:rsid w:val="002A2BED"/>
    <w:rsid w:val="002A2CF6"/>
    <w:rsid w:val="002A2D33"/>
    <w:rsid w:val="002A2D68"/>
    <w:rsid w:val="002A2E24"/>
    <w:rsid w:val="002A2E2E"/>
    <w:rsid w:val="002A2E6C"/>
    <w:rsid w:val="002A2F08"/>
    <w:rsid w:val="002A2F56"/>
    <w:rsid w:val="002A314C"/>
    <w:rsid w:val="002A3496"/>
    <w:rsid w:val="002A375C"/>
    <w:rsid w:val="002A37F9"/>
    <w:rsid w:val="002A3867"/>
    <w:rsid w:val="002A389E"/>
    <w:rsid w:val="002A3C86"/>
    <w:rsid w:val="002A3E51"/>
    <w:rsid w:val="002A3E67"/>
    <w:rsid w:val="002A3F09"/>
    <w:rsid w:val="002A3FCB"/>
    <w:rsid w:val="002A4057"/>
    <w:rsid w:val="002A45B1"/>
    <w:rsid w:val="002A468D"/>
    <w:rsid w:val="002A47DC"/>
    <w:rsid w:val="002A47DF"/>
    <w:rsid w:val="002A4A65"/>
    <w:rsid w:val="002A4B60"/>
    <w:rsid w:val="002A4BAE"/>
    <w:rsid w:val="002A4C01"/>
    <w:rsid w:val="002A4D01"/>
    <w:rsid w:val="002A4D6E"/>
    <w:rsid w:val="002A4DBE"/>
    <w:rsid w:val="002A4DC8"/>
    <w:rsid w:val="002A4E67"/>
    <w:rsid w:val="002A4E7E"/>
    <w:rsid w:val="002A4E82"/>
    <w:rsid w:val="002A4FC0"/>
    <w:rsid w:val="002A570C"/>
    <w:rsid w:val="002A5924"/>
    <w:rsid w:val="002A5A9E"/>
    <w:rsid w:val="002A5C86"/>
    <w:rsid w:val="002A6612"/>
    <w:rsid w:val="002A664C"/>
    <w:rsid w:val="002A6763"/>
    <w:rsid w:val="002A69C9"/>
    <w:rsid w:val="002A6B82"/>
    <w:rsid w:val="002A6CF3"/>
    <w:rsid w:val="002A6E50"/>
    <w:rsid w:val="002A6FB8"/>
    <w:rsid w:val="002A7075"/>
    <w:rsid w:val="002A70E1"/>
    <w:rsid w:val="002A720C"/>
    <w:rsid w:val="002A7363"/>
    <w:rsid w:val="002A73B1"/>
    <w:rsid w:val="002A74C6"/>
    <w:rsid w:val="002A7547"/>
    <w:rsid w:val="002A7587"/>
    <w:rsid w:val="002A766F"/>
    <w:rsid w:val="002A78EB"/>
    <w:rsid w:val="002A79D9"/>
    <w:rsid w:val="002A7B67"/>
    <w:rsid w:val="002A7B73"/>
    <w:rsid w:val="002A7BD1"/>
    <w:rsid w:val="002A7CB1"/>
    <w:rsid w:val="002A7E43"/>
    <w:rsid w:val="002B0064"/>
    <w:rsid w:val="002B0110"/>
    <w:rsid w:val="002B0122"/>
    <w:rsid w:val="002B01F7"/>
    <w:rsid w:val="002B0526"/>
    <w:rsid w:val="002B054D"/>
    <w:rsid w:val="002B06C3"/>
    <w:rsid w:val="002B0786"/>
    <w:rsid w:val="002B07E3"/>
    <w:rsid w:val="002B0833"/>
    <w:rsid w:val="002B0883"/>
    <w:rsid w:val="002B0991"/>
    <w:rsid w:val="002B0ABA"/>
    <w:rsid w:val="002B0E78"/>
    <w:rsid w:val="002B1020"/>
    <w:rsid w:val="002B11A6"/>
    <w:rsid w:val="002B11C7"/>
    <w:rsid w:val="002B11E2"/>
    <w:rsid w:val="002B12ED"/>
    <w:rsid w:val="002B137A"/>
    <w:rsid w:val="002B151D"/>
    <w:rsid w:val="002B1706"/>
    <w:rsid w:val="002B1714"/>
    <w:rsid w:val="002B17C1"/>
    <w:rsid w:val="002B1856"/>
    <w:rsid w:val="002B18A7"/>
    <w:rsid w:val="002B1ABE"/>
    <w:rsid w:val="002B1C50"/>
    <w:rsid w:val="002B1C56"/>
    <w:rsid w:val="002B21A6"/>
    <w:rsid w:val="002B21C9"/>
    <w:rsid w:val="002B2281"/>
    <w:rsid w:val="002B22E3"/>
    <w:rsid w:val="002B2910"/>
    <w:rsid w:val="002B2993"/>
    <w:rsid w:val="002B2A09"/>
    <w:rsid w:val="002B2A8E"/>
    <w:rsid w:val="002B3422"/>
    <w:rsid w:val="002B356F"/>
    <w:rsid w:val="002B38EE"/>
    <w:rsid w:val="002B3909"/>
    <w:rsid w:val="002B3AB5"/>
    <w:rsid w:val="002B3D72"/>
    <w:rsid w:val="002B4061"/>
    <w:rsid w:val="002B40C4"/>
    <w:rsid w:val="002B40D5"/>
    <w:rsid w:val="002B428D"/>
    <w:rsid w:val="002B44EE"/>
    <w:rsid w:val="002B48D8"/>
    <w:rsid w:val="002B4A7E"/>
    <w:rsid w:val="002B4B8C"/>
    <w:rsid w:val="002B4E6E"/>
    <w:rsid w:val="002B4F36"/>
    <w:rsid w:val="002B51F2"/>
    <w:rsid w:val="002B5248"/>
    <w:rsid w:val="002B55F1"/>
    <w:rsid w:val="002B5615"/>
    <w:rsid w:val="002B563E"/>
    <w:rsid w:val="002B5944"/>
    <w:rsid w:val="002B5999"/>
    <w:rsid w:val="002B5AA5"/>
    <w:rsid w:val="002B5BC6"/>
    <w:rsid w:val="002B5D45"/>
    <w:rsid w:val="002B5DDA"/>
    <w:rsid w:val="002B613B"/>
    <w:rsid w:val="002B641E"/>
    <w:rsid w:val="002B6424"/>
    <w:rsid w:val="002B6766"/>
    <w:rsid w:val="002B67A9"/>
    <w:rsid w:val="002B67BD"/>
    <w:rsid w:val="002B67FB"/>
    <w:rsid w:val="002B6A8B"/>
    <w:rsid w:val="002B6C30"/>
    <w:rsid w:val="002B6C67"/>
    <w:rsid w:val="002B6DE4"/>
    <w:rsid w:val="002B6DF5"/>
    <w:rsid w:val="002B6E5B"/>
    <w:rsid w:val="002B7009"/>
    <w:rsid w:val="002B7139"/>
    <w:rsid w:val="002B7444"/>
    <w:rsid w:val="002B7714"/>
    <w:rsid w:val="002B7800"/>
    <w:rsid w:val="002B78C1"/>
    <w:rsid w:val="002B79D8"/>
    <w:rsid w:val="002B7C0F"/>
    <w:rsid w:val="002B7D61"/>
    <w:rsid w:val="002C0421"/>
    <w:rsid w:val="002C044E"/>
    <w:rsid w:val="002C0582"/>
    <w:rsid w:val="002C058C"/>
    <w:rsid w:val="002C062A"/>
    <w:rsid w:val="002C066F"/>
    <w:rsid w:val="002C0674"/>
    <w:rsid w:val="002C08CC"/>
    <w:rsid w:val="002C0961"/>
    <w:rsid w:val="002C0C31"/>
    <w:rsid w:val="002C0C39"/>
    <w:rsid w:val="002C0C59"/>
    <w:rsid w:val="002C0C61"/>
    <w:rsid w:val="002C0E18"/>
    <w:rsid w:val="002C1071"/>
    <w:rsid w:val="002C107A"/>
    <w:rsid w:val="002C1164"/>
    <w:rsid w:val="002C12E8"/>
    <w:rsid w:val="002C1359"/>
    <w:rsid w:val="002C14E2"/>
    <w:rsid w:val="002C153E"/>
    <w:rsid w:val="002C1586"/>
    <w:rsid w:val="002C1605"/>
    <w:rsid w:val="002C160B"/>
    <w:rsid w:val="002C1668"/>
    <w:rsid w:val="002C16C1"/>
    <w:rsid w:val="002C1851"/>
    <w:rsid w:val="002C1A3A"/>
    <w:rsid w:val="002C1B5D"/>
    <w:rsid w:val="002C1DD4"/>
    <w:rsid w:val="002C1F50"/>
    <w:rsid w:val="002C1F8A"/>
    <w:rsid w:val="002C20E0"/>
    <w:rsid w:val="002C20E9"/>
    <w:rsid w:val="002C218B"/>
    <w:rsid w:val="002C25C1"/>
    <w:rsid w:val="002C25E7"/>
    <w:rsid w:val="002C27F8"/>
    <w:rsid w:val="002C2BBF"/>
    <w:rsid w:val="002C2E0B"/>
    <w:rsid w:val="002C3464"/>
    <w:rsid w:val="002C348B"/>
    <w:rsid w:val="002C3644"/>
    <w:rsid w:val="002C37ED"/>
    <w:rsid w:val="002C37F7"/>
    <w:rsid w:val="002C391D"/>
    <w:rsid w:val="002C3A9F"/>
    <w:rsid w:val="002C3B9B"/>
    <w:rsid w:val="002C3BE7"/>
    <w:rsid w:val="002C3BF0"/>
    <w:rsid w:val="002C3BFA"/>
    <w:rsid w:val="002C3CF0"/>
    <w:rsid w:val="002C3E7E"/>
    <w:rsid w:val="002C40F0"/>
    <w:rsid w:val="002C45B7"/>
    <w:rsid w:val="002C4682"/>
    <w:rsid w:val="002C47C6"/>
    <w:rsid w:val="002C47D2"/>
    <w:rsid w:val="002C49E7"/>
    <w:rsid w:val="002C53CA"/>
    <w:rsid w:val="002C5696"/>
    <w:rsid w:val="002C56B1"/>
    <w:rsid w:val="002C578F"/>
    <w:rsid w:val="002C5812"/>
    <w:rsid w:val="002C59CA"/>
    <w:rsid w:val="002C5BB3"/>
    <w:rsid w:val="002C5CE5"/>
    <w:rsid w:val="002C5F8F"/>
    <w:rsid w:val="002C605E"/>
    <w:rsid w:val="002C62BE"/>
    <w:rsid w:val="002C660D"/>
    <w:rsid w:val="002C68B5"/>
    <w:rsid w:val="002C6982"/>
    <w:rsid w:val="002C69A1"/>
    <w:rsid w:val="002C6A75"/>
    <w:rsid w:val="002C6C2D"/>
    <w:rsid w:val="002C6D9D"/>
    <w:rsid w:val="002C6F15"/>
    <w:rsid w:val="002C6FC0"/>
    <w:rsid w:val="002C709E"/>
    <w:rsid w:val="002C7132"/>
    <w:rsid w:val="002C72EB"/>
    <w:rsid w:val="002C739A"/>
    <w:rsid w:val="002C79A6"/>
    <w:rsid w:val="002D00AF"/>
    <w:rsid w:val="002D035B"/>
    <w:rsid w:val="002D0384"/>
    <w:rsid w:val="002D059C"/>
    <w:rsid w:val="002D0761"/>
    <w:rsid w:val="002D0988"/>
    <w:rsid w:val="002D0B69"/>
    <w:rsid w:val="002D0BD3"/>
    <w:rsid w:val="002D0CE2"/>
    <w:rsid w:val="002D0D14"/>
    <w:rsid w:val="002D0E94"/>
    <w:rsid w:val="002D0F18"/>
    <w:rsid w:val="002D10AC"/>
    <w:rsid w:val="002D1258"/>
    <w:rsid w:val="002D1267"/>
    <w:rsid w:val="002D12D8"/>
    <w:rsid w:val="002D1418"/>
    <w:rsid w:val="002D1467"/>
    <w:rsid w:val="002D18F1"/>
    <w:rsid w:val="002D1963"/>
    <w:rsid w:val="002D1F55"/>
    <w:rsid w:val="002D1F98"/>
    <w:rsid w:val="002D1FD7"/>
    <w:rsid w:val="002D204B"/>
    <w:rsid w:val="002D21AA"/>
    <w:rsid w:val="002D23E5"/>
    <w:rsid w:val="002D24A0"/>
    <w:rsid w:val="002D2755"/>
    <w:rsid w:val="002D28F5"/>
    <w:rsid w:val="002D2A69"/>
    <w:rsid w:val="002D2B75"/>
    <w:rsid w:val="002D2D4F"/>
    <w:rsid w:val="002D3280"/>
    <w:rsid w:val="002D3362"/>
    <w:rsid w:val="002D3617"/>
    <w:rsid w:val="002D3B88"/>
    <w:rsid w:val="002D3C8E"/>
    <w:rsid w:val="002D3E58"/>
    <w:rsid w:val="002D3EAC"/>
    <w:rsid w:val="002D4179"/>
    <w:rsid w:val="002D4224"/>
    <w:rsid w:val="002D4411"/>
    <w:rsid w:val="002D45BD"/>
    <w:rsid w:val="002D461B"/>
    <w:rsid w:val="002D46D3"/>
    <w:rsid w:val="002D479D"/>
    <w:rsid w:val="002D47D6"/>
    <w:rsid w:val="002D487F"/>
    <w:rsid w:val="002D48BD"/>
    <w:rsid w:val="002D48EA"/>
    <w:rsid w:val="002D4DAF"/>
    <w:rsid w:val="002D509D"/>
    <w:rsid w:val="002D52D6"/>
    <w:rsid w:val="002D538E"/>
    <w:rsid w:val="002D54F2"/>
    <w:rsid w:val="002D5631"/>
    <w:rsid w:val="002D568E"/>
    <w:rsid w:val="002D5836"/>
    <w:rsid w:val="002D5862"/>
    <w:rsid w:val="002D5878"/>
    <w:rsid w:val="002D59B8"/>
    <w:rsid w:val="002D5ABC"/>
    <w:rsid w:val="002D5B7F"/>
    <w:rsid w:val="002D613F"/>
    <w:rsid w:val="002D6323"/>
    <w:rsid w:val="002D6327"/>
    <w:rsid w:val="002D6462"/>
    <w:rsid w:val="002D6708"/>
    <w:rsid w:val="002D677A"/>
    <w:rsid w:val="002D6797"/>
    <w:rsid w:val="002D67C4"/>
    <w:rsid w:val="002D6939"/>
    <w:rsid w:val="002D697E"/>
    <w:rsid w:val="002D6BCE"/>
    <w:rsid w:val="002D6C6B"/>
    <w:rsid w:val="002D6D31"/>
    <w:rsid w:val="002D6E10"/>
    <w:rsid w:val="002D6EB1"/>
    <w:rsid w:val="002D6F40"/>
    <w:rsid w:val="002D6F8E"/>
    <w:rsid w:val="002D6FA6"/>
    <w:rsid w:val="002D6FD0"/>
    <w:rsid w:val="002D71C4"/>
    <w:rsid w:val="002D75B9"/>
    <w:rsid w:val="002D7641"/>
    <w:rsid w:val="002D76CA"/>
    <w:rsid w:val="002D7760"/>
    <w:rsid w:val="002D779A"/>
    <w:rsid w:val="002D7DAF"/>
    <w:rsid w:val="002D7DD0"/>
    <w:rsid w:val="002D7E93"/>
    <w:rsid w:val="002D7F44"/>
    <w:rsid w:val="002E00B4"/>
    <w:rsid w:val="002E04AB"/>
    <w:rsid w:val="002E06BB"/>
    <w:rsid w:val="002E071E"/>
    <w:rsid w:val="002E09A3"/>
    <w:rsid w:val="002E09C0"/>
    <w:rsid w:val="002E0B31"/>
    <w:rsid w:val="002E0B58"/>
    <w:rsid w:val="002E0DD2"/>
    <w:rsid w:val="002E104E"/>
    <w:rsid w:val="002E106D"/>
    <w:rsid w:val="002E12F7"/>
    <w:rsid w:val="002E1321"/>
    <w:rsid w:val="002E13D3"/>
    <w:rsid w:val="002E15C2"/>
    <w:rsid w:val="002E1B27"/>
    <w:rsid w:val="002E1BFF"/>
    <w:rsid w:val="002E1DB3"/>
    <w:rsid w:val="002E2055"/>
    <w:rsid w:val="002E25F9"/>
    <w:rsid w:val="002E261D"/>
    <w:rsid w:val="002E277D"/>
    <w:rsid w:val="002E27FB"/>
    <w:rsid w:val="002E299D"/>
    <w:rsid w:val="002E2B58"/>
    <w:rsid w:val="002E2B8D"/>
    <w:rsid w:val="002E3168"/>
    <w:rsid w:val="002E32BB"/>
    <w:rsid w:val="002E32D7"/>
    <w:rsid w:val="002E3657"/>
    <w:rsid w:val="002E3686"/>
    <w:rsid w:val="002E3867"/>
    <w:rsid w:val="002E3947"/>
    <w:rsid w:val="002E3A4D"/>
    <w:rsid w:val="002E3B4B"/>
    <w:rsid w:val="002E3B8F"/>
    <w:rsid w:val="002E3D39"/>
    <w:rsid w:val="002E41BA"/>
    <w:rsid w:val="002E456B"/>
    <w:rsid w:val="002E4694"/>
    <w:rsid w:val="002E49EE"/>
    <w:rsid w:val="002E4A49"/>
    <w:rsid w:val="002E4A5F"/>
    <w:rsid w:val="002E4A91"/>
    <w:rsid w:val="002E4B3C"/>
    <w:rsid w:val="002E4EB8"/>
    <w:rsid w:val="002E4F70"/>
    <w:rsid w:val="002E4F81"/>
    <w:rsid w:val="002E51D6"/>
    <w:rsid w:val="002E528A"/>
    <w:rsid w:val="002E560A"/>
    <w:rsid w:val="002E5822"/>
    <w:rsid w:val="002E58C2"/>
    <w:rsid w:val="002E5976"/>
    <w:rsid w:val="002E5B42"/>
    <w:rsid w:val="002E5CA0"/>
    <w:rsid w:val="002E5EEA"/>
    <w:rsid w:val="002E6602"/>
    <w:rsid w:val="002E6695"/>
    <w:rsid w:val="002E68F6"/>
    <w:rsid w:val="002E6910"/>
    <w:rsid w:val="002E69F8"/>
    <w:rsid w:val="002E6C5E"/>
    <w:rsid w:val="002E6E37"/>
    <w:rsid w:val="002E701F"/>
    <w:rsid w:val="002E70A6"/>
    <w:rsid w:val="002E717F"/>
    <w:rsid w:val="002E71D8"/>
    <w:rsid w:val="002E7283"/>
    <w:rsid w:val="002E72BC"/>
    <w:rsid w:val="002E7366"/>
    <w:rsid w:val="002E762A"/>
    <w:rsid w:val="002E79C4"/>
    <w:rsid w:val="002E7B3F"/>
    <w:rsid w:val="002E7BE9"/>
    <w:rsid w:val="002E7D7E"/>
    <w:rsid w:val="002E7DBB"/>
    <w:rsid w:val="002E7FCE"/>
    <w:rsid w:val="002F039B"/>
    <w:rsid w:val="002F0675"/>
    <w:rsid w:val="002F067F"/>
    <w:rsid w:val="002F07A0"/>
    <w:rsid w:val="002F07F8"/>
    <w:rsid w:val="002F0AC4"/>
    <w:rsid w:val="002F0CF4"/>
    <w:rsid w:val="002F0F4A"/>
    <w:rsid w:val="002F106E"/>
    <w:rsid w:val="002F126E"/>
    <w:rsid w:val="002F16A1"/>
    <w:rsid w:val="002F179D"/>
    <w:rsid w:val="002F186E"/>
    <w:rsid w:val="002F1A31"/>
    <w:rsid w:val="002F1B3F"/>
    <w:rsid w:val="002F1C3F"/>
    <w:rsid w:val="002F1E28"/>
    <w:rsid w:val="002F1E75"/>
    <w:rsid w:val="002F214F"/>
    <w:rsid w:val="002F217D"/>
    <w:rsid w:val="002F2408"/>
    <w:rsid w:val="002F253C"/>
    <w:rsid w:val="002F2549"/>
    <w:rsid w:val="002F270C"/>
    <w:rsid w:val="002F27D1"/>
    <w:rsid w:val="002F2914"/>
    <w:rsid w:val="002F2A1E"/>
    <w:rsid w:val="002F2B2D"/>
    <w:rsid w:val="002F2B61"/>
    <w:rsid w:val="002F2D6E"/>
    <w:rsid w:val="002F2D89"/>
    <w:rsid w:val="002F2FB2"/>
    <w:rsid w:val="002F3414"/>
    <w:rsid w:val="002F3416"/>
    <w:rsid w:val="002F35D4"/>
    <w:rsid w:val="002F36D4"/>
    <w:rsid w:val="002F38D5"/>
    <w:rsid w:val="002F3972"/>
    <w:rsid w:val="002F39CB"/>
    <w:rsid w:val="002F3A76"/>
    <w:rsid w:val="002F3BD8"/>
    <w:rsid w:val="002F3FF8"/>
    <w:rsid w:val="002F408C"/>
    <w:rsid w:val="002F4293"/>
    <w:rsid w:val="002F4367"/>
    <w:rsid w:val="002F43B2"/>
    <w:rsid w:val="002F4476"/>
    <w:rsid w:val="002F44BB"/>
    <w:rsid w:val="002F44E1"/>
    <w:rsid w:val="002F4534"/>
    <w:rsid w:val="002F4873"/>
    <w:rsid w:val="002F489D"/>
    <w:rsid w:val="002F48BA"/>
    <w:rsid w:val="002F492E"/>
    <w:rsid w:val="002F4C11"/>
    <w:rsid w:val="002F4CCA"/>
    <w:rsid w:val="002F4D00"/>
    <w:rsid w:val="002F4D6B"/>
    <w:rsid w:val="002F535B"/>
    <w:rsid w:val="002F5506"/>
    <w:rsid w:val="002F570E"/>
    <w:rsid w:val="002F573E"/>
    <w:rsid w:val="002F57B9"/>
    <w:rsid w:val="002F586A"/>
    <w:rsid w:val="002F5AFD"/>
    <w:rsid w:val="002F5BAB"/>
    <w:rsid w:val="002F5BF2"/>
    <w:rsid w:val="002F5ECF"/>
    <w:rsid w:val="002F60DE"/>
    <w:rsid w:val="002F6150"/>
    <w:rsid w:val="002F6171"/>
    <w:rsid w:val="002F63A1"/>
    <w:rsid w:val="002F63CC"/>
    <w:rsid w:val="002F67AC"/>
    <w:rsid w:val="002F6825"/>
    <w:rsid w:val="002F6979"/>
    <w:rsid w:val="002F6C5C"/>
    <w:rsid w:val="002F6D8D"/>
    <w:rsid w:val="002F6ED3"/>
    <w:rsid w:val="002F6F27"/>
    <w:rsid w:val="002F7165"/>
    <w:rsid w:val="002F727F"/>
    <w:rsid w:val="002F754E"/>
    <w:rsid w:val="002F7CCC"/>
    <w:rsid w:val="002F7D8E"/>
    <w:rsid w:val="002F7E6F"/>
    <w:rsid w:val="002F7F9D"/>
    <w:rsid w:val="00300066"/>
    <w:rsid w:val="003000AA"/>
    <w:rsid w:val="003000C5"/>
    <w:rsid w:val="003002A7"/>
    <w:rsid w:val="003005FE"/>
    <w:rsid w:val="0030084F"/>
    <w:rsid w:val="00300858"/>
    <w:rsid w:val="00300A13"/>
    <w:rsid w:val="00300B4A"/>
    <w:rsid w:val="00300DC5"/>
    <w:rsid w:val="00300DD2"/>
    <w:rsid w:val="00300EF8"/>
    <w:rsid w:val="00300FA4"/>
    <w:rsid w:val="003010AB"/>
    <w:rsid w:val="003011AC"/>
    <w:rsid w:val="003011BC"/>
    <w:rsid w:val="003011CC"/>
    <w:rsid w:val="0030130E"/>
    <w:rsid w:val="00301314"/>
    <w:rsid w:val="00301359"/>
    <w:rsid w:val="0030150A"/>
    <w:rsid w:val="0030195E"/>
    <w:rsid w:val="003019C6"/>
    <w:rsid w:val="00301E53"/>
    <w:rsid w:val="00301E84"/>
    <w:rsid w:val="00301F63"/>
    <w:rsid w:val="00301F92"/>
    <w:rsid w:val="0030209F"/>
    <w:rsid w:val="00302147"/>
    <w:rsid w:val="00302152"/>
    <w:rsid w:val="003021B7"/>
    <w:rsid w:val="003022D4"/>
    <w:rsid w:val="00302535"/>
    <w:rsid w:val="00302685"/>
    <w:rsid w:val="00302BA4"/>
    <w:rsid w:val="00302CAF"/>
    <w:rsid w:val="00302D09"/>
    <w:rsid w:val="00302E39"/>
    <w:rsid w:val="00303047"/>
    <w:rsid w:val="003030D7"/>
    <w:rsid w:val="00303236"/>
    <w:rsid w:val="003033FB"/>
    <w:rsid w:val="0030348B"/>
    <w:rsid w:val="00303514"/>
    <w:rsid w:val="003035A4"/>
    <w:rsid w:val="00303608"/>
    <w:rsid w:val="003036B8"/>
    <w:rsid w:val="00303A30"/>
    <w:rsid w:val="00303A56"/>
    <w:rsid w:val="00303B60"/>
    <w:rsid w:val="00303B8A"/>
    <w:rsid w:val="00303D74"/>
    <w:rsid w:val="00303D7A"/>
    <w:rsid w:val="00303DE6"/>
    <w:rsid w:val="00303FB0"/>
    <w:rsid w:val="003040D7"/>
    <w:rsid w:val="00304222"/>
    <w:rsid w:val="0030422B"/>
    <w:rsid w:val="00304485"/>
    <w:rsid w:val="003044AB"/>
    <w:rsid w:val="003045FA"/>
    <w:rsid w:val="0030466A"/>
    <w:rsid w:val="003046EB"/>
    <w:rsid w:val="00304C42"/>
    <w:rsid w:val="00304D18"/>
    <w:rsid w:val="00304FD9"/>
    <w:rsid w:val="00305007"/>
    <w:rsid w:val="0030519C"/>
    <w:rsid w:val="0030531E"/>
    <w:rsid w:val="0030548D"/>
    <w:rsid w:val="003054CC"/>
    <w:rsid w:val="00305770"/>
    <w:rsid w:val="00305AD8"/>
    <w:rsid w:val="00305BD0"/>
    <w:rsid w:val="00305CBA"/>
    <w:rsid w:val="00305DCE"/>
    <w:rsid w:val="00305F1C"/>
    <w:rsid w:val="00305F40"/>
    <w:rsid w:val="00306028"/>
    <w:rsid w:val="003060FE"/>
    <w:rsid w:val="003061F0"/>
    <w:rsid w:val="00306384"/>
    <w:rsid w:val="00306526"/>
    <w:rsid w:val="0030652F"/>
    <w:rsid w:val="003068A8"/>
    <w:rsid w:val="00306A10"/>
    <w:rsid w:val="00306B02"/>
    <w:rsid w:val="00306E62"/>
    <w:rsid w:val="00307267"/>
    <w:rsid w:val="003072A5"/>
    <w:rsid w:val="003075B7"/>
    <w:rsid w:val="003075DA"/>
    <w:rsid w:val="00307672"/>
    <w:rsid w:val="003076BD"/>
    <w:rsid w:val="003076C9"/>
    <w:rsid w:val="003077FE"/>
    <w:rsid w:val="003078CE"/>
    <w:rsid w:val="0030790F"/>
    <w:rsid w:val="00307BC8"/>
    <w:rsid w:val="00307D76"/>
    <w:rsid w:val="00307EE3"/>
    <w:rsid w:val="00307F6A"/>
    <w:rsid w:val="0031006A"/>
    <w:rsid w:val="003100C2"/>
    <w:rsid w:val="003100C4"/>
    <w:rsid w:val="0031012F"/>
    <w:rsid w:val="00310179"/>
    <w:rsid w:val="00310529"/>
    <w:rsid w:val="003107DD"/>
    <w:rsid w:val="003109E1"/>
    <w:rsid w:val="00310A0F"/>
    <w:rsid w:val="00310BD4"/>
    <w:rsid w:val="00310D74"/>
    <w:rsid w:val="00310EAD"/>
    <w:rsid w:val="00310ECD"/>
    <w:rsid w:val="00310F55"/>
    <w:rsid w:val="00311067"/>
    <w:rsid w:val="0031114C"/>
    <w:rsid w:val="00311164"/>
    <w:rsid w:val="003112C0"/>
    <w:rsid w:val="003115D6"/>
    <w:rsid w:val="00311618"/>
    <w:rsid w:val="00311E88"/>
    <w:rsid w:val="00311FCC"/>
    <w:rsid w:val="00311FF9"/>
    <w:rsid w:val="00312017"/>
    <w:rsid w:val="00312191"/>
    <w:rsid w:val="0031219B"/>
    <w:rsid w:val="0031276D"/>
    <w:rsid w:val="003128B8"/>
    <w:rsid w:val="003128FA"/>
    <w:rsid w:val="00312930"/>
    <w:rsid w:val="0031293A"/>
    <w:rsid w:val="00312961"/>
    <w:rsid w:val="00312A73"/>
    <w:rsid w:val="00312D25"/>
    <w:rsid w:val="0031302A"/>
    <w:rsid w:val="003131DE"/>
    <w:rsid w:val="00313413"/>
    <w:rsid w:val="003134B6"/>
    <w:rsid w:val="00313648"/>
    <w:rsid w:val="00313653"/>
    <w:rsid w:val="003136A0"/>
    <w:rsid w:val="0031384F"/>
    <w:rsid w:val="0031398E"/>
    <w:rsid w:val="003139D8"/>
    <w:rsid w:val="00313A98"/>
    <w:rsid w:val="00313C4F"/>
    <w:rsid w:val="00313C72"/>
    <w:rsid w:val="00313D51"/>
    <w:rsid w:val="00313F28"/>
    <w:rsid w:val="00314217"/>
    <w:rsid w:val="00314608"/>
    <w:rsid w:val="003146C9"/>
    <w:rsid w:val="003146D1"/>
    <w:rsid w:val="0031478D"/>
    <w:rsid w:val="00314B9E"/>
    <w:rsid w:val="00314CB6"/>
    <w:rsid w:val="00314D4F"/>
    <w:rsid w:val="00314DB6"/>
    <w:rsid w:val="00314E36"/>
    <w:rsid w:val="00314E4E"/>
    <w:rsid w:val="00314E53"/>
    <w:rsid w:val="00314EEF"/>
    <w:rsid w:val="00314FBA"/>
    <w:rsid w:val="00314FF9"/>
    <w:rsid w:val="0031536F"/>
    <w:rsid w:val="00315456"/>
    <w:rsid w:val="003156E6"/>
    <w:rsid w:val="0031581B"/>
    <w:rsid w:val="0031597C"/>
    <w:rsid w:val="00315B1D"/>
    <w:rsid w:val="00315B43"/>
    <w:rsid w:val="00315E77"/>
    <w:rsid w:val="0031604A"/>
    <w:rsid w:val="0031610F"/>
    <w:rsid w:val="003163BF"/>
    <w:rsid w:val="0031645F"/>
    <w:rsid w:val="003165E4"/>
    <w:rsid w:val="0031688E"/>
    <w:rsid w:val="0031689F"/>
    <w:rsid w:val="003168B8"/>
    <w:rsid w:val="00316926"/>
    <w:rsid w:val="00316D02"/>
    <w:rsid w:val="00316F16"/>
    <w:rsid w:val="0031709D"/>
    <w:rsid w:val="00317191"/>
    <w:rsid w:val="00317261"/>
    <w:rsid w:val="00317353"/>
    <w:rsid w:val="00317388"/>
    <w:rsid w:val="003174E0"/>
    <w:rsid w:val="003174EE"/>
    <w:rsid w:val="003175FA"/>
    <w:rsid w:val="00317696"/>
    <w:rsid w:val="0031778A"/>
    <w:rsid w:val="003177A2"/>
    <w:rsid w:val="0031787D"/>
    <w:rsid w:val="00317A47"/>
    <w:rsid w:val="00317A54"/>
    <w:rsid w:val="00317BC9"/>
    <w:rsid w:val="00317BE3"/>
    <w:rsid w:val="00317C03"/>
    <w:rsid w:val="00317D23"/>
    <w:rsid w:val="00317D76"/>
    <w:rsid w:val="0031F9CD"/>
    <w:rsid w:val="0032002A"/>
    <w:rsid w:val="00320144"/>
    <w:rsid w:val="003201C9"/>
    <w:rsid w:val="00320221"/>
    <w:rsid w:val="003203E6"/>
    <w:rsid w:val="0032043A"/>
    <w:rsid w:val="00320626"/>
    <w:rsid w:val="00320A79"/>
    <w:rsid w:val="00320B17"/>
    <w:rsid w:val="00320CDA"/>
    <w:rsid w:val="00320E25"/>
    <w:rsid w:val="00320E5E"/>
    <w:rsid w:val="00320EDF"/>
    <w:rsid w:val="00320F10"/>
    <w:rsid w:val="003211BA"/>
    <w:rsid w:val="003215EE"/>
    <w:rsid w:val="00321611"/>
    <w:rsid w:val="003216AE"/>
    <w:rsid w:val="003217A2"/>
    <w:rsid w:val="00321826"/>
    <w:rsid w:val="003218E1"/>
    <w:rsid w:val="00321962"/>
    <w:rsid w:val="00321A93"/>
    <w:rsid w:val="00321C13"/>
    <w:rsid w:val="00321C57"/>
    <w:rsid w:val="00321C9D"/>
    <w:rsid w:val="00321FF3"/>
    <w:rsid w:val="003222C0"/>
    <w:rsid w:val="00322340"/>
    <w:rsid w:val="00322485"/>
    <w:rsid w:val="003226A8"/>
    <w:rsid w:val="003227E7"/>
    <w:rsid w:val="003227EF"/>
    <w:rsid w:val="00322830"/>
    <w:rsid w:val="00322B52"/>
    <w:rsid w:val="00322BB4"/>
    <w:rsid w:val="00322BD8"/>
    <w:rsid w:val="00322BEC"/>
    <w:rsid w:val="00322C21"/>
    <w:rsid w:val="00322CE5"/>
    <w:rsid w:val="00322FA6"/>
    <w:rsid w:val="0032306A"/>
    <w:rsid w:val="003230AB"/>
    <w:rsid w:val="00323229"/>
    <w:rsid w:val="003232F2"/>
    <w:rsid w:val="00323317"/>
    <w:rsid w:val="003233CE"/>
    <w:rsid w:val="00323513"/>
    <w:rsid w:val="0032353C"/>
    <w:rsid w:val="0032363E"/>
    <w:rsid w:val="003237CD"/>
    <w:rsid w:val="0032386A"/>
    <w:rsid w:val="003239F9"/>
    <w:rsid w:val="00323AE4"/>
    <w:rsid w:val="00323F25"/>
    <w:rsid w:val="00323F7F"/>
    <w:rsid w:val="0032406E"/>
    <w:rsid w:val="00324132"/>
    <w:rsid w:val="003242AD"/>
    <w:rsid w:val="003242B8"/>
    <w:rsid w:val="003242D7"/>
    <w:rsid w:val="00324384"/>
    <w:rsid w:val="0032453F"/>
    <w:rsid w:val="003248D6"/>
    <w:rsid w:val="00324B6B"/>
    <w:rsid w:val="00324D80"/>
    <w:rsid w:val="00324E79"/>
    <w:rsid w:val="00324ED2"/>
    <w:rsid w:val="0032509C"/>
    <w:rsid w:val="00325181"/>
    <w:rsid w:val="00325249"/>
    <w:rsid w:val="00325756"/>
    <w:rsid w:val="0032585E"/>
    <w:rsid w:val="00325867"/>
    <w:rsid w:val="00325886"/>
    <w:rsid w:val="00325B60"/>
    <w:rsid w:val="00325C43"/>
    <w:rsid w:val="00325FDB"/>
    <w:rsid w:val="0032609E"/>
    <w:rsid w:val="00326155"/>
    <w:rsid w:val="0032621C"/>
    <w:rsid w:val="003265DA"/>
    <w:rsid w:val="003268D8"/>
    <w:rsid w:val="003268F5"/>
    <w:rsid w:val="00326D5A"/>
    <w:rsid w:val="00327016"/>
    <w:rsid w:val="003270E9"/>
    <w:rsid w:val="00327265"/>
    <w:rsid w:val="00327279"/>
    <w:rsid w:val="003272B1"/>
    <w:rsid w:val="003272C3"/>
    <w:rsid w:val="003273FD"/>
    <w:rsid w:val="00327550"/>
    <w:rsid w:val="0032759A"/>
    <w:rsid w:val="00327804"/>
    <w:rsid w:val="0032797F"/>
    <w:rsid w:val="00327B0A"/>
    <w:rsid w:val="00327B82"/>
    <w:rsid w:val="00327C80"/>
    <w:rsid w:val="00327CAB"/>
    <w:rsid w:val="00327E0D"/>
    <w:rsid w:val="00327E4E"/>
    <w:rsid w:val="00327E89"/>
    <w:rsid w:val="00327F06"/>
    <w:rsid w:val="00330131"/>
    <w:rsid w:val="0033042F"/>
    <w:rsid w:val="00330B5D"/>
    <w:rsid w:val="00330C08"/>
    <w:rsid w:val="00330C84"/>
    <w:rsid w:val="00330FF8"/>
    <w:rsid w:val="0033111A"/>
    <w:rsid w:val="00331181"/>
    <w:rsid w:val="00331361"/>
    <w:rsid w:val="003313F9"/>
    <w:rsid w:val="003316FE"/>
    <w:rsid w:val="003318D8"/>
    <w:rsid w:val="00331D80"/>
    <w:rsid w:val="00331DA9"/>
    <w:rsid w:val="00331F79"/>
    <w:rsid w:val="0033211C"/>
    <w:rsid w:val="00332200"/>
    <w:rsid w:val="00332380"/>
    <w:rsid w:val="003324C1"/>
    <w:rsid w:val="003324CB"/>
    <w:rsid w:val="0033276B"/>
    <w:rsid w:val="00332878"/>
    <w:rsid w:val="003328A4"/>
    <w:rsid w:val="00332B1A"/>
    <w:rsid w:val="00332B76"/>
    <w:rsid w:val="00332CC0"/>
    <w:rsid w:val="00332D27"/>
    <w:rsid w:val="00332EE3"/>
    <w:rsid w:val="00332F53"/>
    <w:rsid w:val="0033313F"/>
    <w:rsid w:val="003337F6"/>
    <w:rsid w:val="00333ACA"/>
    <w:rsid w:val="00333AD2"/>
    <w:rsid w:val="00333AF4"/>
    <w:rsid w:val="00333B08"/>
    <w:rsid w:val="00333B2C"/>
    <w:rsid w:val="00333EDE"/>
    <w:rsid w:val="00333FC0"/>
    <w:rsid w:val="00334179"/>
    <w:rsid w:val="00334191"/>
    <w:rsid w:val="00334201"/>
    <w:rsid w:val="0033421E"/>
    <w:rsid w:val="003343AD"/>
    <w:rsid w:val="0033454F"/>
    <w:rsid w:val="003347F5"/>
    <w:rsid w:val="0033482F"/>
    <w:rsid w:val="0033495E"/>
    <w:rsid w:val="003349A6"/>
    <w:rsid w:val="00334B93"/>
    <w:rsid w:val="00334CBC"/>
    <w:rsid w:val="00334D47"/>
    <w:rsid w:val="00334E43"/>
    <w:rsid w:val="00334EB6"/>
    <w:rsid w:val="003350EC"/>
    <w:rsid w:val="003353A7"/>
    <w:rsid w:val="00335476"/>
    <w:rsid w:val="0033560F"/>
    <w:rsid w:val="00335826"/>
    <w:rsid w:val="00335970"/>
    <w:rsid w:val="0033598E"/>
    <w:rsid w:val="003359B4"/>
    <w:rsid w:val="00335A05"/>
    <w:rsid w:val="00335B64"/>
    <w:rsid w:val="00335CB9"/>
    <w:rsid w:val="00335D9D"/>
    <w:rsid w:val="00335F76"/>
    <w:rsid w:val="00335FEF"/>
    <w:rsid w:val="003360D8"/>
    <w:rsid w:val="0033652F"/>
    <w:rsid w:val="0033672C"/>
    <w:rsid w:val="00336AB6"/>
    <w:rsid w:val="00336D23"/>
    <w:rsid w:val="00336D76"/>
    <w:rsid w:val="00336E5C"/>
    <w:rsid w:val="00336EBE"/>
    <w:rsid w:val="003372FA"/>
    <w:rsid w:val="003373C4"/>
    <w:rsid w:val="00337552"/>
    <w:rsid w:val="0033756B"/>
    <w:rsid w:val="003376B4"/>
    <w:rsid w:val="0033770A"/>
    <w:rsid w:val="00337A28"/>
    <w:rsid w:val="00337A37"/>
    <w:rsid w:val="00337B09"/>
    <w:rsid w:val="00337CDD"/>
    <w:rsid w:val="00337DA8"/>
    <w:rsid w:val="00337DFB"/>
    <w:rsid w:val="00337E0C"/>
    <w:rsid w:val="00337ECA"/>
    <w:rsid w:val="00340180"/>
    <w:rsid w:val="003401E8"/>
    <w:rsid w:val="003403A2"/>
    <w:rsid w:val="00340605"/>
    <w:rsid w:val="0034098D"/>
    <w:rsid w:val="00340A27"/>
    <w:rsid w:val="00340A72"/>
    <w:rsid w:val="00340ADA"/>
    <w:rsid w:val="00340B01"/>
    <w:rsid w:val="00340B22"/>
    <w:rsid w:val="00340D9C"/>
    <w:rsid w:val="00340EB8"/>
    <w:rsid w:val="0034125B"/>
    <w:rsid w:val="0034145D"/>
    <w:rsid w:val="00341717"/>
    <w:rsid w:val="003418A7"/>
    <w:rsid w:val="00341A73"/>
    <w:rsid w:val="00341A90"/>
    <w:rsid w:val="00341B2B"/>
    <w:rsid w:val="00341D53"/>
    <w:rsid w:val="0034200B"/>
    <w:rsid w:val="003421A9"/>
    <w:rsid w:val="00342474"/>
    <w:rsid w:val="003425F4"/>
    <w:rsid w:val="003427BC"/>
    <w:rsid w:val="00342BE0"/>
    <w:rsid w:val="00342E44"/>
    <w:rsid w:val="00342F22"/>
    <w:rsid w:val="00343185"/>
    <w:rsid w:val="003431FC"/>
    <w:rsid w:val="00343605"/>
    <w:rsid w:val="0034370C"/>
    <w:rsid w:val="00343739"/>
    <w:rsid w:val="00343741"/>
    <w:rsid w:val="00343767"/>
    <w:rsid w:val="003437B5"/>
    <w:rsid w:val="003437F5"/>
    <w:rsid w:val="00343A4E"/>
    <w:rsid w:val="00343DD2"/>
    <w:rsid w:val="00343F82"/>
    <w:rsid w:val="00344002"/>
    <w:rsid w:val="003441FB"/>
    <w:rsid w:val="003442BF"/>
    <w:rsid w:val="003442E3"/>
    <w:rsid w:val="003443E2"/>
    <w:rsid w:val="00344687"/>
    <w:rsid w:val="0034494B"/>
    <w:rsid w:val="00344A16"/>
    <w:rsid w:val="00344B59"/>
    <w:rsid w:val="00344BBC"/>
    <w:rsid w:val="003450B6"/>
    <w:rsid w:val="0034514D"/>
    <w:rsid w:val="003453DE"/>
    <w:rsid w:val="003456F8"/>
    <w:rsid w:val="0034583D"/>
    <w:rsid w:val="00345A20"/>
    <w:rsid w:val="00345C44"/>
    <w:rsid w:val="00345E76"/>
    <w:rsid w:val="00345FA3"/>
    <w:rsid w:val="0034608D"/>
    <w:rsid w:val="00346139"/>
    <w:rsid w:val="00346356"/>
    <w:rsid w:val="00346FDC"/>
    <w:rsid w:val="00347172"/>
    <w:rsid w:val="00347182"/>
    <w:rsid w:val="003472FE"/>
    <w:rsid w:val="0034749A"/>
    <w:rsid w:val="00347A52"/>
    <w:rsid w:val="00347B89"/>
    <w:rsid w:val="00347CE9"/>
    <w:rsid w:val="00347DFF"/>
    <w:rsid w:val="00347EED"/>
    <w:rsid w:val="0035001B"/>
    <w:rsid w:val="00350039"/>
    <w:rsid w:val="0035017C"/>
    <w:rsid w:val="00350307"/>
    <w:rsid w:val="0035057E"/>
    <w:rsid w:val="003505A0"/>
    <w:rsid w:val="003506A0"/>
    <w:rsid w:val="0035096A"/>
    <w:rsid w:val="00350BD0"/>
    <w:rsid w:val="00350C1E"/>
    <w:rsid w:val="00350D1B"/>
    <w:rsid w:val="00351036"/>
    <w:rsid w:val="0035113A"/>
    <w:rsid w:val="00351331"/>
    <w:rsid w:val="003514AD"/>
    <w:rsid w:val="00351522"/>
    <w:rsid w:val="003515E5"/>
    <w:rsid w:val="00351980"/>
    <w:rsid w:val="00351A5D"/>
    <w:rsid w:val="00351B95"/>
    <w:rsid w:val="00351BB0"/>
    <w:rsid w:val="00351BD9"/>
    <w:rsid w:val="00351C2F"/>
    <w:rsid w:val="003521C5"/>
    <w:rsid w:val="003521E2"/>
    <w:rsid w:val="00352437"/>
    <w:rsid w:val="0035252C"/>
    <w:rsid w:val="003527AB"/>
    <w:rsid w:val="0035293F"/>
    <w:rsid w:val="00352A97"/>
    <w:rsid w:val="00352B48"/>
    <w:rsid w:val="00352D94"/>
    <w:rsid w:val="00352E6C"/>
    <w:rsid w:val="00352E8A"/>
    <w:rsid w:val="00352EB6"/>
    <w:rsid w:val="00353015"/>
    <w:rsid w:val="003530C3"/>
    <w:rsid w:val="003530CA"/>
    <w:rsid w:val="003534B6"/>
    <w:rsid w:val="003535C8"/>
    <w:rsid w:val="0035374E"/>
    <w:rsid w:val="003538C0"/>
    <w:rsid w:val="00353A24"/>
    <w:rsid w:val="00353D5F"/>
    <w:rsid w:val="00353E76"/>
    <w:rsid w:val="00353EA1"/>
    <w:rsid w:val="00353EE1"/>
    <w:rsid w:val="00353FCF"/>
    <w:rsid w:val="00353FF9"/>
    <w:rsid w:val="00354140"/>
    <w:rsid w:val="0035417F"/>
    <w:rsid w:val="003541F0"/>
    <w:rsid w:val="0035426E"/>
    <w:rsid w:val="003542BD"/>
    <w:rsid w:val="00354380"/>
    <w:rsid w:val="0035440D"/>
    <w:rsid w:val="003544DB"/>
    <w:rsid w:val="003547BE"/>
    <w:rsid w:val="00354BDD"/>
    <w:rsid w:val="00354C2F"/>
    <w:rsid w:val="00354CA0"/>
    <w:rsid w:val="00354CAE"/>
    <w:rsid w:val="00354E06"/>
    <w:rsid w:val="00354ED7"/>
    <w:rsid w:val="0035514B"/>
    <w:rsid w:val="00355287"/>
    <w:rsid w:val="003552E6"/>
    <w:rsid w:val="003556DB"/>
    <w:rsid w:val="0035588A"/>
    <w:rsid w:val="003559FF"/>
    <w:rsid w:val="00355A0B"/>
    <w:rsid w:val="00355A30"/>
    <w:rsid w:val="00355A88"/>
    <w:rsid w:val="00355AFD"/>
    <w:rsid w:val="00355C0B"/>
    <w:rsid w:val="00355D2F"/>
    <w:rsid w:val="00355F30"/>
    <w:rsid w:val="00355F7C"/>
    <w:rsid w:val="00356008"/>
    <w:rsid w:val="0035600F"/>
    <w:rsid w:val="00356045"/>
    <w:rsid w:val="00356129"/>
    <w:rsid w:val="00356389"/>
    <w:rsid w:val="00356506"/>
    <w:rsid w:val="003567CB"/>
    <w:rsid w:val="00356B71"/>
    <w:rsid w:val="00356E90"/>
    <w:rsid w:val="00356F0C"/>
    <w:rsid w:val="00356FA3"/>
    <w:rsid w:val="00357323"/>
    <w:rsid w:val="0035753F"/>
    <w:rsid w:val="00357741"/>
    <w:rsid w:val="00357744"/>
    <w:rsid w:val="00357781"/>
    <w:rsid w:val="00357789"/>
    <w:rsid w:val="00357867"/>
    <w:rsid w:val="003578C9"/>
    <w:rsid w:val="003579B4"/>
    <w:rsid w:val="00357B25"/>
    <w:rsid w:val="00357CDB"/>
    <w:rsid w:val="00357CE8"/>
    <w:rsid w:val="00357E45"/>
    <w:rsid w:val="00357F2C"/>
    <w:rsid w:val="00357F86"/>
    <w:rsid w:val="00357FBF"/>
    <w:rsid w:val="0035E152"/>
    <w:rsid w:val="003600D5"/>
    <w:rsid w:val="003601A2"/>
    <w:rsid w:val="0036044B"/>
    <w:rsid w:val="00360574"/>
    <w:rsid w:val="003605F6"/>
    <w:rsid w:val="00360662"/>
    <w:rsid w:val="003608EC"/>
    <w:rsid w:val="00360C99"/>
    <w:rsid w:val="00361042"/>
    <w:rsid w:val="003611B7"/>
    <w:rsid w:val="003611BC"/>
    <w:rsid w:val="0036120C"/>
    <w:rsid w:val="00361379"/>
    <w:rsid w:val="003614D9"/>
    <w:rsid w:val="003616B9"/>
    <w:rsid w:val="00361B5C"/>
    <w:rsid w:val="00361C2C"/>
    <w:rsid w:val="00361E14"/>
    <w:rsid w:val="00361E60"/>
    <w:rsid w:val="00361E9C"/>
    <w:rsid w:val="0036237B"/>
    <w:rsid w:val="00362AA6"/>
    <w:rsid w:val="00362AAB"/>
    <w:rsid w:val="00362E5A"/>
    <w:rsid w:val="00362E77"/>
    <w:rsid w:val="00362F42"/>
    <w:rsid w:val="00363273"/>
    <w:rsid w:val="0036362D"/>
    <w:rsid w:val="003636A7"/>
    <w:rsid w:val="00363A22"/>
    <w:rsid w:val="00363DA5"/>
    <w:rsid w:val="00363EEB"/>
    <w:rsid w:val="0036437E"/>
    <w:rsid w:val="003643D7"/>
    <w:rsid w:val="00364628"/>
    <w:rsid w:val="0036486B"/>
    <w:rsid w:val="00364A32"/>
    <w:rsid w:val="00364D87"/>
    <w:rsid w:val="00364E13"/>
    <w:rsid w:val="00364E1F"/>
    <w:rsid w:val="00364EB7"/>
    <w:rsid w:val="00364F49"/>
    <w:rsid w:val="00364F85"/>
    <w:rsid w:val="00364FE7"/>
    <w:rsid w:val="00365127"/>
    <w:rsid w:val="00365156"/>
    <w:rsid w:val="0036520B"/>
    <w:rsid w:val="00365238"/>
    <w:rsid w:val="0036531B"/>
    <w:rsid w:val="00365359"/>
    <w:rsid w:val="00365519"/>
    <w:rsid w:val="003657B5"/>
    <w:rsid w:val="0036585D"/>
    <w:rsid w:val="00365915"/>
    <w:rsid w:val="00365EDE"/>
    <w:rsid w:val="003660DD"/>
    <w:rsid w:val="003661C4"/>
    <w:rsid w:val="00366302"/>
    <w:rsid w:val="00366396"/>
    <w:rsid w:val="0036642B"/>
    <w:rsid w:val="0036663A"/>
    <w:rsid w:val="00366719"/>
    <w:rsid w:val="00366786"/>
    <w:rsid w:val="003667BF"/>
    <w:rsid w:val="00366871"/>
    <w:rsid w:val="003669D7"/>
    <w:rsid w:val="00366A35"/>
    <w:rsid w:val="00366B19"/>
    <w:rsid w:val="00366B60"/>
    <w:rsid w:val="00366BA7"/>
    <w:rsid w:val="00366DA2"/>
    <w:rsid w:val="00366FB0"/>
    <w:rsid w:val="00367002"/>
    <w:rsid w:val="00367102"/>
    <w:rsid w:val="003671DD"/>
    <w:rsid w:val="003673E1"/>
    <w:rsid w:val="003675C0"/>
    <w:rsid w:val="003676D3"/>
    <w:rsid w:val="00367A30"/>
    <w:rsid w:val="00367DB0"/>
    <w:rsid w:val="00367FF0"/>
    <w:rsid w:val="0036D2B5"/>
    <w:rsid w:val="00370198"/>
    <w:rsid w:val="003701FD"/>
    <w:rsid w:val="0037029D"/>
    <w:rsid w:val="00370398"/>
    <w:rsid w:val="00370437"/>
    <w:rsid w:val="00370472"/>
    <w:rsid w:val="0037060F"/>
    <w:rsid w:val="003706EE"/>
    <w:rsid w:val="00370A86"/>
    <w:rsid w:val="00370B65"/>
    <w:rsid w:val="00370C52"/>
    <w:rsid w:val="00370C9C"/>
    <w:rsid w:val="00370D37"/>
    <w:rsid w:val="00370E8A"/>
    <w:rsid w:val="00371168"/>
    <w:rsid w:val="003711A9"/>
    <w:rsid w:val="003711CB"/>
    <w:rsid w:val="003713F3"/>
    <w:rsid w:val="00371558"/>
    <w:rsid w:val="003718CF"/>
    <w:rsid w:val="00371AA5"/>
    <w:rsid w:val="00371B4D"/>
    <w:rsid w:val="00371FB7"/>
    <w:rsid w:val="00372148"/>
    <w:rsid w:val="00372189"/>
    <w:rsid w:val="00372681"/>
    <w:rsid w:val="0037280F"/>
    <w:rsid w:val="00372AE5"/>
    <w:rsid w:val="00372B16"/>
    <w:rsid w:val="00372B37"/>
    <w:rsid w:val="00372BA4"/>
    <w:rsid w:val="00373616"/>
    <w:rsid w:val="0037363E"/>
    <w:rsid w:val="003736D1"/>
    <w:rsid w:val="0037390D"/>
    <w:rsid w:val="00373958"/>
    <w:rsid w:val="003739D9"/>
    <w:rsid w:val="003739FD"/>
    <w:rsid w:val="00373AC4"/>
    <w:rsid w:val="00373B70"/>
    <w:rsid w:val="00373BE6"/>
    <w:rsid w:val="00373D7B"/>
    <w:rsid w:val="00373E9E"/>
    <w:rsid w:val="003740CB"/>
    <w:rsid w:val="003740F2"/>
    <w:rsid w:val="00374485"/>
    <w:rsid w:val="0037448E"/>
    <w:rsid w:val="003744B9"/>
    <w:rsid w:val="00374589"/>
    <w:rsid w:val="00374829"/>
    <w:rsid w:val="003748DE"/>
    <w:rsid w:val="003748E5"/>
    <w:rsid w:val="00374BB4"/>
    <w:rsid w:val="00374BD7"/>
    <w:rsid w:val="00374C05"/>
    <w:rsid w:val="00374C15"/>
    <w:rsid w:val="00374CA2"/>
    <w:rsid w:val="00374CE7"/>
    <w:rsid w:val="00374F82"/>
    <w:rsid w:val="00374FB5"/>
    <w:rsid w:val="00375155"/>
    <w:rsid w:val="00375176"/>
    <w:rsid w:val="003752A2"/>
    <w:rsid w:val="00375383"/>
    <w:rsid w:val="0037554F"/>
    <w:rsid w:val="003755C1"/>
    <w:rsid w:val="003755E6"/>
    <w:rsid w:val="00375630"/>
    <w:rsid w:val="003757F7"/>
    <w:rsid w:val="0037582B"/>
    <w:rsid w:val="00375894"/>
    <w:rsid w:val="0037592C"/>
    <w:rsid w:val="00375B8C"/>
    <w:rsid w:val="00375E01"/>
    <w:rsid w:val="00375E06"/>
    <w:rsid w:val="00375ECB"/>
    <w:rsid w:val="0037609A"/>
    <w:rsid w:val="003760C8"/>
    <w:rsid w:val="00376240"/>
    <w:rsid w:val="00376360"/>
    <w:rsid w:val="00376378"/>
    <w:rsid w:val="003765AB"/>
    <w:rsid w:val="00376705"/>
    <w:rsid w:val="003768EA"/>
    <w:rsid w:val="00376B19"/>
    <w:rsid w:val="00376BB7"/>
    <w:rsid w:val="00376D07"/>
    <w:rsid w:val="00376E51"/>
    <w:rsid w:val="00376ECD"/>
    <w:rsid w:val="00376EF3"/>
    <w:rsid w:val="00376F12"/>
    <w:rsid w:val="0037702A"/>
    <w:rsid w:val="003771A7"/>
    <w:rsid w:val="003775F7"/>
    <w:rsid w:val="0037762B"/>
    <w:rsid w:val="00377672"/>
    <w:rsid w:val="0037774D"/>
    <w:rsid w:val="003778D9"/>
    <w:rsid w:val="003778F6"/>
    <w:rsid w:val="00377B16"/>
    <w:rsid w:val="00377F2D"/>
    <w:rsid w:val="00380064"/>
    <w:rsid w:val="003800CF"/>
    <w:rsid w:val="0038056B"/>
    <w:rsid w:val="00380A00"/>
    <w:rsid w:val="00380AB7"/>
    <w:rsid w:val="00380B77"/>
    <w:rsid w:val="00380C71"/>
    <w:rsid w:val="00380FCE"/>
    <w:rsid w:val="00381255"/>
    <w:rsid w:val="003813EB"/>
    <w:rsid w:val="0038157C"/>
    <w:rsid w:val="003815D3"/>
    <w:rsid w:val="00381C98"/>
    <w:rsid w:val="00381EA5"/>
    <w:rsid w:val="003820FF"/>
    <w:rsid w:val="003821D9"/>
    <w:rsid w:val="00382283"/>
    <w:rsid w:val="003822D0"/>
    <w:rsid w:val="003823B9"/>
    <w:rsid w:val="0038243A"/>
    <w:rsid w:val="0038251A"/>
    <w:rsid w:val="003826E3"/>
    <w:rsid w:val="003827B5"/>
    <w:rsid w:val="003827D7"/>
    <w:rsid w:val="00382A83"/>
    <w:rsid w:val="00382BCD"/>
    <w:rsid w:val="00382C11"/>
    <w:rsid w:val="00382E9D"/>
    <w:rsid w:val="0038307F"/>
    <w:rsid w:val="00383265"/>
    <w:rsid w:val="003832B4"/>
    <w:rsid w:val="003834B1"/>
    <w:rsid w:val="003834B5"/>
    <w:rsid w:val="00383614"/>
    <w:rsid w:val="00383964"/>
    <w:rsid w:val="00383CB9"/>
    <w:rsid w:val="00383CFD"/>
    <w:rsid w:val="00383E07"/>
    <w:rsid w:val="00384047"/>
    <w:rsid w:val="003840E6"/>
    <w:rsid w:val="0038458A"/>
    <w:rsid w:val="003845C3"/>
    <w:rsid w:val="00384755"/>
    <w:rsid w:val="00384C49"/>
    <w:rsid w:val="00384CFD"/>
    <w:rsid w:val="00384D54"/>
    <w:rsid w:val="003853DF"/>
    <w:rsid w:val="00385570"/>
    <w:rsid w:val="0038574E"/>
    <w:rsid w:val="0038580E"/>
    <w:rsid w:val="00385950"/>
    <w:rsid w:val="00385C31"/>
    <w:rsid w:val="00385D04"/>
    <w:rsid w:val="00385E0D"/>
    <w:rsid w:val="00385EEB"/>
    <w:rsid w:val="00386225"/>
    <w:rsid w:val="00386310"/>
    <w:rsid w:val="00386316"/>
    <w:rsid w:val="00386460"/>
    <w:rsid w:val="0038672A"/>
    <w:rsid w:val="003868D3"/>
    <w:rsid w:val="00386B65"/>
    <w:rsid w:val="00386D85"/>
    <w:rsid w:val="00386E9D"/>
    <w:rsid w:val="00386F83"/>
    <w:rsid w:val="00387162"/>
    <w:rsid w:val="003871D7"/>
    <w:rsid w:val="0038721F"/>
    <w:rsid w:val="0038727B"/>
    <w:rsid w:val="003873C4"/>
    <w:rsid w:val="0038745E"/>
    <w:rsid w:val="003875C3"/>
    <w:rsid w:val="003876C5"/>
    <w:rsid w:val="00387A15"/>
    <w:rsid w:val="00387A5C"/>
    <w:rsid w:val="00387DC7"/>
    <w:rsid w:val="00387ECF"/>
    <w:rsid w:val="00390148"/>
    <w:rsid w:val="00390167"/>
    <w:rsid w:val="00390306"/>
    <w:rsid w:val="0039032C"/>
    <w:rsid w:val="003903EC"/>
    <w:rsid w:val="0039048C"/>
    <w:rsid w:val="003904FC"/>
    <w:rsid w:val="00390517"/>
    <w:rsid w:val="003909DD"/>
    <w:rsid w:val="00390CCE"/>
    <w:rsid w:val="00390D55"/>
    <w:rsid w:val="00390DDF"/>
    <w:rsid w:val="00390F3E"/>
    <w:rsid w:val="0039114B"/>
    <w:rsid w:val="00391234"/>
    <w:rsid w:val="003913D0"/>
    <w:rsid w:val="003914C0"/>
    <w:rsid w:val="0039161B"/>
    <w:rsid w:val="003917A6"/>
    <w:rsid w:val="00391907"/>
    <w:rsid w:val="00391C77"/>
    <w:rsid w:val="00392289"/>
    <w:rsid w:val="003922F4"/>
    <w:rsid w:val="0039257D"/>
    <w:rsid w:val="00392798"/>
    <w:rsid w:val="003927A9"/>
    <w:rsid w:val="00392B0A"/>
    <w:rsid w:val="00392BFE"/>
    <w:rsid w:val="00392D35"/>
    <w:rsid w:val="00392E85"/>
    <w:rsid w:val="00392EBD"/>
    <w:rsid w:val="003931BF"/>
    <w:rsid w:val="00393228"/>
    <w:rsid w:val="00393417"/>
    <w:rsid w:val="0039345F"/>
    <w:rsid w:val="0039381D"/>
    <w:rsid w:val="003938A7"/>
    <w:rsid w:val="00393991"/>
    <w:rsid w:val="00393B28"/>
    <w:rsid w:val="00393C1B"/>
    <w:rsid w:val="00394183"/>
    <w:rsid w:val="003943EC"/>
    <w:rsid w:val="00394460"/>
    <w:rsid w:val="00394581"/>
    <w:rsid w:val="0039465D"/>
    <w:rsid w:val="00394699"/>
    <w:rsid w:val="003947EA"/>
    <w:rsid w:val="00394882"/>
    <w:rsid w:val="003948C2"/>
    <w:rsid w:val="003948D5"/>
    <w:rsid w:val="00394A56"/>
    <w:rsid w:val="00394A61"/>
    <w:rsid w:val="00394AB5"/>
    <w:rsid w:val="00394B51"/>
    <w:rsid w:val="00394C47"/>
    <w:rsid w:val="00394C8C"/>
    <w:rsid w:val="00394CE8"/>
    <w:rsid w:val="00395026"/>
    <w:rsid w:val="0039512F"/>
    <w:rsid w:val="00395176"/>
    <w:rsid w:val="003951C4"/>
    <w:rsid w:val="003951F5"/>
    <w:rsid w:val="00395301"/>
    <w:rsid w:val="003957B2"/>
    <w:rsid w:val="00395904"/>
    <w:rsid w:val="00395A36"/>
    <w:rsid w:val="00395C08"/>
    <w:rsid w:val="00395C9A"/>
    <w:rsid w:val="00395CB5"/>
    <w:rsid w:val="00395F0E"/>
    <w:rsid w:val="00395F52"/>
    <w:rsid w:val="0039623D"/>
    <w:rsid w:val="003962DC"/>
    <w:rsid w:val="003962DD"/>
    <w:rsid w:val="00396327"/>
    <w:rsid w:val="00396445"/>
    <w:rsid w:val="003964C2"/>
    <w:rsid w:val="00396503"/>
    <w:rsid w:val="0039656F"/>
    <w:rsid w:val="003967DE"/>
    <w:rsid w:val="00396921"/>
    <w:rsid w:val="003969DF"/>
    <w:rsid w:val="00396ACC"/>
    <w:rsid w:val="00396CAD"/>
    <w:rsid w:val="00396E34"/>
    <w:rsid w:val="00397014"/>
    <w:rsid w:val="00397246"/>
    <w:rsid w:val="00397251"/>
    <w:rsid w:val="003975D2"/>
    <w:rsid w:val="00397C78"/>
    <w:rsid w:val="00397F02"/>
    <w:rsid w:val="003A01F2"/>
    <w:rsid w:val="003A03FD"/>
    <w:rsid w:val="003A0453"/>
    <w:rsid w:val="003A0476"/>
    <w:rsid w:val="003A06D9"/>
    <w:rsid w:val="003A0887"/>
    <w:rsid w:val="003A0B3D"/>
    <w:rsid w:val="003A0BB5"/>
    <w:rsid w:val="003A0C3A"/>
    <w:rsid w:val="003A0FE5"/>
    <w:rsid w:val="003A10A7"/>
    <w:rsid w:val="003A114D"/>
    <w:rsid w:val="003A140F"/>
    <w:rsid w:val="003A16C5"/>
    <w:rsid w:val="003A1768"/>
    <w:rsid w:val="003A18C7"/>
    <w:rsid w:val="003A1BFF"/>
    <w:rsid w:val="003A1D49"/>
    <w:rsid w:val="003A1FC9"/>
    <w:rsid w:val="003A25AC"/>
    <w:rsid w:val="003A25EE"/>
    <w:rsid w:val="003A2605"/>
    <w:rsid w:val="003A2626"/>
    <w:rsid w:val="003A271F"/>
    <w:rsid w:val="003A2748"/>
    <w:rsid w:val="003A27AD"/>
    <w:rsid w:val="003A2866"/>
    <w:rsid w:val="003A2910"/>
    <w:rsid w:val="003A292D"/>
    <w:rsid w:val="003A2AF0"/>
    <w:rsid w:val="003A2B41"/>
    <w:rsid w:val="003A2CD6"/>
    <w:rsid w:val="003A2E33"/>
    <w:rsid w:val="003A2F0B"/>
    <w:rsid w:val="003A2F58"/>
    <w:rsid w:val="003A3090"/>
    <w:rsid w:val="003A30CC"/>
    <w:rsid w:val="003A3556"/>
    <w:rsid w:val="003A3567"/>
    <w:rsid w:val="003A3A0A"/>
    <w:rsid w:val="003A3AC8"/>
    <w:rsid w:val="003A3BA7"/>
    <w:rsid w:val="003A3BF4"/>
    <w:rsid w:val="003A3C95"/>
    <w:rsid w:val="003A3CCC"/>
    <w:rsid w:val="003A3E10"/>
    <w:rsid w:val="003A3E24"/>
    <w:rsid w:val="003A3FA0"/>
    <w:rsid w:val="003A3FC3"/>
    <w:rsid w:val="003A4035"/>
    <w:rsid w:val="003A40AC"/>
    <w:rsid w:val="003A4186"/>
    <w:rsid w:val="003A41EB"/>
    <w:rsid w:val="003A439F"/>
    <w:rsid w:val="003A43F7"/>
    <w:rsid w:val="003A447D"/>
    <w:rsid w:val="003A46B6"/>
    <w:rsid w:val="003A47BF"/>
    <w:rsid w:val="003A47EA"/>
    <w:rsid w:val="003A4BF8"/>
    <w:rsid w:val="003A4F88"/>
    <w:rsid w:val="003A5152"/>
    <w:rsid w:val="003A51D2"/>
    <w:rsid w:val="003A52D9"/>
    <w:rsid w:val="003A53A4"/>
    <w:rsid w:val="003A564B"/>
    <w:rsid w:val="003A5800"/>
    <w:rsid w:val="003A5862"/>
    <w:rsid w:val="003A5871"/>
    <w:rsid w:val="003A5A56"/>
    <w:rsid w:val="003A5C99"/>
    <w:rsid w:val="003A5ED2"/>
    <w:rsid w:val="003A5FB5"/>
    <w:rsid w:val="003A61C9"/>
    <w:rsid w:val="003A646E"/>
    <w:rsid w:val="003A6880"/>
    <w:rsid w:val="003A6955"/>
    <w:rsid w:val="003A6B12"/>
    <w:rsid w:val="003A6D55"/>
    <w:rsid w:val="003A6EF1"/>
    <w:rsid w:val="003A7386"/>
    <w:rsid w:val="003A7477"/>
    <w:rsid w:val="003A7580"/>
    <w:rsid w:val="003A7746"/>
    <w:rsid w:val="003A7FED"/>
    <w:rsid w:val="003AE2F4"/>
    <w:rsid w:val="003B0065"/>
    <w:rsid w:val="003B00F9"/>
    <w:rsid w:val="003B038C"/>
    <w:rsid w:val="003B0443"/>
    <w:rsid w:val="003B0448"/>
    <w:rsid w:val="003B04E9"/>
    <w:rsid w:val="003B0697"/>
    <w:rsid w:val="003B06BE"/>
    <w:rsid w:val="003B080B"/>
    <w:rsid w:val="003B0ACC"/>
    <w:rsid w:val="003B0B52"/>
    <w:rsid w:val="003B0C42"/>
    <w:rsid w:val="003B0D67"/>
    <w:rsid w:val="003B0FEF"/>
    <w:rsid w:val="003B11DA"/>
    <w:rsid w:val="003B1223"/>
    <w:rsid w:val="003B127E"/>
    <w:rsid w:val="003B12FC"/>
    <w:rsid w:val="003B1466"/>
    <w:rsid w:val="003B1652"/>
    <w:rsid w:val="003B1792"/>
    <w:rsid w:val="003B1BEE"/>
    <w:rsid w:val="003B1CB4"/>
    <w:rsid w:val="003B1D25"/>
    <w:rsid w:val="003B1D32"/>
    <w:rsid w:val="003B1E2C"/>
    <w:rsid w:val="003B21AA"/>
    <w:rsid w:val="003B26D6"/>
    <w:rsid w:val="003B281C"/>
    <w:rsid w:val="003B283C"/>
    <w:rsid w:val="003B284B"/>
    <w:rsid w:val="003B29ED"/>
    <w:rsid w:val="003B2CFD"/>
    <w:rsid w:val="003B2D99"/>
    <w:rsid w:val="003B2DF8"/>
    <w:rsid w:val="003B3133"/>
    <w:rsid w:val="003B314F"/>
    <w:rsid w:val="003B3737"/>
    <w:rsid w:val="003B3A86"/>
    <w:rsid w:val="003B3F0D"/>
    <w:rsid w:val="003B3F32"/>
    <w:rsid w:val="003B3FAE"/>
    <w:rsid w:val="003B4445"/>
    <w:rsid w:val="003B451D"/>
    <w:rsid w:val="003B47A6"/>
    <w:rsid w:val="003B4831"/>
    <w:rsid w:val="003B4966"/>
    <w:rsid w:val="003B4F72"/>
    <w:rsid w:val="003B50DE"/>
    <w:rsid w:val="003B5272"/>
    <w:rsid w:val="003B5295"/>
    <w:rsid w:val="003B54E0"/>
    <w:rsid w:val="003B56C5"/>
    <w:rsid w:val="003B56CF"/>
    <w:rsid w:val="003B5928"/>
    <w:rsid w:val="003B5D38"/>
    <w:rsid w:val="003B5E1F"/>
    <w:rsid w:val="003B5EDE"/>
    <w:rsid w:val="003B633A"/>
    <w:rsid w:val="003B644A"/>
    <w:rsid w:val="003B6476"/>
    <w:rsid w:val="003B675B"/>
    <w:rsid w:val="003B680C"/>
    <w:rsid w:val="003B6CFD"/>
    <w:rsid w:val="003B70A7"/>
    <w:rsid w:val="003B7298"/>
    <w:rsid w:val="003B732A"/>
    <w:rsid w:val="003B733C"/>
    <w:rsid w:val="003B7511"/>
    <w:rsid w:val="003B77D0"/>
    <w:rsid w:val="003B77DF"/>
    <w:rsid w:val="003B78FF"/>
    <w:rsid w:val="003B7A1C"/>
    <w:rsid w:val="003B7A99"/>
    <w:rsid w:val="003B7C7D"/>
    <w:rsid w:val="003B7C9B"/>
    <w:rsid w:val="003B7DC2"/>
    <w:rsid w:val="003B7E38"/>
    <w:rsid w:val="003B7ED1"/>
    <w:rsid w:val="003B7FD3"/>
    <w:rsid w:val="003BE20D"/>
    <w:rsid w:val="003C0067"/>
    <w:rsid w:val="003C0288"/>
    <w:rsid w:val="003C02D6"/>
    <w:rsid w:val="003C034F"/>
    <w:rsid w:val="003C03F8"/>
    <w:rsid w:val="003C06E5"/>
    <w:rsid w:val="003C07D6"/>
    <w:rsid w:val="003C0ACC"/>
    <w:rsid w:val="003C0C62"/>
    <w:rsid w:val="003C0DD5"/>
    <w:rsid w:val="003C0E1E"/>
    <w:rsid w:val="003C0F07"/>
    <w:rsid w:val="003C12EA"/>
    <w:rsid w:val="003C1382"/>
    <w:rsid w:val="003C1677"/>
    <w:rsid w:val="003C1858"/>
    <w:rsid w:val="003C1868"/>
    <w:rsid w:val="003C1E22"/>
    <w:rsid w:val="003C1E27"/>
    <w:rsid w:val="003C1F01"/>
    <w:rsid w:val="003C1F05"/>
    <w:rsid w:val="003C2057"/>
    <w:rsid w:val="003C27C9"/>
    <w:rsid w:val="003C30FD"/>
    <w:rsid w:val="003C3318"/>
    <w:rsid w:val="003C33C5"/>
    <w:rsid w:val="003C39D5"/>
    <w:rsid w:val="003C39D6"/>
    <w:rsid w:val="003C3C05"/>
    <w:rsid w:val="003C3CB9"/>
    <w:rsid w:val="003C3E4E"/>
    <w:rsid w:val="003C3F90"/>
    <w:rsid w:val="003C4157"/>
    <w:rsid w:val="003C419A"/>
    <w:rsid w:val="003C41AD"/>
    <w:rsid w:val="003C43FE"/>
    <w:rsid w:val="003C4470"/>
    <w:rsid w:val="003C44FE"/>
    <w:rsid w:val="003C4830"/>
    <w:rsid w:val="003C4896"/>
    <w:rsid w:val="003C49D0"/>
    <w:rsid w:val="003C4B1E"/>
    <w:rsid w:val="003C4C31"/>
    <w:rsid w:val="003C4F92"/>
    <w:rsid w:val="003C5021"/>
    <w:rsid w:val="003C532A"/>
    <w:rsid w:val="003C5405"/>
    <w:rsid w:val="003C5500"/>
    <w:rsid w:val="003C56BB"/>
    <w:rsid w:val="003C57CD"/>
    <w:rsid w:val="003C5BBF"/>
    <w:rsid w:val="003C5BC3"/>
    <w:rsid w:val="003C5DBE"/>
    <w:rsid w:val="003C5E3A"/>
    <w:rsid w:val="003C5FE9"/>
    <w:rsid w:val="003C5FFF"/>
    <w:rsid w:val="003C62EE"/>
    <w:rsid w:val="003C62FB"/>
    <w:rsid w:val="003C6552"/>
    <w:rsid w:val="003C6646"/>
    <w:rsid w:val="003C6AB1"/>
    <w:rsid w:val="003C6C77"/>
    <w:rsid w:val="003C718B"/>
    <w:rsid w:val="003C73FB"/>
    <w:rsid w:val="003C7583"/>
    <w:rsid w:val="003C758A"/>
    <w:rsid w:val="003C77EB"/>
    <w:rsid w:val="003C786E"/>
    <w:rsid w:val="003C78DF"/>
    <w:rsid w:val="003C79B9"/>
    <w:rsid w:val="003C79C6"/>
    <w:rsid w:val="003C7C5F"/>
    <w:rsid w:val="003C7E5D"/>
    <w:rsid w:val="003D04E3"/>
    <w:rsid w:val="003D05F5"/>
    <w:rsid w:val="003D05F6"/>
    <w:rsid w:val="003D06B8"/>
    <w:rsid w:val="003D07EC"/>
    <w:rsid w:val="003D0A88"/>
    <w:rsid w:val="003D0B42"/>
    <w:rsid w:val="003D0C36"/>
    <w:rsid w:val="003D0CA5"/>
    <w:rsid w:val="003D0FFF"/>
    <w:rsid w:val="003D10C6"/>
    <w:rsid w:val="003D10E2"/>
    <w:rsid w:val="003D13BA"/>
    <w:rsid w:val="003D14C2"/>
    <w:rsid w:val="003D1598"/>
    <w:rsid w:val="003D1826"/>
    <w:rsid w:val="003D1A64"/>
    <w:rsid w:val="003D1BBD"/>
    <w:rsid w:val="003D1CEE"/>
    <w:rsid w:val="003D20F1"/>
    <w:rsid w:val="003D215E"/>
    <w:rsid w:val="003D229D"/>
    <w:rsid w:val="003D22D9"/>
    <w:rsid w:val="003D28FF"/>
    <w:rsid w:val="003D2AC8"/>
    <w:rsid w:val="003D2CF0"/>
    <w:rsid w:val="003D2F37"/>
    <w:rsid w:val="003D2FDB"/>
    <w:rsid w:val="003D32E2"/>
    <w:rsid w:val="003D32E9"/>
    <w:rsid w:val="003D331A"/>
    <w:rsid w:val="003D33FA"/>
    <w:rsid w:val="003D348D"/>
    <w:rsid w:val="003D3514"/>
    <w:rsid w:val="003D3607"/>
    <w:rsid w:val="003D37FD"/>
    <w:rsid w:val="003D384E"/>
    <w:rsid w:val="003D38AA"/>
    <w:rsid w:val="003D39AD"/>
    <w:rsid w:val="003D3B40"/>
    <w:rsid w:val="003D3C4F"/>
    <w:rsid w:val="003D3E92"/>
    <w:rsid w:val="003D3F26"/>
    <w:rsid w:val="003D3F60"/>
    <w:rsid w:val="003D42BE"/>
    <w:rsid w:val="003D430D"/>
    <w:rsid w:val="003D4625"/>
    <w:rsid w:val="003D46B3"/>
    <w:rsid w:val="003D4797"/>
    <w:rsid w:val="003D4798"/>
    <w:rsid w:val="003D4994"/>
    <w:rsid w:val="003D49E7"/>
    <w:rsid w:val="003D4C11"/>
    <w:rsid w:val="003D4C2E"/>
    <w:rsid w:val="003D4DC1"/>
    <w:rsid w:val="003D4E01"/>
    <w:rsid w:val="003D506D"/>
    <w:rsid w:val="003D50AF"/>
    <w:rsid w:val="003D50E3"/>
    <w:rsid w:val="003D50EA"/>
    <w:rsid w:val="003D58F5"/>
    <w:rsid w:val="003D590D"/>
    <w:rsid w:val="003D59AB"/>
    <w:rsid w:val="003D5AAD"/>
    <w:rsid w:val="003D5AFB"/>
    <w:rsid w:val="003D5C3C"/>
    <w:rsid w:val="003D5CD0"/>
    <w:rsid w:val="003D5F1F"/>
    <w:rsid w:val="003D5FC3"/>
    <w:rsid w:val="003D61C6"/>
    <w:rsid w:val="003D6255"/>
    <w:rsid w:val="003D62C3"/>
    <w:rsid w:val="003D6723"/>
    <w:rsid w:val="003D6817"/>
    <w:rsid w:val="003D6AD6"/>
    <w:rsid w:val="003D6B5A"/>
    <w:rsid w:val="003D6BC6"/>
    <w:rsid w:val="003D6C19"/>
    <w:rsid w:val="003D6CD6"/>
    <w:rsid w:val="003D6D09"/>
    <w:rsid w:val="003D6DE2"/>
    <w:rsid w:val="003D6DFC"/>
    <w:rsid w:val="003D7012"/>
    <w:rsid w:val="003D706C"/>
    <w:rsid w:val="003D7114"/>
    <w:rsid w:val="003D73D1"/>
    <w:rsid w:val="003D747A"/>
    <w:rsid w:val="003D768C"/>
    <w:rsid w:val="003D76F4"/>
    <w:rsid w:val="003D7C00"/>
    <w:rsid w:val="003E00E9"/>
    <w:rsid w:val="003E067F"/>
    <w:rsid w:val="003E0684"/>
    <w:rsid w:val="003E06B9"/>
    <w:rsid w:val="003E0734"/>
    <w:rsid w:val="003E0842"/>
    <w:rsid w:val="003E0867"/>
    <w:rsid w:val="003E0996"/>
    <w:rsid w:val="003E0B92"/>
    <w:rsid w:val="003E0D5F"/>
    <w:rsid w:val="003E0E40"/>
    <w:rsid w:val="003E0F92"/>
    <w:rsid w:val="003E11F3"/>
    <w:rsid w:val="003E123A"/>
    <w:rsid w:val="003E13E4"/>
    <w:rsid w:val="003E1408"/>
    <w:rsid w:val="003E1524"/>
    <w:rsid w:val="003E15DE"/>
    <w:rsid w:val="003E1699"/>
    <w:rsid w:val="003E16D5"/>
    <w:rsid w:val="003E1778"/>
    <w:rsid w:val="003E18E0"/>
    <w:rsid w:val="003E197E"/>
    <w:rsid w:val="003E19C9"/>
    <w:rsid w:val="003E1A92"/>
    <w:rsid w:val="003E1AF4"/>
    <w:rsid w:val="003E1B2E"/>
    <w:rsid w:val="003E1DCC"/>
    <w:rsid w:val="003E1DEE"/>
    <w:rsid w:val="003E1E18"/>
    <w:rsid w:val="003E1EC7"/>
    <w:rsid w:val="003E2035"/>
    <w:rsid w:val="003E20B9"/>
    <w:rsid w:val="003E224E"/>
    <w:rsid w:val="003E2395"/>
    <w:rsid w:val="003E244E"/>
    <w:rsid w:val="003E250C"/>
    <w:rsid w:val="003E2565"/>
    <w:rsid w:val="003E2671"/>
    <w:rsid w:val="003E2759"/>
    <w:rsid w:val="003E2981"/>
    <w:rsid w:val="003E2A28"/>
    <w:rsid w:val="003E2B81"/>
    <w:rsid w:val="003E2C13"/>
    <w:rsid w:val="003E2DE0"/>
    <w:rsid w:val="003E2E43"/>
    <w:rsid w:val="003E2E47"/>
    <w:rsid w:val="003E306F"/>
    <w:rsid w:val="003E30CE"/>
    <w:rsid w:val="003E31DF"/>
    <w:rsid w:val="003E32A0"/>
    <w:rsid w:val="003E3A0F"/>
    <w:rsid w:val="003E3B76"/>
    <w:rsid w:val="003E3C9D"/>
    <w:rsid w:val="003E3E0A"/>
    <w:rsid w:val="003E3EB6"/>
    <w:rsid w:val="003E4177"/>
    <w:rsid w:val="003E41CD"/>
    <w:rsid w:val="003E4215"/>
    <w:rsid w:val="003E44B5"/>
    <w:rsid w:val="003E4872"/>
    <w:rsid w:val="003E48C7"/>
    <w:rsid w:val="003E48E9"/>
    <w:rsid w:val="003E528B"/>
    <w:rsid w:val="003E5415"/>
    <w:rsid w:val="003E59BF"/>
    <w:rsid w:val="003E5ACA"/>
    <w:rsid w:val="003E5C4C"/>
    <w:rsid w:val="003E5CEE"/>
    <w:rsid w:val="003E5E8E"/>
    <w:rsid w:val="003E62D8"/>
    <w:rsid w:val="003E6334"/>
    <w:rsid w:val="003E63E7"/>
    <w:rsid w:val="003E63ED"/>
    <w:rsid w:val="003E658F"/>
    <w:rsid w:val="003E659B"/>
    <w:rsid w:val="003E67F2"/>
    <w:rsid w:val="003E6834"/>
    <w:rsid w:val="003E6C05"/>
    <w:rsid w:val="003E6E6A"/>
    <w:rsid w:val="003E7416"/>
    <w:rsid w:val="003E7613"/>
    <w:rsid w:val="003E77BC"/>
    <w:rsid w:val="003E785D"/>
    <w:rsid w:val="003E7B8A"/>
    <w:rsid w:val="003E7D8B"/>
    <w:rsid w:val="003E7EEA"/>
    <w:rsid w:val="003F004A"/>
    <w:rsid w:val="003F012E"/>
    <w:rsid w:val="003F017C"/>
    <w:rsid w:val="003F04FD"/>
    <w:rsid w:val="003F0593"/>
    <w:rsid w:val="003F05B3"/>
    <w:rsid w:val="003F0A53"/>
    <w:rsid w:val="003F0B47"/>
    <w:rsid w:val="003F11A1"/>
    <w:rsid w:val="003F14A3"/>
    <w:rsid w:val="003F14C2"/>
    <w:rsid w:val="003F151D"/>
    <w:rsid w:val="003F1C4F"/>
    <w:rsid w:val="003F1E4D"/>
    <w:rsid w:val="003F1F48"/>
    <w:rsid w:val="003F2100"/>
    <w:rsid w:val="003F2103"/>
    <w:rsid w:val="003F223D"/>
    <w:rsid w:val="003F2345"/>
    <w:rsid w:val="003F2608"/>
    <w:rsid w:val="003F26D6"/>
    <w:rsid w:val="003F26F9"/>
    <w:rsid w:val="003F270F"/>
    <w:rsid w:val="003F27BA"/>
    <w:rsid w:val="003F2933"/>
    <w:rsid w:val="003F2968"/>
    <w:rsid w:val="003F2AE4"/>
    <w:rsid w:val="003F2FC3"/>
    <w:rsid w:val="003F304E"/>
    <w:rsid w:val="003F30E6"/>
    <w:rsid w:val="003F31D8"/>
    <w:rsid w:val="003F3244"/>
    <w:rsid w:val="003F324A"/>
    <w:rsid w:val="003F32C1"/>
    <w:rsid w:val="003F34E9"/>
    <w:rsid w:val="003F35D6"/>
    <w:rsid w:val="003F3667"/>
    <w:rsid w:val="003F3784"/>
    <w:rsid w:val="003F3A36"/>
    <w:rsid w:val="003F3B0C"/>
    <w:rsid w:val="003F3B8E"/>
    <w:rsid w:val="003F3C6D"/>
    <w:rsid w:val="003F3DA7"/>
    <w:rsid w:val="003F3F67"/>
    <w:rsid w:val="003F40BD"/>
    <w:rsid w:val="003F41B2"/>
    <w:rsid w:val="003F4211"/>
    <w:rsid w:val="003F42B8"/>
    <w:rsid w:val="003F4329"/>
    <w:rsid w:val="003F43DC"/>
    <w:rsid w:val="003F48BB"/>
    <w:rsid w:val="003F4904"/>
    <w:rsid w:val="003F4E4F"/>
    <w:rsid w:val="003F52DD"/>
    <w:rsid w:val="003F539D"/>
    <w:rsid w:val="003F5419"/>
    <w:rsid w:val="003F55A9"/>
    <w:rsid w:val="003F5602"/>
    <w:rsid w:val="003F5690"/>
    <w:rsid w:val="003F5991"/>
    <w:rsid w:val="003F5B07"/>
    <w:rsid w:val="003F5C03"/>
    <w:rsid w:val="003F5CCE"/>
    <w:rsid w:val="003F5E47"/>
    <w:rsid w:val="003F5EAB"/>
    <w:rsid w:val="003F6097"/>
    <w:rsid w:val="003F60BC"/>
    <w:rsid w:val="003F60D2"/>
    <w:rsid w:val="003F6185"/>
    <w:rsid w:val="003F6228"/>
    <w:rsid w:val="003F63D4"/>
    <w:rsid w:val="003F64CF"/>
    <w:rsid w:val="003F685E"/>
    <w:rsid w:val="003F6DE4"/>
    <w:rsid w:val="003F6EC3"/>
    <w:rsid w:val="003F72BF"/>
    <w:rsid w:val="003F74A4"/>
    <w:rsid w:val="003F7726"/>
    <w:rsid w:val="003F78FC"/>
    <w:rsid w:val="003F7B90"/>
    <w:rsid w:val="003F7FB0"/>
    <w:rsid w:val="00400177"/>
    <w:rsid w:val="00400309"/>
    <w:rsid w:val="004003B4"/>
    <w:rsid w:val="0040090F"/>
    <w:rsid w:val="004009A1"/>
    <w:rsid w:val="004009B7"/>
    <w:rsid w:val="00400B76"/>
    <w:rsid w:val="00400E2C"/>
    <w:rsid w:val="00400E6C"/>
    <w:rsid w:val="00400F82"/>
    <w:rsid w:val="00400F8F"/>
    <w:rsid w:val="004018BD"/>
    <w:rsid w:val="00401A63"/>
    <w:rsid w:val="00401B3A"/>
    <w:rsid w:val="00401C11"/>
    <w:rsid w:val="00401C12"/>
    <w:rsid w:val="00401F69"/>
    <w:rsid w:val="004020E8"/>
    <w:rsid w:val="00402168"/>
    <w:rsid w:val="004022A6"/>
    <w:rsid w:val="004025CE"/>
    <w:rsid w:val="004025F2"/>
    <w:rsid w:val="0040269B"/>
    <w:rsid w:val="004027B5"/>
    <w:rsid w:val="00402A5A"/>
    <w:rsid w:val="00402AE4"/>
    <w:rsid w:val="00402BE0"/>
    <w:rsid w:val="00402E65"/>
    <w:rsid w:val="00402FF3"/>
    <w:rsid w:val="00403091"/>
    <w:rsid w:val="0040319C"/>
    <w:rsid w:val="0040332F"/>
    <w:rsid w:val="004034BA"/>
    <w:rsid w:val="00403653"/>
    <w:rsid w:val="004036CB"/>
    <w:rsid w:val="00403936"/>
    <w:rsid w:val="00403A67"/>
    <w:rsid w:val="00403D5C"/>
    <w:rsid w:val="00403E2E"/>
    <w:rsid w:val="00403EF7"/>
    <w:rsid w:val="004045DB"/>
    <w:rsid w:val="00404671"/>
    <w:rsid w:val="004047C4"/>
    <w:rsid w:val="00404915"/>
    <w:rsid w:val="00404ADC"/>
    <w:rsid w:val="00404BF3"/>
    <w:rsid w:val="00404DC0"/>
    <w:rsid w:val="00404E34"/>
    <w:rsid w:val="0040523D"/>
    <w:rsid w:val="004053D8"/>
    <w:rsid w:val="004053FF"/>
    <w:rsid w:val="0040551C"/>
    <w:rsid w:val="00405547"/>
    <w:rsid w:val="00405760"/>
    <w:rsid w:val="0040581F"/>
    <w:rsid w:val="00405827"/>
    <w:rsid w:val="004058AA"/>
    <w:rsid w:val="00405967"/>
    <w:rsid w:val="00405A11"/>
    <w:rsid w:val="00405A5F"/>
    <w:rsid w:val="00405B4B"/>
    <w:rsid w:val="00405CA0"/>
    <w:rsid w:val="00405E24"/>
    <w:rsid w:val="00405F19"/>
    <w:rsid w:val="00405FA8"/>
    <w:rsid w:val="004063A7"/>
    <w:rsid w:val="0040646C"/>
    <w:rsid w:val="00406673"/>
    <w:rsid w:val="00406705"/>
    <w:rsid w:val="00406825"/>
    <w:rsid w:val="0040688D"/>
    <w:rsid w:val="00406BAB"/>
    <w:rsid w:val="00406C2D"/>
    <w:rsid w:val="00406E9E"/>
    <w:rsid w:val="00406F58"/>
    <w:rsid w:val="00407093"/>
    <w:rsid w:val="004072D3"/>
    <w:rsid w:val="0040735A"/>
    <w:rsid w:val="004073C5"/>
    <w:rsid w:val="00407511"/>
    <w:rsid w:val="004075EF"/>
    <w:rsid w:val="00407822"/>
    <w:rsid w:val="004079DF"/>
    <w:rsid w:val="00407C61"/>
    <w:rsid w:val="00407C81"/>
    <w:rsid w:val="00407D6A"/>
    <w:rsid w:val="0040EBE5"/>
    <w:rsid w:val="0041000D"/>
    <w:rsid w:val="00410050"/>
    <w:rsid w:val="004100F4"/>
    <w:rsid w:val="00410163"/>
    <w:rsid w:val="004101B5"/>
    <w:rsid w:val="004101C0"/>
    <w:rsid w:val="004102AA"/>
    <w:rsid w:val="0041033C"/>
    <w:rsid w:val="0041038F"/>
    <w:rsid w:val="004104A6"/>
    <w:rsid w:val="0041051B"/>
    <w:rsid w:val="004106B9"/>
    <w:rsid w:val="00410703"/>
    <w:rsid w:val="00410788"/>
    <w:rsid w:val="00410841"/>
    <w:rsid w:val="00410889"/>
    <w:rsid w:val="00410AEE"/>
    <w:rsid w:val="00410B07"/>
    <w:rsid w:val="00410C77"/>
    <w:rsid w:val="00410D21"/>
    <w:rsid w:val="00410EF2"/>
    <w:rsid w:val="004110C9"/>
    <w:rsid w:val="00411272"/>
    <w:rsid w:val="0041147F"/>
    <w:rsid w:val="004114C6"/>
    <w:rsid w:val="0041155E"/>
    <w:rsid w:val="004118A9"/>
    <w:rsid w:val="004119D3"/>
    <w:rsid w:val="00411DC5"/>
    <w:rsid w:val="00411E9A"/>
    <w:rsid w:val="00411F0A"/>
    <w:rsid w:val="004124C6"/>
    <w:rsid w:val="00412748"/>
    <w:rsid w:val="004129B7"/>
    <w:rsid w:val="00412AC0"/>
    <w:rsid w:val="00412CB4"/>
    <w:rsid w:val="00412DA1"/>
    <w:rsid w:val="00412FF1"/>
    <w:rsid w:val="00413036"/>
    <w:rsid w:val="00413186"/>
    <w:rsid w:val="004131B2"/>
    <w:rsid w:val="00413227"/>
    <w:rsid w:val="00413482"/>
    <w:rsid w:val="00413691"/>
    <w:rsid w:val="004136E7"/>
    <w:rsid w:val="00413776"/>
    <w:rsid w:val="00413778"/>
    <w:rsid w:val="00413873"/>
    <w:rsid w:val="00413935"/>
    <w:rsid w:val="00413B4F"/>
    <w:rsid w:val="00413B90"/>
    <w:rsid w:val="00413C0C"/>
    <w:rsid w:val="00413CA3"/>
    <w:rsid w:val="00413D21"/>
    <w:rsid w:val="00413E3F"/>
    <w:rsid w:val="00413EB8"/>
    <w:rsid w:val="00413F33"/>
    <w:rsid w:val="00413FBF"/>
    <w:rsid w:val="004142D4"/>
    <w:rsid w:val="00414348"/>
    <w:rsid w:val="00414473"/>
    <w:rsid w:val="0041448A"/>
    <w:rsid w:val="0041453B"/>
    <w:rsid w:val="00414712"/>
    <w:rsid w:val="00414F72"/>
    <w:rsid w:val="00414FAA"/>
    <w:rsid w:val="00414FED"/>
    <w:rsid w:val="00415014"/>
    <w:rsid w:val="004150CC"/>
    <w:rsid w:val="0041515E"/>
    <w:rsid w:val="004152FF"/>
    <w:rsid w:val="00415316"/>
    <w:rsid w:val="00415406"/>
    <w:rsid w:val="004156FA"/>
    <w:rsid w:val="00415AA0"/>
    <w:rsid w:val="00415B00"/>
    <w:rsid w:val="00415C06"/>
    <w:rsid w:val="00415D44"/>
    <w:rsid w:val="00415DCD"/>
    <w:rsid w:val="00415E10"/>
    <w:rsid w:val="00415E11"/>
    <w:rsid w:val="00416154"/>
    <w:rsid w:val="00416269"/>
    <w:rsid w:val="00416493"/>
    <w:rsid w:val="00416494"/>
    <w:rsid w:val="004167D3"/>
    <w:rsid w:val="004167E4"/>
    <w:rsid w:val="00416FB4"/>
    <w:rsid w:val="00416FCF"/>
    <w:rsid w:val="0041704F"/>
    <w:rsid w:val="00417183"/>
    <w:rsid w:val="00417496"/>
    <w:rsid w:val="00417A03"/>
    <w:rsid w:val="00417DA2"/>
    <w:rsid w:val="00417E88"/>
    <w:rsid w:val="00417FE0"/>
    <w:rsid w:val="00420417"/>
    <w:rsid w:val="0042053A"/>
    <w:rsid w:val="00420558"/>
    <w:rsid w:val="004205A1"/>
    <w:rsid w:val="004206B0"/>
    <w:rsid w:val="004207D9"/>
    <w:rsid w:val="0042093B"/>
    <w:rsid w:val="00420992"/>
    <w:rsid w:val="004209ED"/>
    <w:rsid w:val="00420C0C"/>
    <w:rsid w:val="00420DE8"/>
    <w:rsid w:val="00420FCA"/>
    <w:rsid w:val="0042102C"/>
    <w:rsid w:val="00421089"/>
    <w:rsid w:val="004214C6"/>
    <w:rsid w:val="00421545"/>
    <w:rsid w:val="0042185B"/>
    <w:rsid w:val="0042187A"/>
    <w:rsid w:val="0042188D"/>
    <w:rsid w:val="00421A83"/>
    <w:rsid w:val="00421BA3"/>
    <w:rsid w:val="00421CE1"/>
    <w:rsid w:val="00421D16"/>
    <w:rsid w:val="00421DC0"/>
    <w:rsid w:val="00421FAB"/>
    <w:rsid w:val="00422029"/>
    <w:rsid w:val="00422188"/>
    <w:rsid w:val="00422353"/>
    <w:rsid w:val="00422399"/>
    <w:rsid w:val="00422440"/>
    <w:rsid w:val="004227AD"/>
    <w:rsid w:val="0042286B"/>
    <w:rsid w:val="00422948"/>
    <w:rsid w:val="004229CB"/>
    <w:rsid w:val="00422B2B"/>
    <w:rsid w:val="00422E01"/>
    <w:rsid w:val="00422EBE"/>
    <w:rsid w:val="004231AA"/>
    <w:rsid w:val="00423291"/>
    <w:rsid w:val="004232FE"/>
    <w:rsid w:val="004233AC"/>
    <w:rsid w:val="00423401"/>
    <w:rsid w:val="004234D2"/>
    <w:rsid w:val="00423544"/>
    <w:rsid w:val="0042355F"/>
    <w:rsid w:val="00423570"/>
    <w:rsid w:val="00423577"/>
    <w:rsid w:val="00423606"/>
    <w:rsid w:val="004236A2"/>
    <w:rsid w:val="004237FF"/>
    <w:rsid w:val="00423846"/>
    <w:rsid w:val="00423B2A"/>
    <w:rsid w:val="00423C04"/>
    <w:rsid w:val="00423CEA"/>
    <w:rsid w:val="00423D72"/>
    <w:rsid w:val="00423DB1"/>
    <w:rsid w:val="00423E29"/>
    <w:rsid w:val="0042407F"/>
    <w:rsid w:val="0042416C"/>
    <w:rsid w:val="004243FC"/>
    <w:rsid w:val="00424412"/>
    <w:rsid w:val="0042464F"/>
    <w:rsid w:val="00424706"/>
    <w:rsid w:val="0042476F"/>
    <w:rsid w:val="004248E5"/>
    <w:rsid w:val="00424BC7"/>
    <w:rsid w:val="00424C44"/>
    <w:rsid w:val="00424D6F"/>
    <w:rsid w:val="00424D7F"/>
    <w:rsid w:val="00424FA4"/>
    <w:rsid w:val="00425148"/>
    <w:rsid w:val="00425149"/>
    <w:rsid w:val="0042526B"/>
    <w:rsid w:val="0042527A"/>
    <w:rsid w:val="004252EE"/>
    <w:rsid w:val="00425809"/>
    <w:rsid w:val="0042584A"/>
    <w:rsid w:val="0042599E"/>
    <w:rsid w:val="00425BA5"/>
    <w:rsid w:val="004260C0"/>
    <w:rsid w:val="00426354"/>
    <w:rsid w:val="00426368"/>
    <w:rsid w:val="004265C2"/>
    <w:rsid w:val="004265E7"/>
    <w:rsid w:val="00426655"/>
    <w:rsid w:val="0042667B"/>
    <w:rsid w:val="004268C3"/>
    <w:rsid w:val="00426A30"/>
    <w:rsid w:val="00426F33"/>
    <w:rsid w:val="004271B5"/>
    <w:rsid w:val="00427206"/>
    <w:rsid w:val="004275AE"/>
    <w:rsid w:val="00427680"/>
    <w:rsid w:val="00427736"/>
    <w:rsid w:val="0042775C"/>
    <w:rsid w:val="004278B9"/>
    <w:rsid w:val="0042799B"/>
    <w:rsid w:val="00427D48"/>
    <w:rsid w:val="00427D8F"/>
    <w:rsid w:val="00427EDC"/>
    <w:rsid w:val="0042A214"/>
    <w:rsid w:val="004301FD"/>
    <w:rsid w:val="0043028E"/>
    <w:rsid w:val="00430663"/>
    <w:rsid w:val="0043070C"/>
    <w:rsid w:val="004307AF"/>
    <w:rsid w:val="00430920"/>
    <w:rsid w:val="00430961"/>
    <w:rsid w:val="004309CC"/>
    <w:rsid w:val="00430A18"/>
    <w:rsid w:val="00430CD6"/>
    <w:rsid w:val="00430D72"/>
    <w:rsid w:val="004310C9"/>
    <w:rsid w:val="00431157"/>
    <w:rsid w:val="004311D6"/>
    <w:rsid w:val="0043151C"/>
    <w:rsid w:val="00431626"/>
    <w:rsid w:val="00431747"/>
    <w:rsid w:val="00431B1C"/>
    <w:rsid w:val="00431CDC"/>
    <w:rsid w:val="00431CF1"/>
    <w:rsid w:val="00431CF7"/>
    <w:rsid w:val="00431F8F"/>
    <w:rsid w:val="0043218C"/>
    <w:rsid w:val="0043248B"/>
    <w:rsid w:val="0043254F"/>
    <w:rsid w:val="00432770"/>
    <w:rsid w:val="004327AD"/>
    <w:rsid w:val="00432825"/>
    <w:rsid w:val="00432961"/>
    <w:rsid w:val="004329FF"/>
    <w:rsid w:val="00432BC6"/>
    <w:rsid w:val="00432C2F"/>
    <w:rsid w:val="00432DB7"/>
    <w:rsid w:val="00432E35"/>
    <w:rsid w:val="00432FB9"/>
    <w:rsid w:val="0043300A"/>
    <w:rsid w:val="00433448"/>
    <w:rsid w:val="00433622"/>
    <w:rsid w:val="004336B1"/>
    <w:rsid w:val="00433769"/>
    <w:rsid w:val="00433B02"/>
    <w:rsid w:val="00433B7F"/>
    <w:rsid w:val="00433E5F"/>
    <w:rsid w:val="00433F6F"/>
    <w:rsid w:val="0043431A"/>
    <w:rsid w:val="00434367"/>
    <w:rsid w:val="00434436"/>
    <w:rsid w:val="00434451"/>
    <w:rsid w:val="004348CE"/>
    <w:rsid w:val="004348E8"/>
    <w:rsid w:val="00434A8E"/>
    <w:rsid w:val="00434AB7"/>
    <w:rsid w:val="00434B08"/>
    <w:rsid w:val="00434BDF"/>
    <w:rsid w:val="00434C34"/>
    <w:rsid w:val="00434FE8"/>
    <w:rsid w:val="00435009"/>
    <w:rsid w:val="00435026"/>
    <w:rsid w:val="0043511D"/>
    <w:rsid w:val="00435195"/>
    <w:rsid w:val="00435630"/>
    <w:rsid w:val="004358AD"/>
    <w:rsid w:val="004358F2"/>
    <w:rsid w:val="00435B39"/>
    <w:rsid w:val="00435CF3"/>
    <w:rsid w:val="00435E4C"/>
    <w:rsid w:val="00435EF0"/>
    <w:rsid w:val="00435F36"/>
    <w:rsid w:val="00436037"/>
    <w:rsid w:val="0043639A"/>
    <w:rsid w:val="004365AB"/>
    <w:rsid w:val="00436656"/>
    <w:rsid w:val="0043665A"/>
    <w:rsid w:val="0043676E"/>
    <w:rsid w:val="00436857"/>
    <w:rsid w:val="00436937"/>
    <w:rsid w:val="00436C15"/>
    <w:rsid w:val="00436D21"/>
    <w:rsid w:val="00436D30"/>
    <w:rsid w:val="00436E45"/>
    <w:rsid w:val="00437108"/>
    <w:rsid w:val="0043745F"/>
    <w:rsid w:val="004374DC"/>
    <w:rsid w:val="00437551"/>
    <w:rsid w:val="00437A58"/>
    <w:rsid w:val="00437AFD"/>
    <w:rsid w:val="00437DC8"/>
    <w:rsid w:val="00437E07"/>
    <w:rsid w:val="00437E70"/>
    <w:rsid w:val="00437F1C"/>
    <w:rsid w:val="004402C9"/>
    <w:rsid w:val="004402FB"/>
    <w:rsid w:val="0044057E"/>
    <w:rsid w:val="00440721"/>
    <w:rsid w:val="0044081D"/>
    <w:rsid w:val="004408F3"/>
    <w:rsid w:val="00440942"/>
    <w:rsid w:val="00440B0C"/>
    <w:rsid w:val="00440C04"/>
    <w:rsid w:val="00440DA6"/>
    <w:rsid w:val="00440E6E"/>
    <w:rsid w:val="00441398"/>
    <w:rsid w:val="00441452"/>
    <w:rsid w:val="0044160D"/>
    <w:rsid w:val="00441767"/>
    <w:rsid w:val="00441AE4"/>
    <w:rsid w:val="00441DC8"/>
    <w:rsid w:val="00441DDB"/>
    <w:rsid w:val="00441EFC"/>
    <w:rsid w:val="004420D8"/>
    <w:rsid w:val="00442454"/>
    <w:rsid w:val="0044254E"/>
    <w:rsid w:val="004427A8"/>
    <w:rsid w:val="004427C9"/>
    <w:rsid w:val="00442832"/>
    <w:rsid w:val="00442A57"/>
    <w:rsid w:val="00442EC7"/>
    <w:rsid w:val="00442EF2"/>
    <w:rsid w:val="00442FB2"/>
    <w:rsid w:val="00443159"/>
    <w:rsid w:val="00443242"/>
    <w:rsid w:val="00443271"/>
    <w:rsid w:val="00443291"/>
    <w:rsid w:val="004433CF"/>
    <w:rsid w:val="00443417"/>
    <w:rsid w:val="004435B6"/>
    <w:rsid w:val="0044365F"/>
    <w:rsid w:val="0044382C"/>
    <w:rsid w:val="0044396B"/>
    <w:rsid w:val="00443AC0"/>
    <w:rsid w:val="00443DC5"/>
    <w:rsid w:val="00444024"/>
    <w:rsid w:val="0044432B"/>
    <w:rsid w:val="004443B2"/>
    <w:rsid w:val="00444401"/>
    <w:rsid w:val="00444542"/>
    <w:rsid w:val="0044455D"/>
    <w:rsid w:val="00444637"/>
    <w:rsid w:val="0044478C"/>
    <w:rsid w:val="0044484C"/>
    <w:rsid w:val="004449C9"/>
    <w:rsid w:val="004451FD"/>
    <w:rsid w:val="004452A0"/>
    <w:rsid w:val="00445312"/>
    <w:rsid w:val="004453E0"/>
    <w:rsid w:val="004453F0"/>
    <w:rsid w:val="00445559"/>
    <w:rsid w:val="0044558C"/>
    <w:rsid w:val="0044576D"/>
    <w:rsid w:val="00445BCC"/>
    <w:rsid w:val="00445D72"/>
    <w:rsid w:val="00445DAF"/>
    <w:rsid w:val="00445E62"/>
    <w:rsid w:val="00446020"/>
    <w:rsid w:val="004460F6"/>
    <w:rsid w:val="0044670C"/>
    <w:rsid w:val="0044676F"/>
    <w:rsid w:val="00446775"/>
    <w:rsid w:val="00446A5B"/>
    <w:rsid w:val="00446B4D"/>
    <w:rsid w:val="00446BE2"/>
    <w:rsid w:val="00446C37"/>
    <w:rsid w:val="00446CEE"/>
    <w:rsid w:val="00446DCD"/>
    <w:rsid w:val="00446EC4"/>
    <w:rsid w:val="00446F0D"/>
    <w:rsid w:val="00446F50"/>
    <w:rsid w:val="004470B7"/>
    <w:rsid w:val="0044720C"/>
    <w:rsid w:val="0044731F"/>
    <w:rsid w:val="00447479"/>
    <w:rsid w:val="004478E9"/>
    <w:rsid w:val="0044796C"/>
    <w:rsid w:val="004479A0"/>
    <w:rsid w:val="00447B7B"/>
    <w:rsid w:val="00447BD3"/>
    <w:rsid w:val="00447C4C"/>
    <w:rsid w:val="00447CCE"/>
    <w:rsid w:val="00447F36"/>
    <w:rsid w:val="00450175"/>
    <w:rsid w:val="00450197"/>
    <w:rsid w:val="004501D1"/>
    <w:rsid w:val="0045053E"/>
    <w:rsid w:val="0045063F"/>
    <w:rsid w:val="00450660"/>
    <w:rsid w:val="00450847"/>
    <w:rsid w:val="00450999"/>
    <w:rsid w:val="00450BEB"/>
    <w:rsid w:val="00450D4D"/>
    <w:rsid w:val="00451327"/>
    <w:rsid w:val="004516A9"/>
    <w:rsid w:val="004518BC"/>
    <w:rsid w:val="00451995"/>
    <w:rsid w:val="004519FC"/>
    <w:rsid w:val="00451A0A"/>
    <w:rsid w:val="00451B1B"/>
    <w:rsid w:val="00451E23"/>
    <w:rsid w:val="00451FA7"/>
    <w:rsid w:val="00451FFE"/>
    <w:rsid w:val="004520AC"/>
    <w:rsid w:val="004520ED"/>
    <w:rsid w:val="0045211F"/>
    <w:rsid w:val="00452147"/>
    <w:rsid w:val="00452223"/>
    <w:rsid w:val="004523DC"/>
    <w:rsid w:val="00452505"/>
    <w:rsid w:val="0045267F"/>
    <w:rsid w:val="00452A6F"/>
    <w:rsid w:val="00452AC7"/>
    <w:rsid w:val="00452C38"/>
    <w:rsid w:val="00452C75"/>
    <w:rsid w:val="00452D03"/>
    <w:rsid w:val="0045300B"/>
    <w:rsid w:val="004531F3"/>
    <w:rsid w:val="00453408"/>
    <w:rsid w:val="00453674"/>
    <w:rsid w:val="0045379C"/>
    <w:rsid w:val="00453826"/>
    <w:rsid w:val="00453D70"/>
    <w:rsid w:val="00453D99"/>
    <w:rsid w:val="00453F68"/>
    <w:rsid w:val="00454162"/>
    <w:rsid w:val="00454453"/>
    <w:rsid w:val="00454633"/>
    <w:rsid w:val="00454728"/>
    <w:rsid w:val="0045490B"/>
    <w:rsid w:val="00454B9F"/>
    <w:rsid w:val="00454CCA"/>
    <w:rsid w:val="0045501E"/>
    <w:rsid w:val="004550CB"/>
    <w:rsid w:val="004552E0"/>
    <w:rsid w:val="00455524"/>
    <w:rsid w:val="00455587"/>
    <w:rsid w:val="0045561B"/>
    <w:rsid w:val="00455746"/>
    <w:rsid w:val="00455E37"/>
    <w:rsid w:val="00455F3B"/>
    <w:rsid w:val="00455F74"/>
    <w:rsid w:val="00455FFC"/>
    <w:rsid w:val="0045643A"/>
    <w:rsid w:val="004564AE"/>
    <w:rsid w:val="004564CA"/>
    <w:rsid w:val="004566DF"/>
    <w:rsid w:val="00456880"/>
    <w:rsid w:val="00456921"/>
    <w:rsid w:val="00456A39"/>
    <w:rsid w:val="00456D0A"/>
    <w:rsid w:val="00456FF7"/>
    <w:rsid w:val="00457011"/>
    <w:rsid w:val="0045709E"/>
    <w:rsid w:val="00457214"/>
    <w:rsid w:val="0045728C"/>
    <w:rsid w:val="00457372"/>
    <w:rsid w:val="004573EF"/>
    <w:rsid w:val="004576CC"/>
    <w:rsid w:val="00457AAB"/>
    <w:rsid w:val="00457B0E"/>
    <w:rsid w:val="00457B1E"/>
    <w:rsid w:val="00457E82"/>
    <w:rsid w:val="00457F72"/>
    <w:rsid w:val="00460094"/>
    <w:rsid w:val="004600E7"/>
    <w:rsid w:val="00460285"/>
    <w:rsid w:val="00460493"/>
    <w:rsid w:val="00460505"/>
    <w:rsid w:val="004606F9"/>
    <w:rsid w:val="004607BF"/>
    <w:rsid w:val="004607E8"/>
    <w:rsid w:val="004609FE"/>
    <w:rsid w:val="00460A61"/>
    <w:rsid w:val="00460A6B"/>
    <w:rsid w:val="00460B0D"/>
    <w:rsid w:val="00460B31"/>
    <w:rsid w:val="00460E78"/>
    <w:rsid w:val="00460E8C"/>
    <w:rsid w:val="00460EFF"/>
    <w:rsid w:val="0046108D"/>
    <w:rsid w:val="0046155F"/>
    <w:rsid w:val="0046177F"/>
    <w:rsid w:val="00461B09"/>
    <w:rsid w:val="0046204E"/>
    <w:rsid w:val="004621EF"/>
    <w:rsid w:val="00462265"/>
    <w:rsid w:val="00462376"/>
    <w:rsid w:val="004623B1"/>
    <w:rsid w:val="004623D1"/>
    <w:rsid w:val="00462417"/>
    <w:rsid w:val="0046265F"/>
    <w:rsid w:val="00462704"/>
    <w:rsid w:val="00462718"/>
    <w:rsid w:val="004629C8"/>
    <w:rsid w:val="00462C6C"/>
    <w:rsid w:val="00462CD8"/>
    <w:rsid w:val="00462CE9"/>
    <w:rsid w:val="00462E6A"/>
    <w:rsid w:val="00462FE3"/>
    <w:rsid w:val="00463203"/>
    <w:rsid w:val="0046327A"/>
    <w:rsid w:val="004632FF"/>
    <w:rsid w:val="00463506"/>
    <w:rsid w:val="0046366B"/>
    <w:rsid w:val="004636E9"/>
    <w:rsid w:val="004637E0"/>
    <w:rsid w:val="00463870"/>
    <w:rsid w:val="004638DC"/>
    <w:rsid w:val="00463963"/>
    <w:rsid w:val="00463C63"/>
    <w:rsid w:val="00463E0F"/>
    <w:rsid w:val="00463EF8"/>
    <w:rsid w:val="00463FB5"/>
    <w:rsid w:val="0046401C"/>
    <w:rsid w:val="00464029"/>
    <w:rsid w:val="00464034"/>
    <w:rsid w:val="004640A2"/>
    <w:rsid w:val="004642CE"/>
    <w:rsid w:val="004649AC"/>
    <w:rsid w:val="00464BF6"/>
    <w:rsid w:val="00464D27"/>
    <w:rsid w:val="00464D93"/>
    <w:rsid w:val="00464DB8"/>
    <w:rsid w:val="00464E9A"/>
    <w:rsid w:val="00465190"/>
    <w:rsid w:val="00465235"/>
    <w:rsid w:val="00465479"/>
    <w:rsid w:val="0046576D"/>
    <w:rsid w:val="00465778"/>
    <w:rsid w:val="00465809"/>
    <w:rsid w:val="00465A8E"/>
    <w:rsid w:val="00465C25"/>
    <w:rsid w:val="00465E9B"/>
    <w:rsid w:val="00465E9F"/>
    <w:rsid w:val="00465F41"/>
    <w:rsid w:val="0046605A"/>
    <w:rsid w:val="00466265"/>
    <w:rsid w:val="0046647A"/>
    <w:rsid w:val="004664E7"/>
    <w:rsid w:val="004666BD"/>
    <w:rsid w:val="004666EF"/>
    <w:rsid w:val="004667ED"/>
    <w:rsid w:val="00466BC4"/>
    <w:rsid w:val="00466D0F"/>
    <w:rsid w:val="00466E97"/>
    <w:rsid w:val="00466F93"/>
    <w:rsid w:val="004673AD"/>
    <w:rsid w:val="004674DD"/>
    <w:rsid w:val="00467841"/>
    <w:rsid w:val="00467C48"/>
    <w:rsid w:val="00467F1F"/>
    <w:rsid w:val="00467F3A"/>
    <w:rsid w:val="00470307"/>
    <w:rsid w:val="00470371"/>
    <w:rsid w:val="004703C2"/>
    <w:rsid w:val="004703D3"/>
    <w:rsid w:val="0047063B"/>
    <w:rsid w:val="004706A2"/>
    <w:rsid w:val="00470932"/>
    <w:rsid w:val="00470950"/>
    <w:rsid w:val="00470A55"/>
    <w:rsid w:val="00470B50"/>
    <w:rsid w:val="004710F6"/>
    <w:rsid w:val="004712DC"/>
    <w:rsid w:val="00471302"/>
    <w:rsid w:val="0047135B"/>
    <w:rsid w:val="004713A2"/>
    <w:rsid w:val="004714D0"/>
    <w:rsid w:val="00471640"/>
    <w:rsid w:val="004716E5"/>
    <w:rsid w:val="004716ED"/>
    <w:rsid w:val="00471700"/>
    <w:rsid w:val="00471718"/>
    <w:rsid w:val="00471735"/>
    <w:rsid w:val="004717E6"/>
    <w:rsid w:val="00471AF3"/>
    <w:rsid w:val="00471C8F"/>
    <w:rsid w:val="00471DAB"/>
    <w:rsid w:val="00472179"/>
    <w:rsid w:val="004722CA"/>
    <w:rsid w:val="00472318"/>
    <w:rsid w:val="00472373"/>
    <w:rsid w:val="00472471"/>
    <w:rsid w:val="00472476"/>
    <w:rsid w:val="004726C3"/>
    <w:rsid w:val="004726EA"/>
    <w:rsid w:val="0047291C"/>
    <w:rsid w:val="004729D4"/>
    <w:rsid w:val="0047303B"/>
    <w:rsid w:val="0047322C"/>
    <w:rsid w:val="0047324B"/>
    <w:rsid w:val="004733FF"/>
    <w:rsid w:val="00473485"/>
    <w:rsid w:val="0047356D"/>
    <w:rsid w:val="004735F2"/>
    <w:rsid w:val="004737F2"/>
    <w:rsid w:val="0047387F"/>
    <w:rsid w:val="004738B6"/>
    <w:rsid w:val="00473A00"/>
    <w:rsid w:val="00473AA8"/>
    <w:rsid w:val="00474268"/>
    <w:rsid w:val="004742A8"/>
    <w:rsid w:val="00474343"/>
    <w:rsid w:val="00474436"/>
    <w:rsid w:val="00474559"/>
    <w:rsid w:val="0047457E"/>
    <w:rsid w:val="00474865"/>
    <w:rsid w:val="004749EF"/>
    <w:rsid w:val="00474E09"/>
    <w:rsid w:val="00475170"/>
    <w:rsid w:val="0047532B"/>
    <w:rsid w:val="00475590"/>
    <w:rsid w:val="0047564F"/>
    <w:rsid w:val="00475779"/>
    <w:rsid w:val="004759F2"/>
    <w:rsid w:val="00475AF7"/>
    <w:rsid w:val="00475D6C"/>
    <w:rsid w:val="00475E52"/>
    <w:rsid w:val="0047610B"/>
    <w:rsid w:val="0047619F"/>
    <w:rsid w:val="00476490"/>
    <w:rsid w:val="00476517"/>
    <w:rsid w:val="004767EB"/>
    <w:rsid w:val="00476936"/>
    <w:rsid w:val="00476B0E"/>
    <w:rsid w:val="00476BE6"/>
    <w:rsid w:val="00476EF7"/>
    <w:rsid w:val="00476F19"/>
    <w:rsid w:val="00477177"/>
    <w:rsid w:val="004773A7"/>
    <w:rsid w:val="0047744B"/>
    <w:rsid w:val="00477725"/>
    <w:rsid w:val="00477746"/>
    <w:rsid w:val="00477911"/>
    <w:rsid w:val="00477AA9"/>
    <w:rsid w:val="00477C0F"/>
    <w:rsid w:val="00477C65"/>
    <w:rsid w:val="00477CE0"/>
    <w:rsid w:val="00477D89"/>
    <w:rsid w:val="00477E68"/>
    <w:rsid w:val="00477F2A"/>
    <w:rsid w:val="004785D4"/>
    <w:rsid w:val="004801B9"/>
    <w:rsid w:val="00480216"/>
    <w:rsid w:val="004803F4"/>
    <w:rsid w:val="00480421"/>
    <w:rsid w:val="0048073F"/>
    <w:rsid w:val="00480814"/>
    <w:rsid w:val="00480ABC"/>
    <w:rsid w:val="00480AFC"/>
    <w:rsid w:val="00480B3A"/>
    <w:rsid w:val="00480FC8"/>
    <w:rsid w:val="004810C5"/>
    <w:rsid w:val="00481335"/>
    <w:rsid w:val="00481369"/>
    <w:rsid w:val="004814BB"/>
    <w:rsid w:val="004816A8"/>
    <w:rsid w:val="004816B4"/>
    <w:rsid w:val="0048177D"/>
    <w:rsid w:val="00481C1B"/>
    <w:rsid w:val="00481DA5"/>
    <w:rsid w:val="00481F78"/>
    <w:rsid w:val="004822AA"/>
    <w:rsid w:val="0048232E"/>
    <w:rsid w:val="00482438"/>
    <w:rsid w:val="0048264B"/>
    <w:rsid w:val="0048265D"/>
    <w:rsid w:val="0048278E"/>
    <w:rsid w:val="00482906"/>
    <w:rsid w:val="00482ECC"/>
    <w:rsid w:val="00483124"/>
    <w:rsid w:val="004832A1"/>
    <w:rsid w:val="00483392"/>
    <w:rsid w:val="004833A2"/>
    <w:rsid w:val="004833A5"/>
    <w:rsid w:val="00483694"/>
    <w:rsid w:val="004836F2"/>
    <w:rsid w:val="0048376D"/>
    <w:rsid w:val="00483D69"/>
    <w:rsid w:val="00483DA8"/>
    <w:rsid w:val="00483DB8"/>
    <w:rsid w:val="00483EA9"/>
    <w:rsid w:val="00483F38"/>
    <w:rsid w:val="00483F68"/>
    <w:rsid w:val="00483FC0"/>
    <w:rsid w:val="00484074"/>
    <w:rsid w:val="00484188"/>
    <w:rsid w:val="0048420A"/>
    <w:rsid w:val="00484259"/>
    <w:rsid w:val="00484265"/>
    <w:rsid w:val="0048426F"/>
    <w:rsid w:val="004844FF"/>
    <w:rsid w:val="00484691"/>
    <w:rsid w:val="0048486E"/>
    <w:rsid w:val="0048488C"/>
    <w:rsid w:val="00484A69"/>
    <w:rsid w:val="004850C6"/>
    <w:rsid w:val="0048520D"/>
    <w:rsid w:val="00485214"/>
    <w:rsid w:val="004853EC"/>
    <w:rsid w:val="0048590D"/>
    <w:rsid w:val="00485965"/>
    <w:rsid w:val="004859DA"/>
    <w:rsid w:val="00485AAC"/>
    <w:rsid w:val="00485B4A"/>
    <w:rsid w:val="00485B61"/>
    <w:rsid w:val="00485D17"/>
    <w:rsid w:val="00485D2C"/>
    <w:rsid w:val="00485F81"/>
    <w:rsid w:val="004860E8"/>
    <w:rsid w:val="00486188"/>
    <w:rsid w:val="004863AA"/>
    <w:rsid w:val="004866F1"/>
    <w:rsid w:val="00486748"/>
    <w:rsid w:val="00486ABF"/>
    <w:rsid w:val="00486AC4"/>
    <w:rsid w:val="00486BB3"/>
    <w:rsid w:val="00486C0B"/>
    <w:rsid w:val="00486EE5"/>
    <w:rsid w:val="00486EF1"/>
    <w:rsid w:val="00486FAC"/>
    <w:rsid w:val="004870EF"/>
    <w:rsid w:val="004872F2"/>
    <w:rsid w:val="0048733A"/>
    <w:rsid w:val="004874FC"/>
    <w:rsid w:val="004875E9"/>
    <w:rsid w:val="0048762A"/>
    <w:rsid w:val="00487642"/>
    <w:rsid w:val="00487854"/>
    <w:rsid w:val="00487A07"/>
    <w:rsid w:val="00487AF2"/>
    <w:rsid w:val="00487D45"/>
    <w:rsid w:val="00487D50"/>
    <w:rsid w:val="00487D85"/>
    <w:rsid w:val="0049033F"/>
    <w:rsid w:val="0049035E"/>
    <w:rsid w:val="0049039B"/>
    <w:rsid w:val="00490641"/>
    <w:rsid w:val="00490A88"/>
    <w:rsid w:val="00490ADD"/>
    <w:rsid w:val="00490D4F"/>
    <w:rsid w:val="00490E69"/>
    <w:rsid w:val="00490F8E"/>
    <w:rsid w:val="00491227"/>
    <w:rsid w:val="004913B3"/>
    <w:rsid w:val="004917B5"/>
    <w:rsid w:val="00491834"/>
    <w:rsid w:val="00491925"/>
    <w:rsid w:val="00491A08"/>
    <w:rsid w:val="00491ACC"/>
    <w:rsid w:val="00491C4A"/>
    <w:rsid w:val="00491D64"/>
    <w:rsid w:val="00491DC0"/>
    <w:rsid w:val="00491DDB"/>
    <w:rsid w:val="0049209C"/>
    <w:rsid w:val="004923B7"/>
    <w:rsid w:val="004928E6"/>
    <w:rsid w:val="0049293B"/>
    <w:rsid w:val="00492B74"/>
    <w:rsid w:val="00492BF8"/>
    <w:rsid w:val="00492D5D"/>
    <w:rsid w:val="0049326C"/>
    <w:rsid w:val="00493335"/>
    <w:rsid w:val="00493581"/>
    <w:rsid w:val="004935C3"/>
    <w:rsid w:val="0049377F"/>
    <w:rsid w:val="00493C0E"/>
    <w:rsid w:val="00493C7D"/>
    <w:rsid w:val="00493E1B"/>
    <w:rsid w:val="00493E1C"/>
    <w:rsid w:val="00493FF8"/>
    <w:rsid w:val="00494314"/>
    <w:rsid w:val="00494522"/>
    <w:rsid w:val="0049463D"/>
    <w:rsid w:val="00494727"/>
    <w:rsid w:val="0049480B"/>
    <w:rsid w:val="00494AC4"/>
    <w:rsid w:val="00494ADE"/>
    <w:rsid w:val="00494C01"/>
    <w:rsid w:val="00494CCD"/>
    <w:rsid w:val="00494D29"/>
    <w:rsid w:val="00494DA2"/>
    <w:rsid w:val="00494E2E"/>
    <w:rsid w:val="00494E81"/>
    <w:rsid w:val="004952D4"/>
    <w:rsid w:val="004954B0"/>
    <w:rsid w:val="00495643"/>
    <w:rsid w:val="00495657"/>
    <w:rsid w:val="004956C2"/>
    <w:rsid w:val="0049572A"/>
    <w:rsid w:val="004957A2"/>
    <w:rsid w:val="0049592E"/>
    <w:rsid w:val="00495A33"/>
    <w:rsid w:val="00495A5D"/>
    <w:rsid w:val="00495C14"/>
    <w:rsid w:val="00495E3D"/>
    <w:rsid w:val="00495F4E"/>
    <w:rsid w:val="004962A3"/>
    <w:rsid w:val="0049652C"/>
    <w:rsid w:val="00496679"/>
    <w:rsid w:val="00496745"/>
    <w:rsid w:val="00496902"/>
    <w:rsid w:val="0049692C"/>
    <w:rsid w:val="00496EC6"/>
    <w:rsid w:val="00496F07"/>
    <w:rsid w:val="00496F86"/>
    <w:rsid w:val="00497036"/>
    <w:rsid w:val="00497105"/>
    <w:rsid w:val="00497153"/>
    <w:rsid w:val="0049737C"/>
    <w:rsid w:val="004973D7"/>
    <w:rsid w:val="0049746E"/>
    <w:rsid w:val="00497542"/>
    <w:rsid w:val="00497A62"/>
    <w:rsid w:val="00497BA7"/>
    <w:rsid w:val="00497CDF"/>
    <w:rsid w:val="00497EC4"/>
    <w:rsid w:val="004A00D5"/>
    <w:rsid w:val="004A0473"/>
    <w:rsid w:val="004A064A"/>
    <w:rsid w:val="004A0813"/>
    <w:rsid w:val="004A087A"/>
    <w:rsid w:val="004A0929"/>
    <w:rsid w:val="004A09D4"/>
    <w:rsid w:val="004A110A"/>
    <w:rsid w:val="004A1658"/>
    <w:rsid w:val="004A1705"/>
    <w:rsid w:val="004A1726"/>
    <w:rsid w:val="004A1889"/>
    <w:rsid w:val="004A1B23"/>
    <w:rsid w:val="004A1C7F"/>
    <w:rsid w:val="004A1DA4"/>
    <w:rsid w:val="004A20B1"/>
    <w:rsid w:val="004A24E9"/>
    <w:rsid w:val="004A2565"/>
    <w:rsid w:val="004A2626"/>
    <w:rsid w:val="004A264F"/>
    <w:rsid w:val="004A26B1"/>
    <w:rsid w:val="004A26C2"/>
    <w:rsid w:val="004A2752"/>
    <w:rsid w:val="004A27B0"/>
    <w:rsid w:val="004A2B41"/>
    <w:rsid w:val="004A33E0"/>
    <w:rsid w:val="004A33FA"/>
    <w:rsid w:val="004A353B"/>
    <w:rsid w:val="004A373F"/>
    <w:rsid w:val="004A375C"/>
    <w:rsid w:val="004A3A96"/>
    <w:rsid w:val="004A3ADF"/>
    <w:rsid w:val="004A3C4C"/>
    <w:rsid w:val="004A3FF7"/>
    <w:rsid w:val="004A4205"/>
    <w:rsid w:val="004A4285"/>
    <w:rsid w:val="004A4382"/>
    <w:rsid w:val="004A4800"/>
    <w:rsid w:val="004A4911"/>
    <w:rsid w:val="004A497A"/>
    <w:rsid w:val="004A4993"/>
    <w:rsid w:val="004A49AD"/>
    <w:rsid w:val="004A4B29"/>
    <w:rsid w:val="004A4C03"/>
    <w:rsid w:val="004A4D5B"/>
    <w:rsid w:val="004A4E36"/>
    <w:rsid w:val="004A5175"/>
    <w:rsid w:val="004A51A7"/>
    <w:rsid w:val="004A51AB"/>
    <w:rsid w:val="004A523A"/>
    <w:rsid w:val="004A52DE"/>
    <w:rsid w:val="004A546F"/>
    <w:rsid w:val="004A54C4"/>
    <w:rsid w:val="004A557A"/>
    <w:rsid w:val="004A5AE8"/>
    <w:rsid w:val="004A61AD"/>
    <w:rsid w:val="004A6217"/>
    <w:rsid w:val="004A63E3"/>
    <w:rsid w:val="004A648A"/>
    <w:rsid w:val="004A64BC"/>
    <w:rsid w:val="004A651E"/>
    <w:rsid w:val="004A6632"/>
    <w:rsid w:val="004A6729"/>
    <w:rsid w:val="004A6AA7"/>
    <w:rsid w:val="004A7114"/>
    <w:rsid w:val="004A715F"/>
    <w:rsid w:val="004A726E"/>
    <w:rsid w:val="004A7475"/>
    <w:rsid w:val="004A7690"/>
    <w:rsid w:val="004A781C"/>
    <w:rsid w:val="004A781F"/>
    <w:rsid w:val="004A7920"/>
    <w:rsid w:val="004A7C02"/>
    <w:rsid w:val="004A7C50"/>
    <w:rsid w:val="004A7CAA"/>
    <w:rsid w:val="004A7DD7"/>
    <w:rsid w:val="004A7E0D"/>
    <w:rsid w:val="004B0042"/>
    <w:rsid w:val="004B00FC"/>
    <w:rsid w:val="004B01E3"/>
    <w:rsid w:val="004B0293"/>
    <w:rsid w:val="004B02F2"/>
    <w:rsid w:val="004B06C1"/>
    <w:rsid w:val="004B070F"/>
    <w:rsid w:val="004B08FC"/>
    <w:rsid w:val="004B0AE6"/>
    <w:rsid w:val="004B0B0A"/>
    <w:rsid w:val="004B0B53"/>
    <w:rsid w:val="004B0BC2"/>
    <w:rsid w:val="004B0D92"/>
    <w:rsid w:val="004B0F03"/>
    <w:rsid w:val="004B1140"/>
    <w:rsid w:val="004B11CD"/>
    <w:rsid w:val="004B14B1"/>
    <w:rsid w:val="004B14C7"/>
    <w:rsid w:val="004B1795"/>
    <w:rsid w:val="004B1A7A"/>
    <w:rsid w:val="004B1BE2"/>
    <w:rsid w:val="004B1CD1"/>
    <w:rsid w:val="004B1F42"/>
    <w:rsid w:val="004B2453"/>
    <w:rsid w:val="004B2582"/>
    <w:rsid w:val="004B2989"/>
    <w:rsid w:val="004B2AC4"/>
    <w:rsid w:val="004B2C02"/>
    <w:rsid w:val="004B2C60"/>
    <w:rsid w:val="004B2C75"/>
    <w:rsid w:val="004B2E91"/>
    <w:rsid w:val="004B2FCB"/>
    <w:rsid w:val="004B30C3"/>
    <w:rsid w:val="004B31B7"/>
    <w:rsid w:val="004B32EB"/>
    <w:rsid w:val="004B3687"/>
    <w:rsid w:val="004B392C"/>
    <w:rsid w:val="004B3B17"/>
    <w:rsid w:val="004B3BD5"/>
    <w:rsid w:val="004B3BF7"/>
    <w:rsid w:val="004B3C0F"/>
    <w:rsid w:val="004B3D68"/>
    <w:rsid w:val="004B4254"/>
    <w:rsid w:val="004B43D6"/>
    <w:rsid w:val="004B455B"/>
    <w:rsid w:val="004B47E5"/>
    <w:rsid w:val="004B4A45"/>
    <w:rsid w:val="004B4A72"/>
    <w:rsid w:val="004B4E12"/>
    <w:rsid w:val="004B4E75"/>
    <w:rsid w:val="004B4F3D"/>
    <w:rsid w:val="004B5054"/>
    <w:rsid w:val="004B5299"/>
    <w:rsid w:val="004B53F5"/>
    <w:rsid w:val="004B5692"/>
    <w:rsid w:val="004B58AB"/>
    <w:rsid w:val="004B5A85"/>
    <w:rsid w:val="004B5AFC"/>
    <w:rsid w:val="004B5F57"/>
    <w:rsid w:val="004B6094"/>
    <w:rsid w:val="004B62A5"/>
    <w:rsid w:val="004B63E4"/>
    <w:rsid w:val="004B661F"/>
    <w:rsid w:val="004B6692"/>
    <w:rsid w:val="004B66CD"/>
    <w:rsid w:val="004B6922"/>
    <w:rsid w:val="004B6926"/>
    <w:rsid w:val="004B6A5D"/>
    <w:rsid w:val="004B6C4B"/>
    <w:rsid w:val="004B6EE2"/>
    <w:rsid w:val="004B71A5"/>
    <w:rsid w:val="004B7222"/>
    <w:rsid w:val="004B7293"/>
    <w:rsid w:val="004B72F6"/>
    <w:rsid w:val="004B7525"/>
    <w:rsid w:val="004B7887"/>
    <w:rsid w:val="004B7AD2"/>
    <w:rsid w:val="004C0022"/>
    <w:rsid w:val="004C0524"/>
    <w:rsid w:val="004C06DF"/>
    <w:rsid w:val="004C07BD"/>
    <w:rsid w:val="004C07FB"/>
    <w:rsid w:val="004C0867"/>
    <w:rsid w:val="004C0971"/>
    <w:rsid w:val="004C0BA2"/>
    <w:rsid w:val="004C0DA1"/>
    <w:rsid w:val="004C0E3E"/>
    <w:rsid w:val="004C0EE8"/>
    <w:rsid w:val="004C0FB1"/>
    <w:rsid w:val="004C1015"/>
    <w:rsid w:val="004C1032"/>
    <w:rsid w:val="004C106A"/>
    <w:rsid w:val="004C1088"/>
    <w:rsid w:val="004C108C"/>
    <w:rsid w:val="004C11BD"/>
    <w:rsid w:val="004C13B8"/>
    <w:rsid w:val="004C173E"/>
    <w:rsid w:val="004C177C"/>
    <w:rsid w:val="004C17CA"/>
    <w:rsid w:val="004C184A"/>
    <w:rsid w:val="004C191D"/>
    <w:rsid w:val="004C1942"/>
    <w:rsid w:val="004C1A80"/>
    <w:rsid w:val="004C1C5F"/>
    <w:rsid w:val="004C1FE2"/>
    <w:rsid w:val="004C236A"/>
    <w:rsid w:val="004C23D5"/>
    <w:rsid w:val="004C23F8"/>
    <w:rsid w:val="004C261C"/>
    <w:rsid w:val="004C26E0"/>
    <w:rsid w:val="004C29BB"/>
    <w:rsid w:val="004C2BDF"/>
    <w:rsid w:val="004C2DA1"/>
    <w:rsid w:val="004C313C"/>
    <w:rsid w:val="004C3844"/>
    <w:rsid w:val="004C3845"/>
    <w:rsid w:val="004C385A"/>
    <w:rsid w:val="004C4246"/>
    <w:rsid w:val="004C424B"/>
    <w:rsid w:val="004C42C4"/>
    <w:rsid w:val="004C42C7"/>
    <w:rsid w:val="004C470D"/>
    <w:rsid w:val="004C49EF"/>
    <w:rsid w:val="004C4A1E"/>
    <w:rsid w:val="004C4B03"/>
    <w:rsid w:val="004C4E2A"/>
    <w:rsid w:val="004C4EA5"/>
    <w:rsid w:val="004C5395"/>
    <w:rsid w:val="004C53BE"/>
    <w:rsid w:val="004C55BB"/>
    <w:rsid w:val="004C5B19"/>
    <w:rsid w:val="004C5B82"/>
    <w:rsid w:val="004C5CB2"/>
    <w:rsid w:val="004C5CBC"/>
    <w:rsid w:val="004C5FD2"/>
    <w:rsid w:val="004C64AB"/>
    <w:rsid w:val="004C6AEF"/>
    <w:rsid w:val="004C6C87"/>
    <w:rsid w:val="004C6CF0"/>
    <w:rsid w:val="004C6FAE"/>
    <w:rsid w:val="004C7035"/>
    <w:rsid w:val="004C7057"/>
    <w:rsid w:val="004C7075"/>
    <w:rsid w:val="004C7084"/>
    <w:rsid w:val="004C71E8"/>
    <w:rsid w:val="004C71EF"/>
    <w:rsid w:val="004C741E"/>
    <w:rsid w:val="004C7444"/>
    <w:rsid w:val="004C745C"/>
    <w:rsid w:val="004C74A9"/>
    <w:rsid w:val="004C756B"/>
    <w:rsid w:val="004C771B"/>
    <w:rsid w:val="004C7A00"/>
    <w:rsid w:val="004C7A76"/>
    <w:rsid w:val="004C7A9C"/>
    <w:rsid w:val="004C7B31"/>
    <w:rsid w:val="004C7CE5"/>
    <w:rsid w:val="004C7D5B"/>
    <w:rsid w:val="004C7DA0"/>
    <w:rsid w:val="004C7F4C"/>
    <w:rsid w:val="004D005F"/>
    <w:rsid w:val="004D0524"/>
    <w:rsid w:val="004D066D"/>
    <w:rsid w:val="004D08BF"/>
    <w:rsid w:val="004D0905"/>
    <w:rsid w:val="004D0997"/>
    <w:rsid w:val="004D0CBD"/>
    <w:rsid w:val="004D0D6F"/>
    <w:rsid w:val="004D0E3D"/>
    <w:rsid w:val="004D1073"/>
    <w:rsid w:val="004D10B8"/>
    <w:rsid w:val="004D1A9A"/>
    <w:rsid w:val="004D1AEE"/>
    <w:rsid w:val="004D1B00"/>
    <w:rsid w:val="004D1B2A"/>
    <w:rsid w:val="004D1BAB"/>
    <w:rsid w:val="004D1E17"/>
    <w:rsid w:val="004D1EB5"/>
    <w:rsid w:val="004D1F23"/>
    <w:rsid w:val="004D1FC0"/>
    <w:rsid w:val="004D23D7"/>
    <w:rsid w:val="004D28EF"/>
    <w:rsid w:val="004D2952"/>
    <w:rsid w:val="004D2B68"/>
    <w:rsid w:val="004D2BCF"/>
    <w:rsid w:val="004D2E80"/>
    <w:rsid w:val="004D2F7E"/>
    <w:rsid w:val="004D30CD"/>
    <w:rsid w:val="004D34B4"/>
    <w:rsid w:val="004D36FE"/>
    <w:rsid w:val="004D3752"/>
    <w:rsid w:val="004D3909"/>
    <w:rsid w:val="004D391B"/>
    <w:rsid w:val="004D394E"/>
    <w:rsid w:val="004D3B13"/>
    <w:rsid w:val="004D3DBE"/>
    <w:rsid w:val="004D4013"/>
    <w:rsid w:val="004D448E"/>
    <w:rsid w:val="004D4606"/>
    <w:rsid w:val="004D4797"/>
    <w:rsid w:val="004D47C5"/>
    <w:rsid w:val="004D4890"/>
    <w:rsid w:val="004D491E"/>
    <w:rsid w:val="004D4A29"/>
    <w:rsid w:val="004D4D3C"/>
    <w:rsid w:val="004D4D87"/>
    <w:rsid w:val="004D4DBE"/>
    <w:rsid w:val="004D508C"/>
    <w:rsid w:val="004D51A1"/>
    <w:rsid w:val="004D53EB"/>
    <w:rsid w:val="004D54A1"/>
    <w:rsid w:val="004D5579"/>
    <w:rsid w:val="004D5624"/>
    <w:rsid w:val="004D56F2"/>
    <w:rsid w:val="004D5708"/>
    <w:rsid w:val="004D5744"/>
    <w:rsid w:val="004D588E"/>
    <w:rsid w:val="004D5A57"/>
    <w:rsid w:val="004D5A87"/>
    <w:rsid w:val="004D5B65"/>
    <w:rsid w:val="004D5D86"/>
    <w:rsid w:val="004D5DCB"/>
    <w:rsid w:val="004D5FEF"/>
    <w:rsid w:val="004D6365"/>
    <w:rsid w:val="004D6404"/>
    <w:rsid w:val="004D6557"/>
    <w:rsid w:val="004D6605"/>
    <w:rsid w:val="004D666A"/>
    <w:rsid w:val="004D6716"/>
    <w:rsid w:val="004D67BC"/>
    <w:rsid w:val="004D6907"/>
    <w:rsid w:val="004D6B32"/>
    <w:rsid w:val="004D6B96"/>
    <w:rsid w:val="004D7018"/>
    <w:rsid w:val="004D73AC"/>
    <w:rsid w:val="004D76BA"/>
    <w:rsid w:val="004D7704"/>
    <w:rsid w:val="004D77A1"/>
    <w:rsid w:val="004D7AD8"/>
    <w:rsid w:val="004DAA4B"/>
    <w:rsid w:val="004DC02B"/>
    <w:rsid w:val="004DE2A3"/>
    <w:rsid w:val="004E00AB"/>
    <w:rsid w:val="004E0135"/>
    <w:rsid w:val="004E019E"/>
    <w:rsid w:val="004E01FF"/>
    <w:rsid w:val="004E026C"/>
    <w:rsid w:val="004E032F"/>
    <w:rsid w:val="004E04C3"/>
    <w:rsid w:val="004E064E"/>
    <w:rsid w:val="004E068A"/>
    <w:rsid w:val="004E0A18"/>
    <w:rsid w:val="004E0A61"/>
    <w:rsid w:val="004E0BC0"/>
    <w:rsid w:val="004E0CA9"/>
    <w:rsid w:val="004E0D77"/>
    <w:rsid w:val="004E0E3E"/>
    <w:rsid w:val="004E105E"/>
    <w:rsid w:val="004E1307"/>
    <w:rsid w:val="004E152E"/>
    <w:rsid w:val="004E1559"/>
    <w:rsid w:val="004E1832"/>
    <w:rsid w:val="004E1B9F"/>
    <w:rsid w:val="004E1C6E"/>
    <w:rsid w:val="004E1D19"/>
    <w:rsid w:val="004E1D4F"/>
    <w:rsid w:val="004E1E20"/>
    <w:rsid w:val="004E1FDE"/>
    <w:rsid w:val="004E20C5"/>
    <w:rsid w:val="004E2241"/>
    <w:rsid w:val="004E252C"/>
    <w:rsid w:val="004E2559"/>
    <w:rsid w:val="004E257A"/>
    <w:rsid w:val="004E2884"/>
    <w:rsid w:val="004E2B83"/>
    <w:rsid w:val="004E2C04"/>
    <w:rsid w:val="004E2F02"/>
    <w:rsid w:val="004E3223"/>
    <w:rsid w:val="004E34E7"/>
    <w:rsid w:val="004E3827"/>
    <w:rsid w:val="004E3D7B"/>
    <w:rsid w:val="004E3EBD"/>
    <w:rsid w:val="004E3F59"/>
    <w:rsid w:val="004E3F8F"/>
    <w:rsid w:val="004E4132"/>
    <w:rsid w:val="004E4249"/>
    <w:rsid w:val="004E42FE"/>
    <w:rsid w:val="004E43F2"/>
    <w:rsid w:val="004E4438"/>
    <w:rsid w:val="004E4447"/>
    <w:rsid w:val="004E452C"/>
    <w:rsid w:val="004E4831"/>
    <w:rsid w:val="004E485B"/>
    <w:rsid w:val="004E4B10"/>
    <w:rsid w:val="004E4BC0"/>
    <w:rsid w:val="004E4BF0"/>
    <w:rsid w:val="004E4D97"/>
    <w:rsid w:val="004E4E1A"/>
    <w:rsid w:val="004E50EA"/>
    <w:rsid w:val="004E5349"/>
    <w:rsid w:val="004E53F2"/>
    <w:rsid w:val="004E5462"/>
    <w:rsid w:val="004E562E"/>
    <w:rsid w:val="004E5898"/>
    <w:rsid w:val="004E5ADC"/>
    <w:rsid w:val="004E5B9A"/>
    <w:rsid w:val="004E5D8E"/>
    <w:rsid w:val="004E5DBC"/>
    <w:rsid w:val="004E5ED7"/>
    <w:rsid w:val="004E64DF"/>
    <w:rsid w:val="004E65A8"/>
    <w:rsid w:val="004E660A"/>
    <w:rsid w:val="004E6844"/>
    <w:rsid w:val="004E6AE4"/>
    <w:rsid w:val="004E6D23"/>
    <w:rsid w:val="004E6D82"/>
    <w:rsid w:val="004E6E50"/>
    <w:rsid w:val="004E6E80"/>
    <w:rsid w:val="004E712D"/>
    <w:rsid w:val="004E71AA"/>
    <w:rsid w:val="004E72DF"/>
    <w:rsid w:val="004E73A1"/>
    <w:rsid w:val="004E7444"/>
    <w:rsid w:val="004E7618"/>
    <w:rsid w:val="004E772F"/>
    <w:rsid w:val="004E7A46"/>
    <w:rsid w:val="004E7ADD"/>
    <w:rsid w:val="004E7CA4"/>
    <w:rsid w:val="004E7D15"/>
    <w:rsid w:val="004E7DE8"/>
    <w:rsid w:val="004E7EEE"/>
    <w:rsid w:val="004E7F8F"/>
    <w:rsid w:val="004E7F9B"/>
    <w:rsid w:val="004EA6B0"/>
    <w:rsid w:val="004F0075"/>
    <w:rsid w:val="004F011B"/>
    <w:rsid w:val="004F0192"/>
    <w:rsid w:val="004F0195"/>
    <w:rsid w:val="004F0278"/>
    <w:rsid w:val="004F0317"/>
    <w:rsid w:val="004F040F"/>
    <w:rsid w:val="004F04EE"/>
    <w:rsid w:val="004F0641"/>
    <w:rsid w:val="004F0AA9"/>
    <w:rsid w:val="004F0AC0"/>
    <w:rsid w:val="004F0CB9"/>
    <w:rsid w:val="004F0FA2"/>
    <w:rsid w:val="004F11CD"/>
    <w:rsid w:val="004F1224"/>
    <w:rsid w:val="004F155F"/>
    <w:rsid w:val="004F15D5"/>
    <w:rsid w:val="004F16DD"/>
    <w:rsid w:val="004F17F0"/>
    <w:rsid w:val="004F1839"/>
    <w:rsid w:val="004F1ED8"/>
    <w:rsid w:val="004F2342"/>
    <w:rsid w:val="004F23CF"/>
    <w:rsid w:val="004F2636"/>
    <w:rsid w:val="004F28C5"/>
    <w:rsid w:val="004F2BC3"/>
    <w:rsid w:val="004F2CFC"/>
    <w:rsid w:val="004F2F4F"/>
    <w:rsid w:val="004F3138"/>
    <w:rsid w:val="004F33AC"/>
    <w:rsid w:val="004F3429"/>
    <w:rsid w:val="004F34B5"/>
    <w:rsid w:val="004F34E1"/>
    <w:rsid w:val="004F36FB"/>
    <w:rsid w:val="004F3F75"/>
    <w:rsid w:val="004F4030"/>
    <w:rsid w:val="004F43C5"/>
    <w:rsid w:val="004F456D"/>
    <w:rsid w:val="004F4647"/>
    <w:rsid w:val="004F470E"/>
    <w:rsid w:val="004F486D"/>
    <w:rsid w:val="004F4D65"/>
    <w:rsid w:val="004F4D6A"/>
    <w:rsid w:val="004F4DB0"/>
    <w:rsid w:val="004F4FD8"/>
    <w:rsid w:val="004F5009"/>
    <w:rsid w:val="004F52BB"/>
    <w:rsid w:val="004F5403"/>
    <w:rsid w:val="004F5772"/>
    <w:rsid w:val="004F58DC"/>
    <w:rsid w:val="004F5B4B"/>
    <w:rsid w:val="004F5BB1"/>
    <w:rsid w:val="004F5DD8"/>
    <w:rsid w:val="004F5FC4"/>
    <w:rsid w:val="004F6021"/>
    <w:rsid w:val="004F6240"/>
    <w:rsid w:val="004F62AB"/>
    <w:rsid w:val="004F6714"/>
    <w:rsid w:val="004F6CC2"/>
    <w:rsid w:val="004F6CFA"/>
    <w:rsid w:val="004F6DB9"/>
    <w:rsid w:val="004F6F86"/>
    <w:rsid w:val="004F7277"/>
    <w:rsid w:val="004F7415"/>
    <w:rsid w:val="004F7461"/>
    <w:rsid w:val="004F7489"/>
    <w:rsid w:val="004F76EA"/>
    <w:rsid w:val="004F77AE"/>
    <w:rsid w:val="004F77FD"/>
    <w:rsid w:val="004F7854"/>
    <w:rsid w:val="004F78A2"/>
    <w:rsid w:val="004F7923"/>
    <w:rsid w:val="004F7951"/>
    <w:rsid w:val="004F7A21"/>
    <w:rsid w:val="004F7CC3"/>
    <w:rsid w:val="004F7E1B"/>
    <w:rsid w:val="004F7E67"/>
    <w:rsid w:val="004F998D"/>
    <w:rsid w:val="0050044D"/>
    <w:rsid w:val="0050049D"/>
    <w:rsid w:val="005004DA"/>
    <w:rsid w:val="005007B2"/>
    <w:rsid w:val="00500836"/>
    <w:rsid w:val="005008DD"/>
    <w:rsid w:val="00500AF4"/>
    <w:rsid w:val="00500B63"/>
    <w:rsid w:val="00500CC9"/>
    <w:rsid w:val="00500DB8"/>
    <w:rsid w:val="00501053"/>
    <w:rsid w:val="0050114D"/>
    <w:rsid w:val="00501186"/>
    <w:rsid w:val="005011E0"/>
    <w:rsid w:val="0050196C"/>
    <w:rsid w:val="0050196E"/>
    <w:rsid w:val="005019AD"/>
    <w:rsid w:val="005019B4"/>
    <w:rsid w:val="00501CC2"/>
    <w:rsid w:val="00501E28"/>
    <w:rsid w:val="00502229"/>
    <w:rsid w:val="005023B9"/>
    <w:rsid w:val="00502443"/>
    <w:rsid w:val="005024C2"/>
    <w:rsid w:val="005028FA"/>
    <w:rsid w:val="0050298C"/>
    <w:rsid w:val="005029EB"/>
    <w:rsid w:val="00502AC8"/>
    <w:rsid w:val="00502B8D"/>
    <w:rsid w:val="00502BD9"/>
    <w:rsid w:val="00502DAA"/>
    <w:rsid w:val="0050303D"/>
    <w:rsid w:val="00503171"/>
    <w:rsid w:val="0050318E"/>
    <w:rsid w:val="005031DF"/>
    <w:rsid w:val="00503266"/>
    <w:rsid w:val="0050361A"/>
    <w:rsid w:val="00503669"/>
    <w:rsid w:val="005038D0"/>
    <w:rsid w:val="00503930"/>
    <w:rsid w:val="0050395A"/>
    <w:rsid w:val="005039B0"/>
    <w:rsid w:val="00503B61"/>
    <w:rsid w:val="00503C5A"/>
    <w:rsid w:val="00503C98"/>
    <w:rsid w:val="00503E00"/>
    <w:rsid w:val="00503F34"/>
    <w:rsid w:val="005042EE"/>
    <w:rsid w:val="00504506"/>
    <w:rsid w:val="00504545"/>
    <w:rsid w:val="00504776"/>
    <w:rsid w:val="0050497B"/>
    <w:rsid w:val="00504AA5"/>
    <w:rsid w:val="00504B71"/>
    <w:rsid w:val="00504D48"/>
    <w:rsid w:val="00505034"/>
    <w:rsid w:val="005051B7"/>
    <w:rsid w:val="00505416"/>
    <w:rsid w:val="00505429"/>
    <w:rsid w:val="005055DD"/>
    <w:rsid w:val="00505668"/>
    <w:rsid w:val="005056F0"/>
    <w:rsid w:val="005059EF"/>
    <w:rsid w:val="00505BAD"/>
    <w:rsid w:val="00505E28"/>
    <w:rsid w:val="005061EA"/>
    <w:rsid w:val="0050639C"/>
    <w:rsid w:val="005065F2"/>
    <w:rsid w:val="005067BD"/>
    <w:rsid w:val="00506867"/>
    <w:rsid w:val="0050710D"/>
    <w:rsid w:val="0050718E"/>
    <w:rsid w:val="005071AC"/>
    <w:rsid w:val="005071E5"/>
    <w:rsid w:val="00507600"/>
    <w:rsid w:val="00507680"/>
    <w:rsid w:val="00507824"/>
    <w:rsid w:val="0050799D"/>
    <w:rsid w:val="00507C7B"/>
    <w:rsid w:val="00507D2C"/>
    <w:rsid w:val="0050E652"/>
    <w:rsid w:val="00510069"/>
    <w:rsid w:val="00510254"/>
    <w:rsid w:val="005107D7"/>
    <w:rsid w:val="00510835"/>
    <w:rsid w:val="0051086B"/>
    <w:rsid w:val="00510BFE"/>
    <w:rsid w:val="00510C8B"/>
    <w:rsid w:val="00510CD5"/>
    <w:rsid w:val="00510D14"/>
    <w:rsid w:val="00510E69"/>
    <w:rsid w:val="00510EA1"/>
    <w:rsid w:val="00510F6C"/>
    <w:rsid w:val="00510FB7"/>
    <w:rsid w:val="00510FBC"/>
    <w:rsid w:val="00511065"/>
    <w:rsid w:val="005110F5"/>
    <w:rsid w:val="005113D0"/>
    <w:rsid w:val="00511410"/>
    <w:rsid w:val="0051147A"/>
    <w:rsid w:val="0051161D"/>
    <w:rsid w:val="005116C8"/>
    <w:rsid w:val="00511853"/>
    <w:rsid w:val="005118B2"/>
    <w:rsid w:val="0051194D"/>
    <w:rsid w:val="005119F7"/>
    <w:rsid w:val="00511A0B"/>
    <w:rsid w:val="00511A66"/>
    <w:rsid w:val="00511B37"/>
    <w:rsid w:val="00511BD6"/>
    <w:rsid w:val="00511DF0"/>
    <w:rsid w:val="00511F39"/>
    <w:rsid w:val="005120D4"/>
    <w:rsid w:val="0051213E"/>
    <w:rsid w:val="0051255B"/>
    <w:rsid w:val="00512760"/>
    <w:rsid w:val="00512A0B"/>
    <w:rsid w:val="00512B21"/>
    <w:rsid w:val="00512BD6"/>
    <w:rsid w:val="00512C0C"/>
    <w:rsid w:val="00512CBA"/>
    <w:rsid w:val="00512E3D"/>
    <w:rsid w:val="00512F3B"/>
    <w:rsid w:val="00513139"/>
    <w:rsid w:val="005131DC"/>
    <w:rsid w:val="00513206"/>
    <w:rsid w:val="00513263"/>
    <w:rsid w:val="005134AD"/>
    <w:rsid w:val="00513692"/>
    <w:rsid w:val="00513742"/>
    <w:rsid w:val="005138EA"/>
    <w:rsid w:val="00513A18"/>
    <w:rsid w:val="00513AB8"/>
    <w:rsid w:val="00513B60"/>
    <w:rsid w:val="00513D2E"/>
    <w:rsid w:val="00513D73"/>
    <w:rsid w:val="0051406F"/>
    <w:rsid w:val="005140CE"/>
    <w:rsid w:val="005141F4"/>
    <w:rsid w:val="005142B3"/>
    <w:rsid w:val="005145F0"/>
    <w:rsid w:val="0051461B"/>
    <w:rsid w:val="00514641"/>
    <w:rsid w:val="00514781"/>
    <w:rsid w:val="00514C45"/>
    <w:rsid w:val="00514C91"/>
    <w:rsid w:val="00514CE4"/>
    <w:rsid w:val="00514D3B"/>
    <w:rsid w:val="00514E16"/>
    <w:rsid w:val="00514E6D"/>
    <w:rsid w:val="0051545F"/>
    <w:rsid w:val="00515513"/>
    <w:rsid w:val="00515645"/>
    <w:rsid w:val="00515724"/>
    <w:rsid w:val="00515836"/>
    <w:rsid w:val="00515AAA"/>
    <w:rsid w:val="00515B7C"/>
    <w:rsid w:val="00515F37"/>
    <w:rsid w:val="00515F56"/>
    <w:rsid w:val="00515FB8"/>
    <w:rsid w:val="00516173"/>
    <w:rsid w:val="005161F7"/>
    <w:rsid w:val="005163D3"/>
    <w:rsid w:val="0051646B"/>
    <w:rsid w:val="00516539"/>
    <w:rsid w:val="00516831"/>
    <w:rsid w:val="00516953"/>
    <w:rsid w:val="005169FF"/>
    <w:rsid w:val="00516A96"/>
    <w:rsid w:val="00516A98"/>
    <w:rsid w:val="00516C7A"/>
    <w:rsid w:val="00516E6E"/>
    <w:rsid w:val="00516F2D"/>
    <w:rsid w:val="00516F55"/>
    <w:rsid w:val="005171CA"/>
    <w:rsid w:val="005172A4"/>
    <w:rsid w:val="00517354"/>
    <w:rsid w:val="0051740C"/>
    <w:rsid w:val="00517445"/>
    <w:rsid w:val="0051744F"/>
    <w:rsid w:val="0051750C"/>
    <w:rsid w:val="0051798E"/>
    <w:rsid w:val="005179C5"/>
    <w:rsid w:val="00517D12"/>
    <w:rsid w:val="00517E3F"/>
    <w:rsid w:val="00517EB2"/>
    <w:rsid w:val="0052035A"/>
    <w:rsid w:val="005203EF"/>
    <w:rsid w:val="00520AB8"/>
    <w:rsid w:val="00520AE4"/>
    <w:rsid w:val="00520B59"/>
    <w:rsid w:val="00520BA0"/>
    <w:rsid w:val="00520CC4"/>
    <w:rsid w:val="00520E69"/>
    <w:rsid w:val="00520E7E"/>
    <w:rsid w:val="00520FAE"/>
    <w:rsid w:val="00521101"/>
    <w:rsid w:val="0052112B"/>
    <w:rsid w:val="00521278"/>
    <w:rsid w:val="005212CD"/>
    <w:rsid w:val="005213E2"/>
    <w:rsid w:val="005213E5"/>
    <w:rsid w:val="0052152D"/>
    <w:rsid w:val="00521851"/>
    <w:rsid w:val="005218E3"/>
    <w:rsid w:val="005219B2"/>
    <w:rsid w:val="00521E9E"/>
    <w:rsid w:val="00521F5C"/>
    <w:rsid w:val="005222E5"/>
    <w:rsid w:val="00522851"/>
    <w:rsid w:val="00522AA5"/>
    <w:rsid w:val="00522D9D"/>
    <w:rsid w:val="00522DFA"/>
    <w:rsid w:val="00522F53"/>
    <w:rsid w:val="0052314A"/>
    <w:rsid w:val="00523259"/>
    <w:rsid w:val="0052329D"/>
    <w:rsid w:val="005232B4"/>
    <w:rsid w:val="005232CA"/>
    <w:rsid w:val="00523316"/>
    <w:rsid w:val="0052332A"/>
    <w:rsid w:val="00523387"/>
    <w:rsid w:val="0052392C"/>
    <w:rsid w:val="00523969"/>
    <w:rsid w:val="00523A5C"/>
    <w:rsid w:val="00523DA0"/>
    <w:rsid w:val="0052404E"/>
    <w:rsid w:val="005241CB"/>
    <w:rsid w:val="0052431E"/>
    <w:rsid w:val="00524334"/>
    <w:rsid w:val="00524358"/>
    <w:rsid w:val="0052441B"/>
    <w:rsid w:val="00524424"/>
    <w:rsid w:val="005245EA"/>
    <w:rsid w:val="00524637"/>
    <w:rsid w:val="00524A7D"/>
    <w:rsid w:val="00524BB4"/>
    <w:rsid w:val="00524C98"/>
    <w:rsid w:val="00524DB8"/>
    <w:rsid w:val="00525038"/>
    <w:rsid w:val="00525089"/>
    <w:rsid w:val="00525170"/>
    <w:rsid w:val="00525258"/>
    <w:rsid w:val="005256BF"/>
    <w:rsid w:val="0052593F"/>
    <w:rsid w:val="00525B67"/>
    <w:rsid w:val="00525E14"/>
    <w:rsid w:val="00525E26"/>
    <w:rsid w:val="00525ECB"/>
    <w:rsid w:val="0052615A"/>
    <w:rsid w:val="005261EF"/>
    <w:rsid w:val="005261FB"/>
    <w:rsid w:val="00526378"/>
    <w:rsid w:val="005263A6"/>
    <w:rsid w:val="0052647E"/>
    <w:rsid w:val="00526605"/>
    <w:rsid w:val="0052662D"/>
    <w:rsid w:val="00526860"/>
    <w:rsid w:val="00526D22"/>
    <w:rsid w:val="00526E6A"/>
    <w:rsid w:val="00526E80"/>
    <w:rsid w:val="00527145"/>
    <w:rsid w:val="005273ED"/>
    <w:rsid w:val="0052750F"/>
    <w:rsid w:val="005278D4"/>
    <w:rsid w:val="00527A07"/>
    <w:rsid w:val="00527B69"/>
    <w:rsid w:val="00527C27"/>
    <w:rsid w:val="00527D57"/>
    <w:rsid w:val="00527DD1"/>
    <w:rsid w:val="00527E8E"/>
    <w:rsid w:val="00527F47"/>
    <w:rsid w:val="0052CA27"/>
    <w:rsid w:val="005301E3"/>
    <w:rsid w:val="0053021B"/>
    <w:rsid w:val="0053035D"/>
    <w:rsid w:val="00530451"/>
    <w:rsid w:val="00530467"/>
    <w:rsid w:val="00530801"/>
    <w:rsid w:val="0053080D"/>
    <w:rsid w:val="005309E8"/>
    <w:rsid w:val="00530A25"/>
    <w:rsid w:val="00530A7A"/>
    <w:rsid w:val="00530C39"/>
    <w:rsid w:val="00530C4B"/>
    <w:rsid w:val="00530CDE"/>
    <w:rsid w:val="00530D7C"/>
    <w:rsid w:val="00530E0D"/>
    <w:rsid w:val="00530EAE"/>
    <w:rsid w:val="00530F11"/>
    <w:rsid w:val="00531004"/>
    <w:rsid w:val="00531202"/>
    <w:rsid w:val="0053124E"/>
    <w:rsid w:val="005314C2"/>
    <w:rsid w:val="00531898"/>
    <w:rsid w:val="005318B1"/>
    <w:rsid w:val="00531A20"/>
    <w:rsid w:val="00531A6B"/>
    <w:rsid w:val="00531BE0"/>
    <w:rsid w:val="00531E9F"/>
    <w:rsid w:val="00531F43"/>
    <w:rsid w:val="00531F4B"/>
    <w:rsid w:val="00531F6B"/>
    <w:rsid w:val="00531F83"/>
    <w:rsid w:val="005320EA"/>
    <w:rsid w:val="00532142"/>
    <w:rsid w:val="005321FB"/>
    <w:rsid w:val="00532436"/>
    <w:rsid w:val="005325D5"/>
    <w:rsid w:val="005325DE"/>
    <w:rsid w:val="00532641"/>
    <w:rsid w:val="00532711"/>
    <w:rsid w:val="005327B3"/>
    <w:rsid w:val="005327DD"/>
    <w:rsid w:val="005328A1"/>
    <w:rsid w:val="005329DD"/>
    <w:rsid w:val="00532A44"/>
    <w:rsid w:val="00532B7E"/>
    <w:rsid w:val="00532D66"/>
    <w:rsid w:val="00532E45"/>
    <w:rsid w:val="00532E4E"/>
    <w:rsid w:val="00532E92"/>
    <w:rsid w:val="00532EF0"/>
    <w:rsid w:val="0053300C"/>
    <w:rsid w:val="005330CC"/>
    <w:rsid w:val="0053316B"/>
    <w:rsid w:val="00533175"/>
    <w:rsid w:val="00533B5C"/>
    <w:rsid w:val="00533C78"/>
    <w:rsid w:val="00533E13"/>
    <w:rsid w:val="0053413F"/>
    <w:rsid w:val="00534221"/>
    <w:rsid w:val="005343E8"/>
    <w:rsid w:val="00534500"/>
    <w:rsid w:val="0053489F"/>
    <w:rsid w:val="005349C4"/>
    <w:rsid w:val="00534A98"/>
    <w:rsid w:val="00534B88"/>
    <w:rsid w:val="005353F0"/>
    <w:rsid w:val="005354FD"/>
    <w:rsid w:val="00535518"/>
    <w:rsid w:val="00535769"/>
    <w:rsid w:val="00535790"/>
    <w:rsid w:val="005357DE"/>
    <w:rsid w:val="00535823"/>
    <w:rsid w:val="005358B8"/>
    <w:rsid w:val="0053596D"/>
    <w:rsid w:val="00535ABB"/>
    <w:rsid w:val="00535B0A"/>
    <w:rsid w:val="00535B82"/>
    <w:rsid w:val="00535D2F"/>
    <w:rsid w:val="00535EC9"/>
    <w:rsid w:val="00535F75"/>
    <w:rsid w:val="005360F7"/>
    <w:rsid w:val="005363B3"/>
    <w:rsid w:val="005363CC"/>
    <w:rsid w:val="0053640E"/>
    <w:rsid w:val="00536494"/>
    <w:rsid w:val="0053659F"/>
    <w:rsid w:val="005365B2"/>
    <w:rsid w:val="00536736"/>
    <w:rsid w:val="0053676E"/>
    <w:rsid w:val="00536854"/>
    <w:rsid w:val="005369EC"/>
    <w:rsid w:val="00536A3C"/>
    <w:rsid w:val="00536BE8"/>
    <w:rsid w:val="00536C1C"/>
    <w:rsid w:val="00537252"/>
    <w:rsid w:val="00537583"/>
    <w:rsid w:val="005375D0"/>
    <w:rsid w:val="005375FC"/>
    <w:rsid w:val="005376EE"/>
    <w:rsid w:val="00537761"/>
    <w:rsid w:val="005377E6"/>
    <w:rsid w:val="0053786D"/>
    <w:rsid w:val="005378CC"/>
    <w:rsid w:val="0053793C"/>
    <w:rsid w:val="00537A1E"/>
    <w:rsid w:val="00537B01"/>
    <w:rsid w:val="00537CD9"/>
    <w:rsid w:val="00537CFD"/>
    <w:rsid w:val="00537DCB"/>
    <w:rsid w:val="00540033"/>
    <w:rsid w:val="005400AC"/>
    <w:rsid w:val="005400E8"/>
    <w:rsid w:val="00540191"/>
    <w:rsid w:val="00540254"/>
    <w:rsid w:val="005405C3"/>
    <w:rsid w:val="005406B5"/>
    <w:rsid w:val="00540835"/>
    <w:rsid w:val="00540845"/>
    <w:rsid w:val="00540909"/>
    <w:rsid w:val="005409C8"/>
    <w:rsid w:val="00540B49"/>
    <w:rsid w:val="00540B5C"/>
    <w:rsid w:val="00540C57"/>
    <w:rsid w:val="00540CC0"/>
    <w:rsid w:val="00540E6A"/>
    <w:rsid w:val="00540FAD"/>
    <w:rsid w:val="00541057"/>
    <w:rsid w:val="0054107F"/>
    <w:rsid w:val="005410A5"/>
    <w:rsid w:val="005411F0"/>
    <w:rsid w:val="0054132A"/>
    <w:rsid w:val="005414D5"/>
    <w:rsid w:val="00541526"/>
    <w:rsid w:val="00541537"/>
    <w:rsid w:val="00541589"/>
    <w:rsid w:val="005416FB"/>
    <w:rsid w:val="00541712"/>
    <w:rsid w:val="005419CC"/>
    <w:rsid w:val="00541ADC"/>
    <w:rsid w:val="00541C09"/>
    <w:rsid w:val="00541DC3"/>
    <w:rsid w:val="00541F22"/>
    <w:rsid w:val="00542080"/>
    <w:rsid w:val="005420AC"/>
    <w:rsid w:val="00542244"/>
    <w:rsid w:val="005422AC"/>
    <w:rsid w:val="00542362"/>
    <w:rsid w:val="0054244E"/>
    <w:rsid w:val="005424AF"/>
    <w:rsid w:val="005424F1"/>
    <w:rsid w:val="005425FE"/>
    <w:rsid w:val="0054280C"/>
    <w:rsid w:val="0054286D"/>
    <w:rsid w:val="005428A0"/>
    <w:rsid w:val="005428A5"/>
    <w:rsid w:val="0054295C"/>
    <w:rsid w:val="0054295F"/>
    <w:rsid w:val="00542AF2"/>
    <w:rsid w:val="00542D22"/>
    <w:rsid w:val="00542DB6"/>
    <w:rsid w:val="00542E36"/>
    <w:rsid w:val="00542EB9"/>
    <w:rsid w:val="00542F0E"/>
    <w:rsid w:val="00543411"/>
    <w:rsid w:val="005435C1"/>
    <w:rsid w:val="00543869"/>
    <w:rsid w:val="00544096"/>
    <w:rsid w:val="005440FE"/>
    <w:rsid w:val="00544200"/>
    <w:rsid w:val="00544242"/>
    <w:rsid w:val="005442CF"/>
    <w:rsid w:val="00544596"/>
    <w:rsid w:val="005445A9"/>
    <w:rsid w:val="005445EB"/>
    <w:rsid w:val="00544703"/>
    <w:rsid w:val="005449B7"/>
    <w:rsid w:val="00544A57"/>
    <w:rsid w:val="00544D94"/>
    <w:rsid w:val="00544EC8"/>
    <w:rsid w:val="00545115"/>
    <w:rsid w:val="0054548C"/>
    <w:rsid w:val="005454BE"/>
    <w:rsid w:val="0054552B"/>
    <w:rsid w:val="0054560C"/>
    <w:rsid w:val="005456AC"/>
    <w:rsid w:val="00545725"/>
    <w:rsid w:val="00545811"/>
    <w:rsid w:val="005459CC"/>
    <w:rsid w:val="00545AA2"/>
    <w:rsid w:val="00545C46"/>
    <w:rsid w:val="00545C6F"/>
    <w:rsid w:val="00545C95"/>
    <w:rsid w:val="00545CA5"/>
    <w:rsid w:val="00545E0E"/>
    <w:rsid w:val="0054603C"/>
    <w:rsid w:val="005460D6"/>
    <w:rsid w:val="00546204"/>
    <w:rsid w:val="005462D1"/>
    <w:rsid w:val="00546517"/>
    <w:rsid w:val="00546572"/>
    <w:rsid w:val="005466C8"/>
    <w:rsid w:val="00546A18"/>
    <w:rsid w:val="00546BCC"/>
    <w:rsid w:val="00546BE6"/>
    <w:rsid w:val="00546DB4"/>
    <w:rsid w:val="00546E1E"/>
    <w:rsid w:val="005473F8"/>
    <w:rsid w:val="0054759D"/>
    <w:rsid w:val="00547682"/>
    <w:rsid w:val="00547705"/>
    <w:rsid w:val="00547844"/>
    <w:rsid w:val="00547866"/>
    <w:rsid w:val="00547DE3"/>
    <w:rsid w:val="005490B8"/>
    <w:rsid w:val="005500C3"/>
    <w:rsid w:val="005501D6"/>
    <w:rsid w:val="0055024E"/>
    <w:rsid w:val="005503DC"/>
    <w:rsid w:val="0055049B"/>
    <w:rsid w:val="0055093C"/>
    <w:rsid w:val="00550AB0"/>
    <w:rsid w:val="00550E29"/>
    <w:rsid w:val="00550E56"/>
    <w:rsid w:val="00550EFE"/>
    <w:rsid w:val="00550F4F"/>
    <w:rsid w:val="00550FB6"/>
    <w:rsid w:val="00551325"/>
    <w:rsid w:val="005513BA"/>
    <w:rsid w:val="00551793"/>
    <w:rsid w:val="00551899"/>
    <w:rsid w:val="00551B8E"/>
    <w:rsid w:val="00551BF1"/>
    <w:rsid w:val="00551D98"/>
    <w:rsid w:val="00551E85"/>
    <w:rsid w:val="00552153"/>
    <w:rsid w:val="0055239E"/>
    <w:rsid w:val="005523DE"/>
    <w:rsid w:val="00552429"/>
    <w:rsid w:val="0055281A"/>
    <w:rsid w:val="00552868"/>
    <w:rsid w:val="005529E8"/>
    <w:rsid w:val="00552A6D"/>
    <w:rsid w:val="00552B06"/>
    <w:rsid w:val="00552D30"/>
    <w:rsid w:val="00552DF6"/>
    <w:rsid w:val="00552E4C"/>
    <w:rsid w:val="00552E83"/>
    <w:rsid w:val="00553133"/>
    <w:rsid w:val="00553250"/>
    <w:rsid w:val="005533E8"/>
    <w:rsid w:val="00553437"/>
    <w:rsid w:val="00553670"/>
    <w:rsid w:val="0055378B"/>
    <w:rsid w:val="00553843"/>
    <w:rsid w:val="005538CE"/>
    <w:rsid w:val="005539FB"/>
    <w:rsid w:val="00553ABB"/>
    <w:rsid w:val="00553AED"/>
    <w:rsid w:val="00553E45"/>
    <w:rsid w:val="00553F97"/>
    <w:rsid w:val="00554032"/>
    <w:rsid w:val="0055422A"/>
    <w:rsid w:val="005542A0"/>
    <w:rsid w:val="0055456A"/>
    <w:rsid w:val="0055456B"/>
    <w:rsid w:val="00554876"/>
    <w:rsid w:val="005548AA"/>
    <w:rsid w:val="0055497A"/>
    <w:rsid w:val="00554B0F"/>
    <w:rsid w:val="00554CCC"/>
    <w:rsid w:val="00554D83"/>
    <w:rsid w:val="00554DE1"/>
    <w:rsid w:val="00554F12"/>
    <w:rsid w:val="0055525E"/>
    <w:rsid w:val="005552D0"/>
    <w:rsid w:val="00555331"/>
    <w:rsid w:val="005553D3"/>
    <w:rsid w:val="00555595"/>
    <w:rsid w:val="005558E2"/>
    <w:rsid w:val="00555911"/>
    <w:rsid w:val="00555A0D"/>
    <w:rsid w:val="00555A74"/>
    <w:rsid w:val="00555E7B"/>
    <w:rsid w:val="005560D8"/>
    <w:rsid w:val="005560EB"/>
    <w:rsid w:val="005561CC"/>
    <w:rsid w:val="005562B0"/>
    <w:rsid w:val="005563EA"/>
    <w:rsid w:val="00556452"/>
    <w:rsid w:val="0055645E"/>
    <w:rsid w:val="00556612"/>
    <w:rsid w:val="00556622"/>
    <w:rsid w:val="00556645"/>
    <w:rsid w:val="00556787"/>
    <w:rsid w:val="00556933"/>
    <w:rsid w:val="005569DA"/>
    <w:rsid w:val="005569EB"/>
    <w:rsid w:val="00556B60"/>
    <w:rsid w:val="00556BFF"/>
    <w:rsid w:val="00556C02"/>
    <w:rsid w:val="00556C59"/>
    <w:rsid w:val="00556CBE"/>
    <w:rsid w:val="00556CF3"/>
    <w:rsid w:val="00556D92"/>
    <w:rsid w:val="00556EB5"/>
    <w:rsid w:val="005571EB"/>
    <w:rsid w:val="00557221"/>
    <w:rsid w:val="005573D2"/>
    <w:rsid w:val="005574EA"/>
    <w:rsid w:val="005574FF"/>
    <w:rsid w:val="0055754A"/>
    <w:rsid w:val="005576B9"/>
    <w:rsid w:val="005577F4"/>
    <w:rsid w:val="00557881"/>
    <w:rsid w:val="00557A12"/>
    <w:rsid w:val="00557B65"/>
    <w:rsid w:val="00557CDE"/>
    <w:rsid w:val="00557DA8"/>
    <w:rsid w:val="00557E7D"/>
    <w:rsid w:val="00557EDE"/>
    <w:rsid w:val="005602A8"/>
    <w:rsid w:val="005603F8"/>
    <w:rsid w:val="0056044F"/>
    <w:rsid w:val="00560612"/>
    <w:rsid w:val="00560742"/>
    <w:rsid w:val="00560860"/>
    <w:rsid w:val="00560891"/>
    <w:rsid w:val="00560AE3"/>
    <w:rsid w:val="00560B86"/>
    <w:rsid w:val="00560CBB"/>
    <w:rsid w:val="00561051"/>
    <w:rsid w:val="005610F0"/>
    <w:rsid w:val="00561371"/>
    <w:rsid w:val="0056146D"/>
    <w:rsid w:val="00561516"/>
    <w:rsid w:val="005618E1"/>
    <w:rsid w:val="00561F2E"/>
    <w:rsid w:val="00561F70"/>
    <w:rsid w:val="00562038"/>
    <w:rsid w:val="00562075"/>
    <w:rsid w:val="0056246A"/>
    <w:rsid w:val="0056247A"/>
    <w:rsid w:val="0056260D"/>
    <w:rsid w:val="00562612"/>
    <w:rsid w:val="005627F2"/>
    <w:rsid w:val="00562930"/>
    <w:rsid w:val="00562A6D"/>
    <w:rsid w:val="00562B5F"/>
    <w:rsid w:val="00562B91"/>
    <w:rsid w:val="00562C92"/>
    <w:rsid w:val="00562D7A"/>
    <w:rsid w:val="00562F81"/>
    <w:rsid w:val="00562F92"/>
    <w:rsid w:val="00563005"/>
    <w:rsid w:val="0056308C"/>
    <w:rsid w:val="0056314F"/>
    <w:rsid w:val="005631F9"/>
    <w:rsid w:val="0056325C"/>
    <w:rsid w:val="005632A4"/>
    <w:rsid w:val="005632CB"/>
    <w:rsid w:val="00563392"/>
    <w:rsid w:val="005633C7"/>
    <w:rsid w:val="0056342B"/>
    <w:rsid w:val="00563445"/>
    <w:rsid w:val="0056351C"/>
    <w:rsid w:val="0056353A"/>
    <w:rsid w:val="0056355D"/>
    <w:rsid w:val="00563702"/>
    <w:rsid w:val="00563817"/>
    <w:rsid w:val="00563822"/>
    <w:rsid w:val="005638DC"/>
    <w:rsid w:val="00563B92"/>
    <w:rsid w:val="00563DEA"/>
    <w:rsid w:val="00563E67"/>
    <w:rsid w:val="00563E6A"/>
    <w:rsid w:val="00564219"/>
    <w:rsid w:val="00564296"/>
    <w:rsid w:val="005642EE"/>
    <w:rsid w:val="00564471"/>
    <w:rsid w:val="00564573"/>
    <w:rsid w:val="00564583"/>
    <w:rsid w:val="0056494C"/>
    <w:rsid w:val="005649B6"/>
    <w:rsid w:val="00564A1A"/>
    <w:rsid w:val="00564B78"/>
    <w:rsid w:val="00564C73"/>
    <w:rsid w:val="00564D74"/>
    <w:rsid w:val="00564DC0"/>
    <w:rsid w:val="00564F3C"/>
    <w:rsid w:val="0056510C"/>
    <w:rsid w:val="005651FB"/>
    <w:rsid w:val="0056520C"/>
    <w:rsid w:val="00565733"/>
    <w:rsid w:val="00565805"/>
    <w:rsid w:val="00565860"/>
    <w:rsid w:val="005658D3"/>
    <w:rsid w:val="00565990"/>
    <w:rsid w:val="005659E1"/>
    <w:rsid w:val="00565A27"/>
    <w:rsid w:val="00565C4E"/>
    <w:rsid w:val="00566211"/>
    <w:rsid w:val="00566249"/>
    <w:rsid w:val="0056633A"/>
    <w:rsid w:val="00566578"/>
    <w:rsid w:val="005665A7"/>
    <w:rsid w:val="005667FC"/>
    <w:rsid w:val="0056684D"/>
    <w:rsid w:val="00566AAB"/>
    <w:rsid w:val="00566CA8"/>
    <w:rsid w:val="00566D21"/>
    <w:rsid w:val="00566D55"/>
    <w:rsid w:val="00566D65"/>
    <w:rsid w:val="00566F72"/>
    <w:rsid w:val="00566F8D"/>
    <w:rsid w:val="00567022"/>
    <w:rsid w:val="005672C0"/>
    <w:rsid w:val="00567443"/>
    <w:rsid w:val="00567524"/>
    <w:rsid w:val="005676EF"/>
    <w:rsid w:val="0056774B"/>
    <w:rsid w:val="00567855"/>
    <w:rsid w:val="005679BB"/>
    <w:rsid w:val="00567A9C"/>
    <w:rsid w:val="00567F1F"/>
    <w:rsid w:val="00567F52"/>
    <w:rsid w:val="0057005A"/>
    <w:rsid w:val="005704B1"/>
    <w:rsid w:val="005704EE"/>
    <w:rsid w:val="005707ED"/>
    <w:rsid w:val="00570801"/>
    <w:rsid w:val="00570D6C"/>
    <w:rsid w:val="00571000"/>
    <w:rsid w:val="005710B5"/>
    <w:rsid w:val="005711C4"/>
    <w:rsid w:val="005711E2"/>
    <w:rsid w:val="005714BA"/>
    <w:rsid w:val="005714D6"/>
    <w:rsid w:val="005714E0"/>
    <w:rsid w:val="005717CA"/>
    <w:rsid w:val="005718FC"/>
    <w:rsid w:val="0057195A"/>
    <w:rsid w:val="00571963"/>
    <w:rsid w:val="00571CA3"/>
    <w:rsid w:val="00571EC3"/>
    <w:rsid w:val="0057208C"/>
    <w:rsid w:val="0057223B"/>
    <w:rsid w:val="00572376"/>
    <w:rsid w:val="0057247E"/>
    <w:rsid w:val="00572489"/>
    <w:rsid w:val="0057249E"/>
    <w:rsid w:val="005724AD"/>
    <w:rsid w:val="005727ED"/>
    <w:rsid w:val="0057298B"/>
    <w:rsid w:val="00572A83"/>
    <w:rsid w:val="005735F4"/>
    <w:rsid w:val="0057363C"/>
    <w:rsid w:val="005738FC"/>
    <w:rsid w:val="00573A5B"/>
    <w:rsid w:val="00573AC8"/>
    <w:rsid w:val="005741BA"/>
    <w:rsid w:val="005742C1"/>
    <w:rsid w:val="00574458"/>
    <w:rsid w:val="005749CF"/>
    <w:rsid w:val="005749E0"/>
    <w:rsid w:val="00574A27"/>
    <w:rsid w:val="00574A3F"/>
    <w:rsid w:val="00574B09"/>
    <w:rsid w:val="00574D01"/>
    <w:rsid w:val="00575464"/>
    <w:rsid w:val="00575487"/>
    <w:rsid w:val="00575725"/>
    <w:rsid w:val="00575764"/>
    <w:rsid w:val="0057592E"/>
    <w:rsid w:val="00575A0E"/>
    <w:rsid w:val="00575ABF"/>
    <w:rsid w:val="00575DF1"/>
    <w:rsid w:val="00575F7D"/>
    <w:rsid w:val="00575FD5"/>
    <w:rsid w:val="00576245"/>
    <w:rsid w:val="00576341"/>
    <w:rsid w:val="0057639C"/>
    <w:rsid w:val="00576684"/>
    <w:rsid w:val="005768C9"/>
    <w:rsid w:val="00576AA8"/>
    <w:rsid w:val="00577144"/>
    <w:rsid w:val="00577366"/>
    <w:rsid w:val="0057741C"/>
    <w:rsid w:val="00577424"/>
    <w:rsid w:val="00577487"/>
    <w:rsid w:val="005775DB"/>
    <w:rsid w:val="0057767F"/>
    <w:rsid w:val="0057769D"/>
    <w:rsid w:val="005776A5"/>
    <w:rsid w:val="005776EE"/>
    <w:rsid w:val="0057791D"/>
    <w:rsid w:val="00577A08"/>
    <w:rsid w:val="00577D9E"/>
    <w:rsid w:val="00577EEF"/>
    <w:rsid w:val="00580176"/>
    <w:rsid w:val="00580372"/>
    <w:rsid w:val="005803CA"/>
    <w:rsid w:val="00580400"/>
    <w:rsid w:val="00580424"/>
    <w:rsid w:val="005807DB"/>
    <w:rsid w:val="0058086E"/>
    <w:rsid w:val="0058095F"/>
    <w:rsid w:val="00580A8E"/>
    <w:rsid w:val="00580BC0"/>
    <w:rsid w:val="00580D2B"/>
    <w:rsid w:val="00580F76"/>
    <w:rsid w:val="00581004"/>
    <w:rsid w:val="00581068"/>
    <w:rsid w:val="005811F2"/>
    <w:rsid w:val="005812CC"/>
    <w:rsid w:val="00581874"/>
    <w:rsid w:val="00581966"/>
    <w:rsid w:val="00581A6E"/>
    <w:rsid w:val="00581B34"/>
    <w:rsid w:val="00581D12"/>
    <w:rsid w:val="00581E68"/>
    <w:rsid w:val="005820A3"/>
    <w:rsid w:val="0058211C"/>
    <w:rsid w:val="005821B2"/>
    <w:rsid w:val="00582489"/>
    <w:rsid w:val="0058268B"/>
    <w:rsid w:val="00582876"/>
    <w:rsid w:val="005828D1"/>
    <w:rsid w:val="00582A18"/>
    <w:rsid w:val="00582BA5"/>
    <w:rsid w:val="00582E28"/>
    <w:rsid w:val="00582FA1"/>
    <w:rsid w:val="005830FC"/>
    <w:rsid w:val="005831E0"/>
    <w:rsid w:val="0058348A"/>
    <w:rsid w:val="00583573"/>
    <w:rsid w:val="0058367C"/>
    <w:rsid w:val="0058399B"/>
    <w:rsid w:val="00583B14"/>
    <w:rsid w:val="00583BB6"/>
    <w:rsid w:val="00583DBB"/>
    <w:rsid w:val="00583E6B"/>
    <w:rsid w:val="005841F8"/>
    <w:rsid w:val="00584271"/>
    <w:rsid w:val="00584432"/>
    <w:rsid w:val="005847DA"/>
    <w:rsid w:val="00584811"/>
    <w:rsid w:val="0058496F"/>
    <w:rsid w:val="00584A45"/>
    <w:rsid w:val="00584B38"/>
    <w:rsid w:val="00584BE3"/>
    <w:rsid w:val="00584C3A"/>
    <w:rsid w:val="00584DEF"/>
    <w:rsid w:val="00584E5E"/>
    <w:rsid w:val="00584F76"/>
    <w:rsid w:val="0058535F"/>
    <w:rsid w:val="0058548C"/>
    <w:rsid w:val="005854DB"/>
    <w:rsid w:val="00585508"/>
    <w:rsid w:val="005855D6"/>
    <w:rsid w:val="005856B9"/>
    <w:rsid w:val="00585758"/>
    <w:rsid w:val="0058579D"/>
    <w:rsid w:val="005857F5"/>
    <w:rsid w:val="005858A8"/>
    <w:rsid w:val="005859AB"/>
    <w:rsid w:val="005859E1"/>
    <w:rsid w:val="00585A53"/>
    <w:rsid w:val="00585C1C"/>
    <w:rsid w:val="00585DAD"/>
    <w:rsid w:val="00585FF4"/>
    <w:rsid w:val="00586099"/>
    <w:rsid w:val="0058614B"/>
    <w:rsid w:val="005861D1"/>
    <w:rsid w:val="005864BF"/>
    <w:rsid w:val="0058668A"/>
    <w:rsid w:val="00586862"/>
    <w:rsid w:val="00586B97"/>
    <w:rsid w:val="00586BD0"/>
    <w:rsid w:val="00587026"/>
    <w:rsid w:val="00587104"/>
    <w:rsid w:val="00587338"/>
    <w:rsid w:val="005873BE"/>
    <w:rsid w:val="0058751E"/>
    <w:rsid w:val="005875BD"/>
    <w:rsid w:val="005879D4"/>
    <w:rsid w:val="00587A0D"/>
    <w:rsid w:val="00587ACD"/>
    <w:rsid w:val="00587B40"/>
    <w:rsid w:val="00587BDE"/>
    <w:rsid w:val="00587C07"/>
    <w:rsid w:val="00587EA7"/>
    <w:rsid w:val="00587F32"/>
    <w:rsid w:val="00590179"/>
    <w:rsid w:val="00590193"/>
    <w:rsid w:val="00590488"/>
    <w:rsid w:val="005905D2"/>
    <w:rsid w:val="00590C18"/>
    <w:rsid w:val="00590C8F"/>
    <w:rsid w:val="00590CA9"/>
    <w:rsid w:val="00590DFE"/>
    <w:rsid w:val="00590FA3"/>
    <w:rsid w:val="00590FF3"/>
    <w:rsid w:val="00591079"/>
    <w:rsid w:val="00591099"/>
    <w:rsid w:val="005914D0"/>
    <w:rsid w:val="00591756"/>
    <w:rsid w:val="0059177A"/>
    <w:rsid w:val="005917E8"/>
    <w:rsid w:val="0059183C"/>
    <w:rsid w:val="0059197F"/>
    <w:rsid w:val="00591C57"/>
    <w:rsid w:val="00591CA9"/>
    <w:rsid w:val="0059210D"/>
    <w:rsid w:val="00592185"/>
    <w:rsid w:val="00592372"/>
    <w:rsid w:val="005923CA"/>
    <w:rsid w:val="00592578"/>
    <w:rsid w:val="005925EB"/>
    <w:rsid w:val="00592843"/>
    <w:rsid w:val="00592A44"/>
    <w:rsid w:val="00592A8D"/>
    <w:rsid w:val="00592C2A"/>
    <w:rsid w:val="00592DAE"/>
    <w:rsid w:val="00592EC0"/>
    <w:rsid w:val="00592FF0"/>
    <w:rsid w:val="00593128"/>
    <w:rsid w:val="00593473"/>
    <w:rsid w:val="0059347B"/>
    <w:rsid w:val="005936E1"/>
    <w:rsid w:val="00593721"/>
    <w:rsid w:val="00593724"/>
    <w:rsid w:val="005938E4"/>
    <w:rsid w:val="00593B48"/>
    <w:rsid w:val="00593C72"/>
    <w:rsid w:val="00593CD1"/>
    <w:rsid w:val="00593E72"/>
    <w:rsid w:val="00593F9B"/>
    <w:rsid w:val="005940F8"/>
    <w:rsid w:val="00594162"/>
    <w:rsid w:val="005941D9"/>
    <w:rsid w:val="0059426A"/>
    <w:rsid w:val="00594442"/>
    <w:rsid w:val="0059455A"/>
    <w:rsid w:val="00594768"/>
    <w:rsid w:val="0059479E"/>
    <w:rsid w:val="00594A7C"/>
    <w:rsid w:val="00594BB2"/>
    <w:rsid w:val="00594D2B"/>
    <w:rsid w:val="00594FC1"/>
    <w:rsid w:val="00595087"/>
    <w:rsid w:val="005951B7"/>
    <w:rsid w:val="00595351"/>
    <w:rsid w:val="005954BA"/>
    <w:rsid w:val="005956BD"/>
    <w:rsid w:val="00595A84"/>
    <w:rsid w:val="00595B2D"/>
    <w:rsid w:val="00595B57"/>
    <w:rsid w:val="00595BEB"/>
    <w:rsid w:val="00595F16"/>
    <w:rsid w:val="00595F7C"/>
    <w:rsid w:val="005960D9"/>
    <w:rsid w:val="00596198"/>
    <w:rsid w:val="005961F1"/>
    <w:rsid w:val="0059622E"/>
    <w:rsid w:val="005962AC"/>
    <w:rsid w:val="005962DC"/>
    <w:rsid w:val="005962FF"/>
    <w:rsid w:val="00596353"/>
    <w:rsid w:val="00596651"/>
    <w:rsid w:val="00596658"/>
    <w:rsid w:val="00596697"/>
    <w:rsid w:val="005966E8"/>
    <w:rsid w:val="0059678E"/>
    <w:rsid w:val="00596AA5"/>
    <w:rsid w:val="00596B58"/>
    <w:rsid w:val="00596C8A"/>
    <w:rsid w:val="00596D61"/>
    <w:rsid w:val="00597009"/>
    <w:rsid w:val="00597190"/>
    <w:rsid w:val="0059724B"/>
    <w:rsid w:val="005973A6"/>
    <w:rsid w:val="005974FF"/>
    <w:rsid w:val="005976F8"/>
    <w:rsid w:val="00597725"/>
    <w:rsid w:val="00597A2B"/>
    <w:rsid w:val="00597B4E"/>
    <w:rsid w:val="00597E02"/>
    <w:rsid w:val="00597FED"/>
    <w:rsid w:val="005A00B7"/>
    <w:rsid w:val="005A05E9"/>
    <w:rsid w:val="005A0652"/>
    <w:rsid w:val="005A0697"/>
    <w:rsid w:val="005A0740"/>
    <w:rsid w:val="005A07A4"/>
    <w:rsid w:val="005A0888"/>
    <w:rsid w:val="005A09DF"/>
    <w:rsid w:val="005A0E42"/>
    <w:rsid w:val="005A10EA"/>
    <w:rsid w:val="005A1160"/>
    <w:rsid w:val="005A1180"/>
    <w:rsid w:val="005A1416"/>
    <w:rsid w:val="005A1499"/>
    <w:rsid w:val="005A1652"/>
    <w:rsid w:val="005A1901"/>
    <w:rsid w:val="005A19DF"/>
    <w:rsid w:val="005A1C8D"/>
    <w:rsid w:val="005A1D66"/>
    <w:rsid w:val="005A1F62"/>
    <w:rsid w:val="005A23A4"/>
    <w:rsid w:val="005A2468"/>
    <w:rsid w:val="005A264E"/>
    <w:rsid w:val="005A266F"/>
    <w:rsid w:val="005A28B7"/>
    <w:rsid w:val="005A2980"/>
    <w:rsid w:val="005A2B07"/>
    <w:rsid w:val="005A2B29"/>
    <w:rsid w:val="005A2F08"/>
    <w:rsid w:val="005A2FFC"/>
    <w:rsid w:val="005A3107"/>
    <w:rsid w:val="005A3177"/>
    <w:rsid w:val="005A3370"/>
    <w:rsid w:val="005A34A2"/>
    <w:rsid w:val="005A371B"/>
    <w:rsid w:val="005A390A"/>
    <w:rsid w:val="005A3970"/>
    <w:rsid w:val="005A3EEE"/>
    <w:rsid w:val="005A3FC2"/>
    <w:rsid w:val="005A3FEE"/>
    <w:rsid w:val="005A42C3"/>
    <w:rsid w:val="005A441E"/>
    <w:rsid w:val="005A4492"/>
    <w:rsid w:val="005A4566"/>
    <w:rsid w:val="005A47AF"/>
    <w:rsid w:val="005A4C3D"/>
    <w:rsid w:val="005A4F31"/>
    <w:rsid w:val="005A521E"/>
    <w:rsid w:val="005A5328"/>
    <w:rsid w:val="005A53C3"/>
    <w:rsid w:val="005A542D"/>
    <w:rsid w:val="005A557C"/>
    <w:rsid w:val="005A5670"/>
    <w:rsid w:val="005A584B"/>
    <w:rsid w:val="005A586F"/>
    <w:rsid w:val="005A590C"/>
    <w:rsid w:val="005A5969"/>
    <w:rsid w:val="005A5A13"/>
    <w:rsid w:val="005A5B82"/>
    <w:rsid w:val="005A5C46"/>
    <w:rsid w:val="005A5C6C"/>
    <w:rsid w:val="005A5D74"/>
    <w:rsid w:val="005A5EC0"/>
    <w:rsid w:val="005A5F0B"/>
    <w:rsid w:val="005A5F36"/>
    <w:rsid w:val="005A5FFB"/>
    <w:rsid w:val="005A6137"/>
    <w:rsid w:val="005A630B"/>
    <w:rsid w:val="005A66AA"/>
    <w:rsid w:val="005A671D"/>
    <w:rsid w:val="005A6A9E"/>
    <w:rsid w:val="005A6B5F"/>
    <w:rsid w:val="005A6B7E"/>
    <w:rsid w:val="005A6E53"/>
    <w:rsid w:val="005A6E5D"/>
    <w:rsid w:val="005A6F1F"/>
    <w:rsid w:val="005A749F"/>
    <w:rsid w:val="005A74DA"/>
    <w:rsid w:val="005A767E"/>
    <w:rsid w:val="005A7706"/>
    <w:rsid w:val="005A782B"/>
    <w:rsid w:val="005A7D73"/>
    <w:rsid w:val="005A7E69"/>
    <w:rsid w:val="005B00C6"/>
    <w:rsid w:val="005B0179"/>
    <w:rsid w:val="005B020B"/>
    <w:rsid w:val="005B0437"/>
    <w:rsid w:val="005B052F"/>
    <w:rsid w:val="005B0598"/>
    <w:rsid w:val="005B0690"/>
    <w:rsid w:val="005B0A5C"/>
    <w:rsid w:val="005B0D04"/>
    <w:rsid w:val="005B0E70"/>
    <w:rsid w:val="005B0EA0"/>
    <w:rsid w:val="005B0F71"/>
    <w:rsid w:val="005B1012"/>
    <w:rsid w:val="005B113C"/>
    <w:rsid w:val="005B1330"/>
    <w:rsid w:val="005B1391"/>
    <w:rsid w:val="005B16A4"/>
    <w:rsid w:val="005B179C"/>
    <w:rsid w:val="005B17FE"/>
    <w:rsid w:val="005B1925"/>
    <w:rsid w:val="005B19D4"/>
    <w:rsid w:val="005B1B74"/>
    <w:rsid w:val="005B1F0C"/>
    <w:rsid w:val="005B203B"/>
    <w:rsid w:val="005B21A3"/>
    <w:rsid w:val="005B22FB"/>
    <w:rsid w:val="005B22FD"/>
    <w:rsid w:val="005B2363"/>
    <w:rsid w:val="005B237D"/>
    <w:rsid w:val="005B2850"/>
    <w:rsid w:val="005B28A4"/>
    <w:rsid w:val="005B2A15"/>
    <w:rsid w:val="005B2A6E"/>
    <w:rsid w:val="005B2AF3"/>
    <w:rsid w:val="005B2AF8"/>
    <w:rsid w:val="005B2F6C"/>
    <w:rsid w:val="005B305D"/>
    <w:rsid w:val="005B31EE"/>
    <w:rsid w:val="005B34BD"/>
    <w:rsid w:val="005B34E4"/>
    <w:rsid w:val="005B380C"/>
    <w:rsid w:val="005B3A80"/>
    <w:rsid w:val="005B3D47"/>
    <w:rsid w:val="005B3E35"/>
    <w:rsid w:val="005B3EA7"/>
    <w:rsid w:val="005B42D1"/>
    <w:rsid w:val="005B4302"/>
    <w:rsid w:val="005B44B5"/>
    <w:rsid w:val="005B4518"/>
    <w:rsid w:val="005B461E"/>
    <w:rsid w:val="005B4639"/>
    <w:rsid w:val="005B4751"/>
    <w:rsid w:val="005B4AA5"/>
    <w:rsid w:val="005B4C7B"/>
    <w:rsid w:val="005B4CA1"/>
    <w:rsid w:val="005B4EA0"/>
    <w:rsid w:val="005B50FE"/>
    <w:rsid w:val="005B5305"/>
    <w:rsid w:val="005B54E4"/>
    <w:rsid w:val="005B556F"/>
    <w:rsid w:val="005B5837"/>
    <w:rsid w:val="005B584B"/>
    <w:rsid w:val="005B5996"/>
    <w:rsid w:val="005B5B31"/>
    <w:rsid w:val="005B5B36"/>
    <w:rsid w:val="005B5EAA"/>
    <w:rsid w:val="005B5EFE"/>
    <w:rsid w:val="005B61A8"/>
    <w:rsid w:val="005B620A"/>
    <w:rsid w:val="005B6493"/>
    <w:rsid w:val="005B699E"/>
    <w:rsid w:val="005B6C0A"/>
    <w:rsid w:val="005B6DC6"/>
    <w:rsid w:val="005B6E03"/>
    <w:rsid w:val="005B7195"/>
    <w:rsid w:val="005B71A1"/>
    <w:rsid w:val="005B7283"/>
    <w:rsid w:val="005B73EF"/>
    <w:rsid w:val="005B766A"/>
    <w:rsid w:val="005B7767"/>
    <w:rsid w:val="005B7903"/>
    <w:rsid w:val="005B7CDC"/>
    <w:rsid w:val="005B7D1E"/>
    <w:rsid w:val="005B7D5E"/>
    <w:rsid w:val="005B7DCB"/>
    <w:rsid w:val="005B7EF0"/>
    <w:rsid w:val="005BF018"/>
    <w:rsid w:val="005C01D2"/>
    <w:rsid w:val="005C0423"/>
    <w:rsid w:val="005C0A61"/>
    <w:rsid w:val="005C0BFE"/>
    <w:rsid w:val="005C0C9E"/>
    <w:rsid w:val="005C0F29"/>
    <w:rsid w:val="005C1008"/>
    <w:rsid w:val="005C1081"/>
    <w:rsid w:val="005C10EB"/>
    <w:rsid w:val="005C1136"/>
    <w:rsid w:val="005C113E"/>
    <w:rsid w:val="005C1224"/>
    <w:rsid w:val="005C1239"/>
    <w:rsid w:val="005C13C3"/>
    <w:rsid w:val="005C14A6"/>
    <w:rsid w:val="005C14A7"/>
    <w:rsid w:val="005C154B"/>
    <w:rsid w:val="005C1647"/>
    <w:rsid w:val="005C1650"/>
    <w:rsid w:val="005C178B"/>
    <w:rsid w:val="005C1B58"/>
    <w:rsid w:val="005C1BFE"/>
    <w:rsid w:val="005C1E4B"/>
    <w:rsid w:val="005C1F91"/>
    <w:rsid w:val="005C202E"/>
    <w:rsid w:val="005C20C8"/>
    <w:rsid w:val="005C20F2"/>
    <w:rsid w:val="005C21C4"/>
    <w:rsid w:val="005C236E"/>
    <w:rsid w:val="005C2473"/>
    <w:rsid w:val="005C2748"/>
    <w:rsid w:val="005C2A0F"/>
    <w:rsid w:val="005C2A26"/>
    <w:rsid w:val="005C2B96"/>
    <w:rsid w:val="005C2BED"/>
    <w:rsid w:val="005C2C56"/>
    <w:rsid w:val="005C2E23"/>
    <w:rsid w:val="005C2FF8"/>
    <w:rsid w:val="005C3012"/>
    <w:rsid w:val="005C3109"/>
    <w:rsid w:val="005C3489"/>
    <w:rsid w:val="005C351A"/>
    <w:rsid w:val="005C3588"/>
    <w:rsid w:val="005C3674"/>
    <w:rsid w:val="005C38DD"/>
    <w:rsid w:val="005C3AE5"/>
    <w:rsid w:val="005C3AFD"/>
    <w:rsid w:val="005C3E78"/>
    <w:rsid w:val="005C3F74"/>
    <w:rsid w:val="005C4077"/>
    <w:rsid w:val="005C4274"/>
    <w:rsid w:val="005C4490"/>
    <w:rsid w:val="005C45D2"/>
    <w:rsid w:val="005C466C"/>
    <w:rsid w:val="005C4701"/>
    <w:rsid w:val="005C47B4"/>
    <w:rsid w:val="005C4ADF"/>
    <w:rsid w:val="005C4AFB"/>
    <w:rsid w:val="005C4BD7"/>
    <w:rsid w:val="005C4DEB"/>
    <w:rsid w:val="005C4E8E"/>
    <w:rsid w:val="005C4EFE"/>
    <w:rsid w:val="005C5045"/>
    <w:rsid w:val="005C50EA"/>
    <w:rsid w:val="005C5186"/>
    <w:rsid w:val="005C51E5"/>
    <w:rsid w:val="005C5257"/>
    <w:rsid w:val="005C5266"/>
    <w:rsid w:val="005C53CE"/>
    <w:rsid w:val="005C55B2"/>
    <w:rsid w:val="005C587B"/>
    <w:rsid w:val="005C58C3"/>
    <w:rsid w:val="005C5944"/>
    <w:rsid w:val="005C5BA2"/>
    <w:rsid w:val="005C5D78"/>
    <w:rsid w:val="005C5EA8"/>
    <w:rsid w:val="005C5F13"/>
    <w:rsid w:val="005C5F50"/>
    <w:rsid w:val="005C6086"/>
    <w:rsid w:val="005C60A1"/>
    <w:rsid w:val="005C6232"/>
    <w:rsid w:val="005C6287"/>
    <w:rsid w:val="005C641D"/>
    <w:rsid w:val="005C65FE"/>
    <w:rsid w:val="005C670A"/>
    <w:rsid w:val="005C6B0C"/>
    <w:rsid w:val="005C6D6F"/>
    <w:rsid w:val="005C6E8B"/>
    <w:rsid w:val="005C6F5E"/>
    <w:rsid w:val="005C7008"/>
    <w:rsid w:val="005C705D"/>
    <w:rsid w:val="005C70BE"/>
    <w:rsid w:val="005C7305"/>
    <w:rsid w:val="005C731D"/>
    <w:rsid w:val="005C7358"/>
    <w:rsid w:val="005C7410"/>
    <w:rsid w:val="005C7415"/>
    <w:rsid w:val="005C7444"/>
    <w:rsid w:val="005C7478"/>
    <w:rsid w:val="005C7516"/>
    <w:rsid w:val="005C766A"/>
    <w:rsid w:val="005C76EF"/>
    <w:rsid w:val="005C776F"/>
    <w:rsid w:val="005C7A9D"/>
    <w:rsid w:val="005C7B82"/>
    <w:rsid w:val="005C7DD4"/>
    <w:rsid w:val="005C7E80"/>
    <w:rsid w:val="005D00F8"/>
    <w:rsid w:val="005D02C5"/>
    <w:rsid w:val="005D03A3"/>
    <w:rsid w:val="005D05E9"/>
    <w:rsid w:val="005D0719"/>
    <w:rsid w:val="005D0913"/>
    <w:rsid w:val="005D0A6B"/>
    <w:rsid w:val="005D0D34"/>
    <w:rsid w:val="005D0E3F"/>
    <w:rsid w:val="005D1134"/>
    <w:rsid w:val="005D164D"/>
    <w:rsid w:val="005D1A12"/>
    <w:rsid w:val="005D1AC6"/>
    <w:rsid w:val="005D1B85"/>
    <w:rsid w:val="005D1E26"/>
    <w:rsid w:val="005D1F28"/>
    <w:rsid w:val="005D1F4B"/>
    <w:rsid w:val="005D20AB"/>
    <w:rsid w:val="005D22F3"/>
    <w:rsid w:val="005D242A"/>
    <w:rsid w:val="005D24AE"/>
    <w:rsid w:val="005D25BA"/>
    <w:rsid w:val="005D28E5"/>
    <w:rsid w:val="005D2A9D"/>
    <w:rsid w:val="005D2C00"/>
    <w:rsid w:val="005D2C31"/>
    <w:rsid w:val="005D2E5B"/>
    <w:rsid w:val="005D303B"/>
    <w:rsid w:val="005D3054"/>
    <w:rsid w:val="005D3107"/>
    <w:rsid w:val="005D336D"/>
    <w:rsid w:val="005D381F"/>
    <w:rsid w:val="005D3AE2"/>
    <w:rsid w:val="005D3BBE"/>
    <w:rsid w:val="005D3C0E"/>
    <w:rsid w:val="005D432B"/>
    <w:rsid w:val="005D43AC"/>
    <w:rsid w:val="005D4440"/>
    <w:rsid w:val="005D448B"/>
    <w:rsid w:val="005D4552"/>
    <w:rsid w:val="005D45B5"/>
    <w:rsid w:val="005D463F"/>
    <w:rsid w:val="005D477B"/>
    <w:rsid w:val="005D479F"/>
    <w:rsid w:val="005D49C5"/>
    <w:rsid w:val="005D4AFD"/>
    <w:rsid w:val="005D4E05"/>
    <w:rsid w:val="005D4ED9"/>
    <w:rsid w:val="005D4F34"/>
    <w:rsid w:val="005D5133"/>
    <w:rsid w:val="005D5149"/>
    <w:rsid w:val="005D5309"/>
    <w:rsid w:val="005D5317"/>
    <w:rsid w:val="005D537F"/>
    <w:rsid w:val="005D5456"/>
    <w:rsid w:val="005D547E"/>
    <w:rsid w:val="005D5533"/>
    <w:rsid w:val="005D577D"/>
    <w:rsid w:val="005D589D"/>
    <w:rsid w:val="005D5A5E"/>
    <w:rsid w:val="005D5AF9"/>
    <w:rsid w:val="005D5BDB"/>
    <w:rsid w:val="005D5BE3"/>
    <w:rsid w:val="005D5BE5"/>
    <w:rsid w:val="005D5CC9"/>
    <w:rsid w:val="005D5DF4"/>
    <w:rsid w:val="005D5FC5"/>
    <w:rsid w:val="005D6082"/>
    <w:rsid w:val="005D6118"/>
    <w:rsid w:val="005D61DE"/>
    <w:rsid w:val="005D621B"/>
    <w:rsid w:val="005D6293"/>
    <w:rsid w:val="005D63A8"/>
    <w:rsid w:val="005D654A"/>
    <w:rsid w:val="005D65C1"/>
    <w:rsid w:val="005D664A"/>
    <w:rsid w:val="005D672E"/>
    <w:rsid w:val="005D6827"/>
    <w:rsid w:val="005D686B"/>
    <w:rsid w:val="005D68FB"/>
    <w:rsid w:val="005D6990"/>
    <w:rsid w:val="005D6AF7"/>
    <w:rsid w:val="005D6E0B"/>
    <w:rsid w:val="005D72B7"/>
    <w:rsid w:val="005D793B"/>
    <w:rsid w:val="005D7A79"/>
    <w:rsid w:val="005D7DAE"/>
    <w:rsid w:val="005D7E1B"/>
    <w:rsid w:val="005E00DD"/>
    <w:rsid w:val="005E039B"/>
    <w:rsid w:val="005E045D"/>
    <w:rsid w:val="005E0557"/>
    <w:rsid w:val="005E05CF"/>
    <w:rsid w:val="005E05E1"/>
    <w:rsid w:val="005E086F"/>
    <w:rsid w:val="005E0974"/>
    <w:rsid w:val="005E0DF3"/>
    <w:rsid w:val="005E113F"/>
    <w:rsid w:val="005E1196"/>
    <w:rsid w:val="005E11BF"/>
    <w:rsid w:val="005E11C7"/>
    <w:rsid w:val="005E123F"/>
    <w:rsid w:val="005E1335"/>
    <w:rsid w:val="005E1402"/>
    <w:rsid w:val="005E170F"/>
    <w:rsid w:val="005E188D"/>
    <w:rsid w:val="005E1CB1"/>
    <w:rsid w:val="005E1D23"/>
    <w:rsid w:val="005E1E7C"/>
    <w:rsid w:val="005E1F1F"/>
    <w:rsid w:val="005E209C"/>
    <w:rsid w:val="005E20E8"/>
    <w:rsid w:val="005E213B"/>
    <w:rsid w:val="005E2429"/>
    <w:rsid w:val="005E2750"/>
    <w:rsid w:val="005E2E38"/>
    <w:rsid w:val="005E2E64"/>
    <w:rsid w:val="005E32ED"/>
    <w:rsid w:val="005E3406"/>
    <w:rsid w:val="005E344B"/>
    <w:rsid w:val="005E3476"/>
    <w:rsid w:val="005E3618"/>
    <w:rsid w:val="005E37A0"/>
    <w:rsid w:val="005E3909"/>
    <w:rsid w:val="005E3A52"/>
    <w:rsid w:val="005E3CA0"/>
    <w:rsid w:val="005E3D1C"/>
    <w:rsid w:val="005E3FAC"/>
    <w:rsid w:val="005E4190"/>
    <w:rsid w:val="005E43F7"/>
    <w:rsid w:val="005E44E4"/>
    <w:rsid w:val="005E4575"/>
    <w:rsid w:val="005E477F"/>
    <w:rsid w:val="005E47C9"/>
    <w:rsid w:val="005E4A1E"/>
    <w:rsid w:val="005E4A38"/>
    <w:rsid w:val="005E4AE4"/>
    <w:rsid w:val="005E4CFE"/>
    <w:rsid w:val="005E4D15"/>
    <w:rsid w:val="005E4EEA"/>
    <w:rsid w:val="005E590D"/>
    <w:rsid w:val="005E5C5D"/>
    <w:rsid w:val="005E5DD7"/>
    <w:rsid w:val="005E5E10"/>
    <w:rsid w:val="005E6319"/>
    <w:rsid w:val="005E6446"/>
    <w:rsid w:val="005E650C"/>
    <w:rsid w:val="005E65CC"/>
    <w:rsid w:val="005E6709"/>
    <w:rsid w:val="005E6966"/>
    <w:rsid w:val="005E69F7"/>
    <w:rsid w:val="005E6AF9"/>
    <w:rsid w:val="005E6EBE"/>
    <w:rsid w:val="005E6EE5"/>
    <w:rsid w:val="005E6FAB"/>
    <w:rsid w:val="005E706F"/>
    <w:rsid w:val="005E72AE"/>
    <w:rsid w:val="005E74AC"/>
    <w:rsid w:val="005E7572"/>
    <w:rsid w:val="005E75EE"/>
    <w:rsid w:val="005E7986"/>
    <w:rsid w:val="005E79FC"/>
    <w:rsid w:val="005E7A30"/>
    <w:rsid w:val="005E7BB6"/>
    <w:rsid w:val="005E7C1F"/>
    <w:rsid w:val="005E7DB9"/>
    <w:rsid w:val="005E7EB9"/>
    <w:rsid w:val="005E7EE4"/>
    <w:rsid w:val="005F0190"/>
    <w:rsid w:val="005F01F8"/>
    <w:rsid w:val="005F0336"/>
    <w:rsid w:val="005F092E"/>
    <w:rsid w:val="005F0A28"/>
    <w:rsid w:val="005F0D30"/>
    <w:rsid w:val="005F1170"/>
    <w:rsid w:val="005F1196"/>
    <w:rsid w:val="005F1219"/>
    <w:rsid w:val="005F12ED"/>
    <w:rsid w:val="005F136D"/>
    <w:rsid w:val="005F1710"/>
    <w:rsid w:val="005F176D"/>
    <w:rsid w:val="005F1795"/>
    <w:rsid w:val="005F1A64"/>
    <w:rsid w:val="005F1AC3"/>
    <w:rsid w:val="005F1B77"/>
    <w:rsid w:val="005F1CD6"/>
    <w:rsid w:val="005F1D88"/>
    <w:rsid w:val="005F1EA5"/>
    <w:rsid w:val="005F1FC0"/>
    <w:rsid w:val="005F1FCA"/>
    <w:rsid w:val="005F20AF"/>
    <w:rsid w:val="005F21C4"/>
    <w:rsid w:val="005F21EC"/>
    <w:rsid w:val="005F2252"/>
    <w:rsid w:val="005F2319"/>
    <w:rsid w:val="005F239B"/>
    <w:rsid w:val="005F23BF"/>
    <w:rsid w:val="005F242B"/>
    <w:rsid w:val="005F26A1"/>
    <w:rsid w:val="005F27D5"/>
    <w:rsid w:val="005F2887"/>
    <w:rsid w:val="005F2ADB"/>
    <w:rsid w:val="005F2B1B"/>
    <w:rsid w:val="005F2C2F"/>
    <w:rsid w:val="005F30C5"/>
    <w:rsid w:val="005F324B"/>
    <w:rsid w:val="005F3374"/>
    <w:rsid w:val="005F35F3"/>
    <w:rsid w:val="005F36A0"/>
    <w:rsid w:val="005F37B1"/>
    <w:rsid w:val="005F38EB"/>
    <w:rsid w:val="005F3AFD"/>
    <w:rsid w:val="005F3B48"/>
    <w:rsid w:val="005F3C99"/>
    <w:rsid w:val="005F40C9"/>
    <w:rsid w:val="005F4174"/>
    <w:rsid w:val="005F41A0"/>
    <w:rsid w:val="005F41B3"/>
    <w:rsid w:val="005F41C1"/>
    <w:rsid w:val="005F42C9"/>
    <w:rsid w:val="005F4797"/>
    <w:rsid w:val="005F4B65"/>
    <w:rsid w:val="005F4DE6"/>
    <w:rsid w:val="005F4ED3"/>
    <w:rsid w:val="005F4FD7"/>
    <w:rsid w:val="005F51E7"/>
    <w:rsid w:val="005F5249"/>
    <w:rsid w:val="005F526A"/>
    <w:rsid w:val="005F52B8"/>
    <w:rsid w:val="005F5310"/>
    <w:rsid w:val="005F546D"/>
    <w:rsid w:val="005F565C"/>
    <w:rsid w:val="005F56AE"/>
    <w:rsid w:val="005F56CF"/>
    <w:rsid w:val="005F579A"/>
    <w:rsid w:val="005F5C5C"/>
    <w:rsid w:val="005F5CD0"/>
    <w:rsid w:val="005F5EBF"/>
    <w:rsid w:val="005F602C"/>
    <w:rsid w:val="005F60CD"/>
    <w:rsid w:val="005F614D"/>
    <w:rsid w:val="005F6191"/>
    <w:rsid w:val="005F6200"/>
    <w:rsid w:val="005F62F2"/>
    <w:rsid w:val="005F631D"/>
    <w:rsid w:val="005F6694"/>
    <w:rsid w:val="005F67A2"/>
    <w:rsid w:val="005F68E1"/>
    <w:rsid w:val="005F6916"/>
    <w:rsid w:val="005F6919"/>
    <w:rsid w:val="005F6B9C"/>
    <w:rsid w:val="005F6E9D"/>
    <w:rsid w:val="005F6FB8"/>
    <w:rsid w:val="005F6FE8"/>
    <w:rsid w:val="005F6FEB"/>
    <w:rsid w:val="005F7021"/>
    <w:rsid w:val="005F718C"/>
    <w:rsid w:val="005F75F8"/>
    <w:rsid w:val="005F7683"/>
    <w:rsid w:val="005F7A9E"/>
    <w:rsid w:val="005F7AE4"/>
    <w:rsid w:val="005F7D5B"/>
    <w:rsid w:val="005F7D8A"/>
    <w:rsid w:val="005FA629"/>
    <w:rsid w:val="00600073"/>
    <w:rsid w:val="006000F2"/>
    <w:rsid w:val="0060029F"/>
    <w:rsid w:val="006006DB"/>
    <w:rsid w:val="0060078F"/>
    <w:rsid w:val="006007BC"/>
    <w:rsid w:val="0060081F"/>
    <w:rsid w:val="006009D8"/>
    <w:rsid w:val="00600FAF"/>
    <w:rsid w:val="00601061"/>
    <w:rsid w:val="00601170"/>
    <w:rsid w:val="0060134B"/>
    <w:rsid w:val="00601369"/>
    <w:rsid w:val="006013AC"/>
    <w:rsid w:val="006014FE"/>
    <w:rsid w:val="0060155F"/>
    <w:rsid w:val="0060164A"/>
    <w:rsid w:val="00601779"/>
    <w:rsid w:val="00601963"/>
    <w:rsid w:val="006019EB"/>
    <w:rsid w:val="00601AB2"/>
    <w:rsid w:val="00601D12"/>
    <w:rsid w:val="00601D86"/>
    <w:rsid w:val="00601EE0"/>
    <w:rsid w:val="00601F11"/>
    <w:rsid w:val="0060203C"/>
    <w:rsid w:val="006021F0"/>
    <w:rsid w:val="006021F1"/>
    <w:rsid w:val="00602A02"/>
    <w:rsid w:val="00602A57"/>
    <w:rsid w:val="00602BE2"/>
    <w:rsid w:val="00602DFB"/>
    <w:rsid w:val="00603038"/>
    <w:rsid w:val="00603143"/>
    <w:rsid w:val="006032A4"/>
    <w:rsid w:val="006032CE"/>
    <w:rsid w:val="006032D2"/>
    <w:rsid w:val="00603458"/>
    <w:rsid w:val="006034C8"/>
    <w:rsid w:val="00603510"/>
    <w:rsid w:val="00603523"/>
    <w:rsid w:val="00603607"/>
    <w:rsid w:val="00603683"/>
    <w:rsid w:val="006037F5"/>
    <w:rsid w:val="00603825"/>
    <w:rsid w:val="00603BF8"/>
    <w:rsid w:val="00603D47"/>
    <w:rsid w:val="00603D53"/>
    <w:rsid w:val="00604067"/>
    <w:rsid w:val="00604429"/>
    <w:rsid w:val="006045D2"/>
    <w:rsid w:val="00604611"/>
    <w:rsid w:val="00604A3A"/>
    <w:rsid w:val="00604E51"/>
    <w:rsid w:val="00604F01"/>
    <w:rsid w:val="00604F7B"/>
    <w:rsid w:val="00604FE2"/>
    <w:rsid w:val="006053BF"/>
    <w:rsid w:val="006053FA"/>
    <w:rsid w:val="00605448"/>
    <w:rsid w:val="006055D8"/>
    <w:rsid w:val="006055F1"/>
    <w:rsid w:val="006057C7"/>
    <w:rsid w:val="006058E2"/>
    <w:rsid w:val="00605928"/>
    <w:rsid w:val="006059F3"/>
    <w:rsid w:val="006059FA"/>
    <w:rsid w:val="00605A13"/>
    <w:rsid w:val="00605A7A"/>
    <w:rsid w:val="00605C48"/>
    <w:rsid w:val="00605E9D"/>
    <w:rsid w:val="00605EC6"/>
    <w:rsid w:val="00605F1E"/>
    <w:rsid w:val="0060614E"/>
    <w:rsid w:val="00606193"/>
    <w:rsid w:val="006061B7"/>
    <w:rsid w:val="006062F7"/>
    <w:rsid w:val="006063E5"/>
    <w:rsid w:val="00606415"/>
    <w:rsid w:val="006064EE"/>
    <w:rsid w:val="00606852"/>
    <w:rsid w:val="006068EE"/>
    <w:rsid w:val="00606B2E"/>
    <w:rsid w:val="00606C3B"/>
    <w:rsid w:val="00606C94"/>
    <w:rsid w:val="00606CBD"/>
    <w:rsid w:val="00607024"/>
    <w:rsid w:val="0060712C"/>
    <w:rsid w:val="0060751A"/>
    <w:rsid w:val="00607612"/>
    <w:rsid w:val="006076A0"/>
    <w:rsid w:val="0060772D"/>
    <w:rsid w:val="00607747"/>
    <w:rsid w:val="00607856"/>
    <w:rsid w:val="00607A8F"/>
    <w:rsid w:val="00607C68"/>
    <w:rsid w:val="00607D3D"/>
    <w:rsid w:val="00607D4B"/>
    <w:rsid w:val="00607E5A"/>
    <w:rsid w:val="00607F3B"/>
    <w:rsid w:val="00607F43"/>
    <w:rsid w:val="0061007F"/>
    <w:rsid w:val="006103B9"/>
    <w:rsid w:val="006104FA"/>
    <w:rsid w:val="00610519"/>
    <w:rsid w:val="00610660"/>
    <w:rsid w:val="00610881"/>
    <w:rsid w:val="006109E5"/>
    <w:rsid w:val="00610C21"/>
    <w:rsid w:val="00610E6E"/>
    <w:rsid w:val="006110D3"/>
    <w:rsid w:val="00611252"/>
    <w:rsid w:val="0061177F"/>
    <w:rsid w:val="0061180A"/>
    <w:rsid w:val="0061196F"/>
    <w:rsid w:val="00611A1F"/>
    <w:rsid w:val="00611AD9"/>
    <w:rsid w:val="00611F0D"/>
    <w:rsid w:val="006127C7"/>
    <w:rsid w:val="0061282D"/>
    <w:rsid w:val="006128A9"/>
    <w:rsid w:val="00612965"/>
    <w:rsid w:val="0061296B"/>
    <w:rsid w:val="00612A1F"/>
    <w:rsid w:val="00612AAD"/>
    <w:rsid w:val="00612B18"/>
    <w:rsid w:val="00612BA2"/>
    <w:rsid w:val="00612C0D"/>
    <w:rsid w:val="00612D34"/>
    <w:rsid w:val="00612D59"/>
    <w:rsid w:val="00612D66"/>
    <w:rsid w:val="00612ED3"/>
    <w:rsid w:val="006130A5"/>
    <w:rsid w:val="006130DC"/>
    <w:rsid w:val="0061325A"/>
    <w:rsid w:val="006132D4"/>
    <w:rsid w:val="0061335B"/>
    <w:rsid w:val="006133EE"/>
    <w:rsid w:val="006135F6"/>
    <w:rsid w:val="006138D0"/>
    <w:rsid w:val="006139B7"/>
    <w:rsid w:val="00613AC0"/>
    <w:rsid w:val="00613B59"/>
    <w:rsid w:val="00613D44"/>
    <w:rsid w:val="00613F44"/>
    <w:rsid w:val="00613F7D"/>
    <w:rsid w:val="0061450D"/>
    <w:rsid w:val="00614693"/>
    <w:rsid w:val="006146CA"/>
    <w:rsid w:val="006147DE"/>
    <w:rsid w:val="00614A19"/>
    <w:rsid w:val="00614B00"/>
    <w:rsid w:val="00614C36"/>
    <w:rsid w:val="00614D32"/>
    <w:rsid w:val="00614D4D"/>
    <w:rsid w:val="00614D9E"/>
    <w:rsid w:val="00614EB1"/>
    <w:rsid w:val="00614FB1"/>
    <w:rsid w:val="0061551F"/>
    <w:rsid w:val="006155A3"/>
    <w:rsid w:val="006156AA"/>
    <w:rsid w:val="00615793"/>
    <w:rsid w:val="0061591F"/>
    <w:rsid w:val="00615A6E"/>
    <w:rsid w:val="00615C2F"/>
    <w:rsid w:val="00615D07"/>
    <w:rsid w:val="00615EDD"/>
    <w:rsid w:val="00616092"/>
    <w:rsid w:val="00616225"/>
    <w:rsid w:val="0061622B"/>
    <w:rsid w:val="00616284"/>
    <w:rsid w:val="006164ED"/>
    <w:rsid w:val="006168FC"/>
    <w:rsid w:val="006169C5"/>
    <w:rsid w:val="00616C96"/>
    <w:rsid w:val="00616E29"/>
    <w:rsid w:val="00616FC8"/>
    <w:rsid w:val="006170BB"/>
    <w:rsid w:val="006171A1"/>
    <w:rsid w:val="006174B5"/>
    <w:rsid w:val="006175EC"/>
    <w:rsid w:val="00617ACA"/>
    <w:rsid w:val="00617C82"/>
    <w:rsid w:val="00617D39"/>
    <w:rsid w:val="00617D4E"/>
    <w:rsid w:val="00617EB5"/>
    <w:rsid w:val="00617EEB"/>
    <w:rsid w:val="00617F0A"/>
    <w:rsid w:val="006200A8"/>
    <w:rsid w:val="006201A1"/>
    <w:rsid w:val="0062030A"/>
    <w:rsid w:val="006208E2"/>
    <w:rsid w:val="00620994"/>
    <w:rsid w:val="006209D6"/>
    <w:rsid w:val="00620ECD"/>
    <w:rsid w:val="00620F4B"/>
    <w:rsid w:val="00620FD9"/>
    <w:rsid w:val="00620FDD"/>
    <w:rsid w:val="006210CF"/>
    <w:rsid w:val="0062139B"/>
    <w:rsid w:val="00621432"/>
    <w:rsid w:val="00621671"/>
    <w:rsid w:val="00621699"/>
    <w:rsid w:val="006216E6"/>
    <w:rsid w:val="0062170B"/>
    <w:rsid w:val="00621812"/>
    <w:rsid w:val="00621933"/>
    <w:rsid w:val="00621CFB"/>
    <w:rsid w:val="00621F36"/>
    <w:rsid w:val="00622096"/>
    <w:rsid w:val="0062233D"/>
    <w:rsid w:val="0062236F"/>
    <w:rsid w:val="006224C4"/>
    <w:rsid w:val="00622661"/>
    <w:rsid w:val="0062272E"/>
    <w:rsid w:val="0062283C"/>
    <w:rsid w:val="006229F5"/>
    <w:rsid w:val="00622A24"/>
    <w:rsid w:val="00622D49"/>
    <w:rsid w:val="006230B5"/>
    <w:rsid w:val="006231D2"/>
    <w:rsid w:val="00623223"/>
    <w:rsid w:val="0062328B"/>
    <w:rsid w:val="006233B4"/>
    <w:rsid w:val="00623414"/>
    <w:rsid w:val="00623416"/>
    <w:rsid w:val="006236D0"/>
    <w:rsid w:val="00623801"/>
    <w:rsid w:val="006238B2"/>
    <w:rsid w:val="006239F7"/>
    <w:rsid w:val="00623AD2"/>
    <w:rsid w:val="00623C97"/>
    <w:rsid w:val="00623E33"/>
    <w:rsid w:val="006241AC"/>
    <w:rsid w:val="006244BC"/>
    <w:rsid w:val="00624507"/>
    <w:rsid w:val="006245BC"/>
    <w:rsid w:val="00624634"/>
    <w:rsid w:val="00624786"/>
    <w:rsid w:val="006247A4"/>
    <w:rsid w:val="006248AF"/>
    <w:rsid w:val="00624BC9"/>
    <w:rsid w:val="00624CEF"/>
    <w:rsid w:val="00624D05"/>
    <w:rsid w:val="00624EF3"/>
    <w:rsid w:val="00625030"/>
    <w:rsid w:val="006251D7"/>
    <w:rsid w:val="00625343"/>
    <w:rsid w:val="00625462"/>
    <w:rsid w:val="0062589C"/>
    <w:rsid w:val="00625970"/>
    <w:rsid w:val="00625DA1"/>
    <w:rsid w:val="00625F2C"/>
    <w:rsid w:val="00625FBA"/>
    <w:rsid w:val="00626246"/>
    <w:rsid w:val="006263C1"/>
    <w:rsid w:val="0062652C"/>
    <w:rsid w:val="00626894"/>
    <w:rsid w:val="00626902"/>
    <w:rsid w:val="00626964"/>
    <w:rsid w:val="00626B34"/>
    <w:rsid w:val="00626D35"/>
    <w:rsid w:val="00626F21"/>
    <w:rsid w:val="00626FDB"/>
    <w:rsid w:val="00627107"/>
    <w:rsid w:val="00627425"/>
    <w:rsid w:val="00627ABF"/>
    <w:rsid w:val="00627DAF"/>
    <w:rsid w:val="00630226"/>
    <w:rsid w:val="00630327"/>
    <w:rsid w:val="006306B6"/>
    <w:rsid w:val="006308BF"/>
    <w:rsid w:val="00630A12"/>
    <w:rsid w:val="00630B12"/>
    <w:rsid w:val="00630C40"/>
    <w:rsid w:val="00630E65"/>
    <w:rsid w:val="00631036"/>
    <w:rsid w:val="0063137B"/>
    <w:rsid w:val="00631C4E"/>
    <w:rsid w:val="00631CDF"/>
    <w:rsid w:val="00631D5F"/>
    <w:rsid w:val="00631E0E"/>
    <w:rsid w:val="00632094"/>
    <w:rsid w:val="006322CC"/>
    <w:rsid w:val="0063239B"/>
    <w:rsid w:val="00632494"/>
    <w:rsid w:val="006324C4"/>
    <w:rsid w:val="006324FD"/>
    <w:rsid w:val="006328A5"/>
    <w:rsid w:val="00632B56"/>
    <w:rsid w:val="00632B93"/>
    <w:rsid w:val="00632BBF"/>
    <w:rsid w:val="00632C7D"/>
    <w:rsid w:val="00632CBE"/>
    <w:rsid w:val="00632F84"/>
    <w:rsid w:val="0063310B"/>
    <w:rsid w:val="006331B9"/>
    <w:rsid w:val="006331C6"/>
    <w:rsid w:val="006332B9"/>
    <w:rsid w:val="006332C6"/>
    <w:rsid w:val="00633331"/>
    <w:rsid w:val="006333A8"/>
    <w:rsid w:val="006337F4"/>
    <w:rsid w:val="00633858"/>
    <w:rsid w:val="0063388E"/>
    <w:rsid w:val="00633C2F"/>
    <w:rsid w:val="00633F11"/>
    <w:rsid w:val="00633FE2"/>
    <w:rsid w:val="00634126"/>
    <w:rsid w:val="00634543"/>
    <w:rsid w:val="00634611"/>
    <w:rsid w:val="00634684"/>
    <w:rsid w:val="0063480F"/>
    <w:rsid w:val="00634A36"/>
    <w:rsid w:val="00634A81"/>
    <w:rsid w:val="00634B10"/>
    <w:rsid w:val="00634C69"/>
    <w:rsid w:val="00634E1B"/>
    <w:rsid w:val="00634F90"/>
    <w:rsid w:val="00635169"/>
    <w:rsid w:val="006352E6"/>
    <w:rsid w:val="006354B7"/>
    <w:rsid w:val="006355EE"/>
    <w:rsid w:val="00635658"/>
    <w:rsid w:val="00635688"/>
    <w:rsid w:val="0063597E"/>
    <w:rsid w:val="00635B5C"/>
    <w:rsid w:val="00635DBC"/>
    <w:rsid w:val="00635EC2"/>
    <w:rsid w:val="00635EDF"/>
    <w:rsid w:val="00635FAA"/>
    <w:rsid w:val="006364CC"/>
    <w:rsid w:val="00636667"/>
    <w:rsid w:val="00636A42"/>
    <w:rsid w:val="00636BB6"/>
    <w:rsid w:val="00636F26"/>
    <w:rsid w:val="00637050"/>
    <w:rsid w:val="006377D7"/>
    <w:rsid w:val="00637813"/>
    <w:rsid w:val="006379DE"/>
    <w:rsid w:val="00637D45"/>
    <w:rsid w:val="00637F52"/>
    <w:rsid w:val="006400DD"/>
    <w:rsid w:val="00640370"/>
    <w:rsid w:val="006403AD"/>
    <w:rsid w:val="0064048E"/>
    <w:rsid w:val="0064065F"/>
    <w:rsid w:val="00640AA3"/>
    <w:rsid w:val="00640AE6"/>
    <w:rsid w:val="00640AEB"/>
    <w:rsid w:val="00640BFA"/>
    <w:rsid w:val="00640C10"/>
    <w:rsid w:val="00640D26"/>
    <w:rsid w:val="00640D9B"/>
    <w:rsid w:val="0064118E"/>
    <w:rsid w:val="00641738"/>
    <w:rsid w:val="0064185F"/>
    <w:rsid w:val="00641870"/>
    <w:rsid w:val="006418C4"/>
    <w:rsid w:val="00641DBE"/>
    <w:rsid w:val="00642333"/>
    <w:rsid w:val="006423C8"/>
    <w:rsid w:val="0064259F"/>
    <w:rsid w:val="0064272F"/>
    <w:rsid w:val="006428FA"/>
    <w:rsid w:val="00642A61"/>
    <w:rsid w:val="00642CAB"/>
    <w:rsid w:val="00642DE9"/>
    <w:rsid w:val="006432EE"/>
    <w:rsid w:val="00643462"/>
    <w:rsid w:val="00643597"/>
    <w:rsid w:val="00643634"/>
    <w:rsid w:val="006437E1"/>
    <w:rsid w:val="00643847"/>
    <w:rsid w:val="00643C7E"/>
    <w:rsid w:val="00643D57"/>
    <w:rsid w:val="00643DE0"/>
    <w:rsid w:val="00643E76"/>
    <w:rsid w:val="00643F8C"/>
    <w:rsid w:val="00643FB2"/>
    <w:rsid w:val="00643FBF"/>
    <w:rsid w:val="00644177"/>
    <w:rsid w:val="006442AA"/>
    <w:rsid w:val="0064446F"/>
    <w:rsid w:val="006444AC"/>
    <w:rsid w:val="00644558"/>
    <w:rsid w:val="00644C6D"/>
    <w:rsid w:val="00644CE9"/>
    <w:rsid w:val="00644CFD"/>
    <w:rsid w:val="00644D27"/>
    <w:rsid w:val="0064520D"/>
    <w:rsid w:val="006452A2"/>
    <w:rsid w:val="00645549"/>
    <w:rsid w:val="006456CA"/>
    <w:rsid w:val="00645819"/>
    <w:rsid w:val="00645896"/>
    <w:rsid w:val="0064590A"/>
    <w:rsid w:val="00645993"/>
    <w:rsid w:val="00645B83"/>
    <w:rsid w:val="00645C43"/>
    <w:rsid w:val="00645C5F"/>
    <w:rsid w:val="00645CC3"/>
    <w:rsid w:val="0064627A"/>
    <w:rsid w:val="006462D6"/>
    <w:rsid w:val="0064664B"/>
    <w:rsid w:val="0064668E"/>
    <w:rsid w:val="0064681D"/>
    <w:rsid w:val="006468A9"/>
    <w:rsid w:val="0064693C"/>
    <w:rsid w:val="006469AE"/>
    <w:rsid w:val="00646A34"/>
    <w:rsid w:val="00646B52"/>
    <w:rsid w:val="00646BB7"/>
    <w:rsid w:val="00646C5A"/>
    <w:rsid w:val="00646D3B"/>
    <w:rsid w:val="00646DC6"/>
    <w:rsid w:val="00646E83"/>
    <w:rsid w:val="00646F53"/>
    <w:rsid w:val="0064704B"/>
    <w:rsid w:val="00647721"/>
    <w:rsid w:val="0064780C"/>
    <w:rsid w:val="00647C84"/>
    <w:rsid w:val="00647D3C"/>
    <w:rsid w:val="00650116"/>
    <w:rsid w:val="0065015B"/>
    <w:rsid w:val="00650269"/>
    <w:rsid w:val="00650496"/>
    <w:rsid w:val="006511FF"/>
    <w:rsid w:val="00651210"/>
    <w:rsid w:val="0065122C"/>
    <w:rsid w:val="00651289"/>
    <w:rsid w:val="0065154D"/>
    <w:rsid w:val="0065156B"/>
    <w:rsid w:val="0065176C"/>
    <w:rsid w:val="00651809"/>
    <w:rsid w:val="0065194E"/>
    <w:rsid w:val="00651A1C"/>
    <w:rsid w:val="00651BD5"/>
    <w:rsid w:val="00651CF1"/>
    <w:rsid w:val="00651DD1"/>
    <w:rsid w:val="00651E5E"/>
    <w:rsid w:val="00651F30"/>
    <w:rsid w:val="00651FFA"/>
    <w:rsid w:val="006520E9"/>
    <w:rsid w:val="00652483"/>
    <w:rsid w:val="00652489"/>
    <w:rsid w:val="0065255E"/>
    <w:rsid w:val="006525A3"/>
    <w:rsid w:val="006527DF"/>
    <w:rsid w:val="00652873"/>
    <w:rsid w:val="0065290E"/>
    <w:rsid w:val="00652B29"/>
    <w:rsid w:val="00652B8D"/>
    <w:rsid w:val="00652BB0"/>
    <w:rsid w:val="00652C98"/>
    <w:rsid w:val="00652CBD"/>
    <w:rsid w:val="00652EFC"/>
    <w:rsid w:val="00652FED"/>
    <w:rsid w:val="00653298"/>
    <w:rsid w:val="00653348"/>
    <w:rsid w:val="00653779"/>
    <w:rsid w:val="006537D9"/>
    <w:rsid w:val="00653807"/>
    <w:rsid w:val="0065384F"/>
    <w:rsid w:val="00653949"/>
    <w:rsid w:val="00653E37"/>
    <w:rsid w:val="006540C7"/>
    <w:rsid w:val="00654317"/>
    <w:rsid w:val="00654449"/>
    <w:rsid w:val="0065453F"/>
    <w:rsid w:val="00654941"/>
    <w:rsid w:val="006549F9"/>
    <w:rsid w:val="00654B91"/>
    <w:rsid w:val="00654CB5"/>
    <w:rsid w:val="00654D70"/>
    <w:rsid w:val="00654D7B"/>
    <w:rsid w:val="0065505F"/>
    <w:rsid w:val="006551B8"/>
    <w:rsid w:val="00655272"/>
    <w:rsid w:val="006554EE"/>
    <w:rsid w:val="006556D2"/>
    <w:rsid w:val="00655839"/>
    <w:rsid w:val="00655884"/>
    <w:rsid w:val="006559D4"/>
    <w:rsid w:val="00655A13"/>
    <w:rsid w:val="00655F5A"/>
    <w:rsid w:val="0065616F"/>
    <w:rsid w:val="0065627E"/>
    <w:rsid w:val="006562DB"/>
    <w:rsid w:val="0065668C"/>
    <w:rsid w:val="006567CD"/>
    <w:rsid w:val="006568AD"/>
    <w:rsid w:val="006568B4"/>
    <w:rsid w:val="006569CD"/>
    <w:rsid w:val="00656B27"/>
    <w:rsid w:val="00656BF1"/>
    <w:rsid w:val="00656F2B"/>
    <w:rsid w:val="00656FA7"/>
    <w:rsid w:val="006571C9"/>
    <w:rsid w:val="00657264"/>
    <w:rsid w:val="006575C8"/>
    <w:rsid w:val="00657644"/>
    <w:rsid w:val="006576EA"/>
    <w:rsid w:val="00657723"/>
    <w:rsid w:val="00657841"/>
    <w:rsid w:val="006578B1"/>
    <w:rsid w:val="006579D0"/>
    <w:rsid w:val="006579D3"/>
    <w:rsid w:val="006579DC"/>
    <w:rsid w:val="00657C40"/>
    <w:rsid w:val="00657CEA"/>
    <w:rsid w:val="00657E48"/>
    <w:rsid w:val="00657EE3"/>
    <w:rsid w:val="00660094"/>
    <w:rsid w:val="00660124"/>
    <w:rsid w:val="00660253"/>
    <w:rsid w:val="006602E1"/>
    <w:rsid w:val="00660539"/>
    <w:rsid w:val="00660682"/>
    <w:rsid w:val="006606BE"/>
    <w:rsid w:val="006606F3"/>
    <w:rsid w:val="00660913"/>
    <w:rsid w:val="00660983"/>
    <w:rsid w:val="00660B0E"/>
    <w:rsid w:val="00660FBB"/>
    <w:rsid w:val="00661259"/>
    <w:rsid w:val="00661358"/>
    <w:rsid w:val="00661435"/>
    <w:rsid w:val="006618A6"/>
    <w:rsid w:val="00661A4C"/>
    <w:rsid w:val="00661D8F"/>
    <w:rsid w:val="00661E62"/>
    <w:rsid w:val="006621DD"/>
    <w:rsid w:val="006627FC"/>
    <w:rsid w:val="006628DA"/>
    <w:rsid w:val="006629D3"/>
    <w:rsid w:val="006629F8"/>
    <w:rsid w:val="00662BDD"/>
    <w:rsid w:val="006630D9"/>
    <w:rsid w:val="006633A2"/>
    <w:rsid w:val="0066346D"/>
    <w:rsid w:val="00663856"/>
    <w:rsid w:val="0066398B"/>
    <w:rsid w:val="00663C40"/>
    <w:rsid w:val="0066404D"/>
    <w:rsid w:val="0066410D"/>
    <w:rsid w:val="0066458A"/>
    <w:rsid w:val="00664830"/>
    <w:rsid w:val="006649DC"/>
    <w:rsid w:val="00664A0C"/>
    <w:rsid w:val="00664A1E"/>
    <w:rsid w:val="00664B8C"/>
    <w:rsid w:val="00664C44"/>
    <w:rsid w:val="00664E55"/>
    <w:rsid w:val="006650A6"/>
    <w:rsid w:val="0066513E"/>
    <w:rsid w:val="006651CF"/>
    <w:rsid w:val="0066523F"/>
    <w:rsid w:val="006655F9"/>
    <w:rsid w:val="006656C3"/>
    <w:rsid w:val="00665792"/>
    <w:rsid w:val="00665C02"/>
    <w:rsid w:val="00665CE6"/>
    <w:rsid w:val="00666021"/>
    <w:rsid w:val="00666403"/>
    <w:rsid w:val="006664D6"/>
    <w:rsid w:val="0066654B"/>
    <w:rsid w:val="00666695"/>
    <w:rsid w:val="006668A0"/>
    <w:rsid w:val="006668A7"/>
    <w:rsid w:val="00666A8B"/>
    <w:rsid w:val="00666AE1"/>
    <w:rsid w:val="00666CE2"/>
    <w:rsid w:val="00666DD4"/>
    <w:rsid w:val="00666F24"/>
    <w:rsid w:val="00666FD9"/>
    <w:rsid w:val="006675B5"/>
    <w:rsid w:val="006676E8"/>
    <w:rsid w:val="00667763"/>
    <w:rsid w:val="00667B20"/>
    <w:rsid w:val="00667BB9"/>
    <w:rsid w:val="00667C30"/>
    <w:rsid w:val="00667D27"/>
    <w:rsid w:val="00667E9E"/>
    <w:rsid w:val="00667EF1"/>
    <w:rsid w:val="00668B3D"/>
    <w:rsid w:val="006700AF"/>
    <w:rsid w:val="006702E9"/>
    <w:rsid w:val="00670337"/>
    <w:rsid w:val="00670373"/>
    <w:rsid w:val="006703D3"/>
    <w:rsid w:val="00670509"/>
    <w:rsid w:val="006705B8"/>
    <w:rsid w:val="006706BA"/>
    <w:rsid w:val="00670712"/>
    <w:rsid w:val="006708DF"/>
    <w:rsid w:val="00670A70"/>
    <w:rsid w:val="00670D6C"/>
    <w:rsid w:val="00670DFF"/>
    <w:rsid w:val="00670F3A"/>
    <w:rsid w:val="00670F79"/>
    <w:rsid w:val="006710CF"/>
    <w:rsid w:val="006710E2"/>
    <w:rsid w:val="00671403"/>
    <w:rsid w:val="006714FB"/>
    <w:rsid w:val="00671646"/>
    <w:rsid w:val="00671955"/>
    <w:rsid w:val="00671AF2"/>
    <w:rsid w:val="00671B5F"/>
    <w:rsid w:val="00671B8D"/>
    <w:rsid w:val="00671BE1"/>
    <w:rsid w:val="00672028"/>
    <w:rsid w:val="0067238F"/>
    <w:rsid w:val="0067280C"/>
    <w:rsid w:val="00672835"/>
    <w:rsid w:val="006728AA"/>
    <w:rsid w:val="006728DF"/>
    <w:rsid w:val="00672969"/>
    <w:rsid w:val="00672A04"/>
    <w:rsid w:val="00672D1F"/>
    <w:rsid w:val="0067347D"/>
    <w:rsid w:val="0067374A"/>
    <w:rsid w:val="006738D1"/>
    <w:rsid w:val="00673ADB"/>
    <w:rsid w:val="00673B3F"/>
    <w:rsid w:val="00673C87"/>
    <w:rsid w:val="00673F9A"/>
    <w:rsid w:val="00674077"/>
    <w:rsid w:val="006740EF"/>
    <w:rsid w:val="00674181"/>
    <w:rsid w:val="00674194"/>
    <w:rsid w:val="00674341"/>
    <w:rsid w:val="006748B0"/>
    <w:rsid w:val="00674B84"/>
    <w:rsid w:val="00674BA5"/>
    <w:rsid w:val="00674FB9"/>
    <w:rsid w:val="0067566E"/>
    <w:rsid w:val="00675788"/>
    <w:rsid w:val="00675959"/>
    <w:rsid w:val="00675CCE"/>
    <w:rsid w:val="00675E26"/>
    <w:rsid w:val="00676031"/>
    <w:rsid w:val="0067645D"/>
    <w:rsid w:val="0067647C"/>
    <w:rsid w:val="006764F4"/>
    <w:rsid w:val="006764FF"/>
    <w:rsid w:val="006767CF"/>
    <w:rsid w:val="0067686E"/>
    <w:rsid w:val="00676952"/>
    <w:rsid w:val="00676BDF"/>
    <w:rsid w:val="00676BEC"/>
    <w:rsid w:val="00676C36"/>
    <w:rsid w:val="00676C82"/>
    <w:rsid w:val="00676CF0"/>
    <w:rsid w:val="00676D2F"/>
    <w:rsid w:val="00676EB5"/>
    <w:rsid w:val="00676F89"/>
    <w:rsid w:val="0067710D"/>
    <w:rsid w:val="0067719E"/>
    <w:rsid w:val="006772B2"/>
    <w:rsid w:val="006772BF"/>
    <w:rsid w:val="006772CD"/>
    <w:rsid w:val="006774E6"/>
    <w:rsid w:val="00677518"/>
    <w:rsid w:val="00677922"/>
    <w:rsid w:val="00677928"/>
    <w:rsid w:val="00677AE9"/>
    <w:rsid w:val="00677C2F"/>
    <w:rsid w:val="00677FBC"/>
    <w:rsid w:val="00680248"/>
    <w:rsid w:val="00680454"/>
    <w:rsid w:val="006805CE"/>
    <w:rsid w:val="006805E1"/>
    <w:rsid w:val="00680617"/>
    <w:rsid w:val="00680901"/>
    <w:rsid w:val="00680955"/>
    <w:rsid w:val="006809BA"/>
    <w:rsid w:val="00680C54"/>
    <w:rsid w:val="00680E20"/>
    <w:rsid w:val="00680EF2"/>
    <w:rsid w:val="0068107E"/>
    <w:rsid w:val="006812EA"/>
    <w:rsid w:val="006812FC"/>
    <w:rsid w:val="006814F2"/>
    <w:rsid w:val="00681577"/>
    <w:rsid w:val="006817FA"/>
    <w:rsid w:val="00681E0D"/>
    <w:rsid w:val="00681FB6"/>
    <w:rsid w:val="00682466"/>
    <w:rsid w:val="006826C5"/>
    <w:rsid w:val="00682848"/>
    <w:rsid w:val="00682992"/>
    <w:rsid w:val="006829F2"/>
    <w:rsid w:val="00682B5B"/>
    <w:rsid w:val="00682D9E"/>
    <w:rsid w:val="00683125"/>
    <w:rsid w:val="00683133"/>
    <w:rsid w:val="006831DF"/>
    <w:rsid w:val="00683299"/>
    <w:rsid w:val="006832E8"/>
    <w:rsid w:val="00683529"/>
    <w:rsid w:val="006837C3"/>
    <w:rsid w:val="00683838"/>
    <w:rsid w:val="00683998"/>
    <w:rsid w:val="006843DE"/>
    <w:rsid w:val="00684488"/>
    <w:rsid w:val="0068450B"/>
    <w:rsid w:val="0068452F"/>
    <w:rsid w:val="00684567"/>
    <w:rsid w:val="006845B8"/>
    <w:rsid w:val="006845D7"/>
    <w:rsid w:val="006846AF"/>
    <w:rsid w:val="0068470F"/>
    <w:rsid w:val="00684B01"/>
    <w:rsid w:val="00684E66"/>
    <w:rsid w:val="00684E9E"/>
    <w:rsid w:val="0068527C"/>
    <w:rsid w:val="0068545D"/>
    <w:rsid w:val="00685592"/>
    <w:rsid w:val="006856B0"/>
    <w:rsid w:val="00685734"/>
    <w:rsid w:val="0068576D"/>
    <w:rsid w:val="00685CDB"/>
    <w:rsid w:val="00686258"/>
    <w:rsid w:val="00686344"/>
    <w:rsid w:val="006863BA"/>
    <w:rsid w:val="006864CD"/>
    <w:rsid w:val="00686583"/>
    <w:rsid w:val="00686628"/>
    <w:rsid w:val="006867CA"/>
    <w:rsid w:val="00686933"/>
    <w:rsid w:val="00686966"/>
    <w:rsid w:val="00686CCF"/>
    <w:rsid w:val="00686D0F"/>
    <w:rsid w:val="00686F43"/>
    <w:rsid w:val="00687071"/>
    <w:rsid w:val="006871AF"/>
    <w:rsid w:val="006871EC"/>
    <w:rsid w:val="006871FE"/>
    <w:rsid w:val="006873A7"/>
    <w:rsid w:val="006874EA"/>
    <w:rsid w:val="00687663"/>
    <w:rsid w:val="0068769F"/>
    <w:rsid w:val="006878D4"/>
    <w:rsid w:val="0068792A"/>
    <w:rsid w:val="00687AED"/>
    <w:rsid w:val="00687D50"/>
    <w:rsid w:val="00687DC8"/>
    <w:rsid w:val="0069000D"/>
    <w:rsid w:val="006901E8"/>
    <w:rsid w:val="00690228"/>
    <w:rsid w:val="006902A9"/>
    <w:rsid w:val="006904AA"/>
    <w:rsid w:val="0069063C"/>
    <w:rsid w:val="006906B5"/>
    <w:rsid w:val="00690A3F"/>
    <w:rsid w:val="00691332"/>
    <w:rsid w:val="0069144A"/>
    <w:rsid w:val="00691451"/>
    <w:rsid w:val="00691466"/>
    <w:rsid w:val="0069148B"/>
    <w:rsid w:val="0069150E"/>
    <w:rsid w:val="0069161B"/>
    <w:rsid w:val="00691B05"/>
    <w:rsid w:val="00691BB5"/>
    <w:rsid w:val="00691C50"/>
    <w:rsid w:val="00692231"/>
    <w:rsid w:val="0069234C"/>
    <w:rsid w:val="006925C7"/>
    <w:rsid w:val="00692613"/>
    <w:rsid w:val="0069268A"/>
    <w:rsid w:val="006926B8"/>
    <w:rsid w:val="00692745"/>
    <w:rsid w:val="006928AC"/>
    <w:rsid w:val="00692AFC"/>
    <w:rsid w:val="00692B64"/>
    <w:rsid w:val="00692BC9"/>
    <w:rsid w:val="00692C2D"/>
    <w:rsid w:val="00692C41"/>
    <w:rsid w:val="00692D55"/>
    <w:rsid w:val="00692D61"/>
    <w:rsid w:val="00693162"/>
    <w:rsid w:val="00693223"/>
    <w:rsid w:val="00693287"/>
    <w:rsid w:val="006933AC"/>
    <w:rsid w:val="006933E5"/>
    <w:rsid w:val="0069351B"/>
    <w:rsid w:val="0069358D"/>
    <w:rsid w:val="0069369B"/>
    <w:rsid w:val="0069371D"/>
    <w:rsid w:val="006937EB"/>
    <w:rsid w:val="006939B5"/>
    <w:rsid w:val="00693AB7"/>
    <w:rsid w:val="00693B25"/>
    <w:rsid w:val="00693E87"/>
    <w:rsid w:val="00693EF8"/>
    <w:rsid w:val="0069404C"/>
    <w:rsid w:val="006941E9"/>
    <w:rsid w:val="0069423A"/>
    <w:rsid w:val="00694275"/>
    <w:rsid w:val="006942D9"/>
    <w:rsid w:val="0069446E"/>
    <w:rsid w:val="0069451D"/>
    <w:rsid w:val="0069468B"/>
    <w:rsid w:val="0069468D"/>
    <w:rsid w:val="006946CF"/>
    <w:rsid w:val="0069473F"/>
    <w:rsid w:val="006947DD"/>
    <w:rsid w:val="00694802"/>
    <w:rsid w:val="00694836"/>
    <w:rsid w:val="00694893"/>
    <w:rsid w:val="00694B10"/>
    <w:rsid w:val="00694B12"/>
    <w:rsid w:val="00694C36"/>
    <w:rsid w:val="00694CAB"/>
    <w:rsid w:val="00694D1E"/>
    <w:rsid w:val="00694E60"/>
    <w:rsid w:val="00694EAF"/>
    <w:rsid w:val="00694FAB"/>
    <w:rsid w:val="0069508B"/>
    <w:rsid w:val="0069519A"/>
    <w:rsid w:val="00695260"/>
    <w:rsid w:val="00695630"/>
    <w:rsid w:val="0069590B"/>
    <w:rsid w:val="00695C9E"/>
    <w:rsid w:val="00695CE7"/>
    <w:rsid w:val="00695DAB"/>
    <w:rsid w:val="006962F0"/>
    <w:rsid w:val="006963B2"/>
    <w:rsid w:val="0069641A"/>
    <w:rsid w:val="006967A6"/>
    <w:rsid w:val="0069699B"/>
    <w:rsid w:val="00696A6A"/>
    <w:rsid w:val="00696A85"/>
    <w:rsid w:val="00696B6B"/>
    <w:rsid w:val="00696D66"/>
    <w:rsid w:val="00696DA6"/>
    <w:rsid w:val="00696EAD"/>
    <w:rsid w:val="006972D6"/>
    <w:rsid w:val="00697700"/>
    <w:rsid w:val="0069778B"/>
    <w:rsid w:val="00697A16"/>
    <w:rsid w:val="00697C9E"/>
    <w:rsid w:val="00697D67"/>
    <w:rsid w:val="00697D80"/>
    <w:rsid w:val="00697D86"/>
    <w:rsid w:val="00697DD4"/>
    <w:rsid w:val="00697EA9"/>
    <w:rsid w:val="00697F95"/>
    <w:rsid w:val="0069D05B"/>
    <w:rsid w:val="006A002C"/>
    <w:rsid w:val="006A0259"/>
    <w:rsid w:val="006A02FC"/>
    <w:rsid w:val="006A030D"/>
    <w:rsid w:val="006A037A"/>
    <w:rsid w:val="006A0641"/>
    <w:rsid w:val="006A0895"/>
    <w:rsid w:val="006A0C45"/>
    <w:rsid w:val="006A0E3D"/>
    <w:rsid w:val="006A1016"/>
    <w:rsid w:val="006A15D0"/>
    <w:rsid w:val="006A18B5"/>
    <w:rsid w:val="006A18E1"/>
    <w:rsid w:val="006A1BBC"/>
    <w:rsid w:val="006A1D03"/>
    <w:rsid w:val="006A1DFB"/>
    <w:rsid w:val="006A1EEC"/>
    <w:rsid w:val="006A1F60"/>
    <w:rsid w:val="006A1F8C"/>
    <w:rsid w:val="006A2165"/>
    <w:rsid w:val="006A223B"/>
    <w:rsid w:val="006A2381"/>
    <w:rsid w:val="006A25EE"/>
    <w:rsid w:val="006A26D7"/>
    <w:rsid w:val="006A2858"/>
    <w:rsid w:val="006A28DB"/>
    <w:rsid w:val="006A2B23"/>
    <w:rsid w:val="006A2F78"/>
    <w:rsid w:val="006A34FE"/>
    <w:rsid w:val="006A37D7"/>
    <w:rsid w:val="006A3A67"/>
    <w:rsid w:val="006A3B51"/>
    <w:rsid w:val="006A3C08"/>
    <w:rsid w:val="006A3C40"/>
    <w:rsid w:val="006A3D34"/>
    <w:rsid w:val="006A3E63"/>
    <w:rsid w:val="006A4056"/>
    <w:rsid w:val="006A42F2"/>
    <w:rsid w:val="006A4515"/>
    <w:rsid w:val="006A462E"/>
    <w:rsid w:val="006A4630"/>
    <w:rsid w:val="006A46A1"/>
    <w:rsid w:val="006A4D49"/>
    <w:rsid w:val="006A4D80"/>
    <w:rsid w:val="006A4F6B"/>
    <w:rsid w:val="006A4FDB"/>
    <w:rsid w:val="006A5199"/>
    <w:rsid w:val="006A5251"/>
    <w:rsid w:val="006A527A"/>
    <w:rsid w:val="006A53FC"/>
    <w:rsid w:val="006A5571"/>
    <w:rsid w:val="006A55C4"/>
    <w:rsid w:val="006A568C"/>
    <w:rsid w:val="006A5739"/>
    <w:rsid w:val="006A5C18"/>
    <w:rsid w:val="006A5F12"/>
    <w:rsid w:val="006A5FDF"/>
    <w:rsid w:val="006A6056"/>
    <w:rsid w:val="006A60E3"/>
    <w:rsid w:val="006A62AF"/>
    <w:rsid w:val="006A63D3"/>
    <w:rsid w:val="006A66A3"/>
    <w:rsid w:val="006A69D0"/>
    <w:rsid w:val="006A6BB4"/>
    <w:rsid w:val="006A6DCE"/>
    <w:rsid w:val="006A6E0A"/>
    <w:rsid w:val="006A7048"/>
    <w:rsid w:val="006A7124"/>
    <w:rsid w:val="006A72CF"/>
    <w:rsid w:val="006A7498"/>
    <w:rsid w:val="006A7706"/>
    <w:rsid w:val="006A7748"/>
    <w:rsid w:val="006A780B"/>
    <w:rsid w:val="006A7B5F"/>
    <w:rsid w:val="006A7CEA"/>
    <w:rsid w:val="006A7D0D"/>
    <w:rsid w:val="006A7D95"/>
    <w:rsid w:val="006A7F55"/>
    <w:rsid w:val="006B0036"/>
    <w:rsid w:val="006B01FD"/>
    <w:rsid w:val="006B0389"/>
    <w:rsid w:val="006B03CF"/>
    <w:rsid w:val="006B045C"/>
    <w:rsid w:val="006B05F4"/>
    <w:rsid w:val="006B0794"/>
    <w:rsid w:val="006B0806"/>
    <w:rsid w:val="006B085A"/>
    <w:rsid w:val="006B0863"/>
    <w:rsid w:val="006B087E"/>
    <w:rsid w:val="006B089F"/>
    <w:rsid w:val="006B0A56"/>
    <w:rsid w:val="006B0B13"/>
    <w:rsid w:val="006B0B29"/>
    <w:rsid w:val="006B0DE6"/>
    <w:rsid w:val="006B0ED6"/>
    <w:rsid w:val="006B10A9"/>
    <w:rsid w:val="006B120D"/>
    <w:rsid w:val="006B129D"/>
    <w:rsid w:val="006B1428"/>
    <w:rsid w:val="006B1457"/>
    <w:rsid w:val="006B1497"/>
    <w:rsid w:val="006B151B"/>
    <w:rsid w:val="006B179F"/>
    <w:rsid w:val="006B1959"/>
    <w:rsid w:val="006B1AF3"/>
    <w:rsid w:val="006B1CB4"/>
    <w:rsid w:val="006B1EC8"/>
    <w:rsid w:val="006B1F39"/>
    <w:rsid w:val="006B2070"/>
    <w:rsid w:val="006B23F9"/>
    <w:rsid w:val="006B25FF"/>
    <w:rsid w:val="006B2893"/>
    <w:rsid w:val="006B2897"/>
    <w:rsid w:val="006B29F8"/>
    <w:rsid w:val="006B2A2C"/>
    <w:rsid w:val="006B2B51"/>
    <w:rsid w:val="006B2C7A"/>
    <w:rsid w:val="006B2DDE"/>
    <w:rsid w:val="006B2F41"/>
    <w:rsid w:val="006B2F4D"/>
    <w:rsid w:val="006B30F7"/>
    <w:rsid w:val="006B3372"/>
    <w:rsid w:val="006B35C4"/>
    <w:rsid w:val="006B366C"/>
    <w:rsid w:val="006B3688"/>
    <w:rsid w:val="006B3867"/>
    <w:rsid w:val="006B38EB"/>
    <w:rsid w:val="006B38F8"/>
    <w:rsid w:val="006B3B54"/>
    <w:rsid w:val="006B3B86"/>
    <w:rsid w:val="006B3CC7"/>
    <w:rsid w:val="006B3D2A"/>
    <w:rsid w:val="006B3E4E"/>
    <w:rsid w:val="006B3F7C"/>
    <w:rsid w:val="006B412E"/>
    <w:rsid w:val="006B42EB"/>
    <w:rsid w:val="006B4510"/>
    <w:rsid w:val="006B4662"/>
    <w:rsid w:val="006B478B"/>
    <w:rsid w:val="006B49B9"/>
    <w:rsid w:val="006B49EF"/>
    <w:rsid w:val="006B49F6"/>
    <w:rsid w:val="006B4C70"/>
    <w:rsid w:val="006B4EF0"/>
    <w:rsid w:val="006B4F8D"/>
    <w:rsid w:val="006B5169"/>
    <w:rsid w:val="006B53A2"/>
    <w:rsid w:val="006B53EF"/>
    <w:rsid w:val="006B5527"/>
    <w:rsid w:val="006B556E"/>
    <w:rsid w:val="006B5607"/>
    <w:rsid w:val="006B5624"/>
    <w:rsid w:val="006B57C4"/>
    <w:rsid w:val="006B5A92"/>
    <w:rsid w:val="006B5B48"/>
    <w:rsid w:val="006B5B99"/>
    <w:rsid w:val="006B5C50"/>
    <w:rsid w:val="006B5F67"/>
    <w:rsid w:val="006B6244"/>
    <w:rsid w:val="006B62B4"/>
    <w:rsid w:val="006B630F"/>
    <w:rsid w:val="006B64C1"/>
    <w:rsid w:val="006B6719"/>
    <w:rsid w:val="006B69C8"/>
    <w:rsid w:val="006B6E41"/>
    <w:rsid w:val="006B6EC0"/>
    <w:rsid w:val="006B6F7B"/>
    <w:rsid w:val="006B7042"/>
    <w:rsid w:val="006B7060"/>
    <w:rsid w:val="006B7150"/>
    <w:rsid w:val="006B72A4"/>
    <w:rsid w:val="006B73AE"/>
    <w:rsid w:val="006B77B9"/>
    <w:rsid w:val="006B77E9"/>
    <w:rsid w:val="006B796B"/>
    <w:rsid w:val="006B79C4"/>
    <w:rsid w:val="006B79F9"/>
    <w:rsid w:val="006B7A75"/>
    <w:rsid w:val="006B7B57"/>
    <w:rsid w:val="006B7C4F"/>
    <w:rsid w:val="006B7E72"/>
    <w:rsid w:val="006B7F56"/>
    <w:rsid w:val="006BF700"/>
    <w:rsid w:val="006C04A6"/>
    <w:rsid w:val="006C052D"/>
    <w:rsid w:val="006C0539"/>
    <w:rsid w:val="006C06EC"/>
    <w:rsid w:val="006C0909"/>
    <w:rsid w:val="006C0964"/>
    <w:rsid w:val="006C0BF6"/>
    <w:rsid w:val="006C0E2E"/>
    <w:rsid w:val="006C0F29"/>
    <w:rsid w:val="006C0FC6"/>
    <w:rsid w:val="006C10ED"/>
    <w:rsid w:val="006C1217"/>
    <w:rsid w:val="006C1645"/>
    <w:rsid w:val="006C165F"/>
    <w:rsid w:val="006C18EB"/>
    <w:rsid w:val="006C1AE0"/>
    <w:rsid w:val="006C1CAA"/>
    <w:rsid w:val="006C1D10"/>
    <w:rsid w:val="006C1D30"/>
    <w:rsid w:val="006C1E5C"/>
    <w:rsid w:val="006C1ED6"/>
    <w:rsid w:val="006C1FBC"/>
    <w:rsid w:val="006C21EB"/>
    <w:rsid w:val="006C2229"/>
    <w:rsid w:val="006C2272"/>
    <w:rsid w:val="006C2416"/>
    <w:rsid w:val="006C2441"/>
    <w:rsid w:val="006C2575"/>
    <w:rsid w:val="006C2780"/>
    <w:rsid w:val="006C28B8"/>
    <w:rsid w:val="006C293F"/>
    <w:rsid w:val="006C34CB"/>
    <w:rsid w:val="006C361F"/>
    <w:rsid w:val="006C36AA"/>
    <w:rsid w:val="006C396A"/>
    <w:rsid w:val="006C3BAF"/>
    <w:rsid w:val="006C3BD6"/>
    <w:rsid w:val="006C3C73"/>
    <w:rsid w:val="006C3CF1"/>
    <w:rsid w:val="006C3D76"/>
    <w:rsid w:val="006C3DF1"/>
    <w:rsid w:val="006C3E0D"/>
    <w:rsid w:val="006C41C3"/>
    <w:rsid w:val="006C42F2"/>
    <w:rsid w:val="006C43B6"/>
    <w:rsid w:val="006C43C1"/>
    <w:rsid w:val="006C4484"/>
    <w:rsid w:val="006C4631"/>
    <w:rsid w:val="006C4654"/>
    <w:rsid w:val="006C475D"/>
    <w:rsid w:val="006C47C1"/>
    <w:rsid w:val="006C4816"/>
    <w:rsid w:val="006C489E"/>
    <w:rsid w:val="006C4B22"/>
    <w:rsid w:val="006C4C51"/>
    <w:rsid w:val="006C4CE2"/>
    <w:rsid w:val="006C4E20"/>
    <w:rsid w:val="006C4E48"/>
    <w:rsid w:val="006C4FDE"/>
    <w:rsid w:val="006C5250"/>
    <w:rsid w:val="006C52D6"/>
    <w:rsid w:val="006C533B"/>
    <w:rsid w:val="006C5471"/>
    <w:rsid w:val="006C54A9"/>
    <w:rsid w:val="006C5622"/>
    <w:rsid w:val="006C5773"/>
    <w:rsid w:val="006C5969"/>
    <w:rsid w:val="006C5BAD"/>
    <w:rsid w:val="006C5F94"/>
    <w:rsid w:val="006C60CC"/>
    <w:rsid w:val="006C6130"/>
    <w:rsid w:val="006C6155"/>
    <w:rsid w:val="006C61C6"/>
    <w:rsid w:val="006C642D"/>
    <w:rsid w:val="006C6473"/>
    <w:rsid w:val="006C690D"/>
    <w:rsid w:val="006C6989"/>
    <w:rsid w:val="006C6D4F"/>
    <w:rsid w:val="006C6D7D"/>
    <w:rsid w:val="006C6EF3"/>
    <w:rsid w:val="006C6F75"/>
    <w:rsid w:val="006C6F86"/>
    <w:rsid w:val="006C70BA"/>
    <w:rsid w:val="006C70C8"/>
    <w:rsid w:val="006C7292"/>
    <w:rsid w:val="006C7320"/>
    <w:rsid w:val="006C74C7"/>
    <w:rsid w:val="006C755C"/>
    <w:rsid w:val="006C7614"/>
    <w:rsid w:val="006C76C6"/>
    <w:rsid w:val="006C76FE"/>
    <w:rsid w:val="006C7881"/>
    <w:rsid w:val="006C78D9"/>
    <w:rsid w:val="006C793C"/>
    <w:rsid w:val="006C7BD0"/>
    <w:rsid w:val="006C7C75"/>
    <w:rsid w:val="006C7D61"/>
    <w:rsid w:val="006D004B"/>
    <w:rsid w:val="006D027D"/>
    <w:rsid w:val="006D03F8"/>
    <w:rsid w:val="006D067A"/>
    <w:rsid w:val="006D07AD"/>
    <w:rsid w:val="006D082E"/>
    <w:rsid w:val="006D0BDB"/>
    <w:rsid w:val="006D0DAA"/>
    <w:rsid w:val="006D0EDA"/>
    <w:rsid w:val="006D12A7"/>
    <w:rsid w:val="006D153C"/>
    <w:rsid w:val="006D1966"/>
    <w:rsid w:val="006D19A8"/>
    <w:rsid w:val="006D1A32"/>
    <w:rsid w:val="006D1C79"/>
    <w:rsid w:val="006D1D01"/>
    <w:rsid w:val="006D1F2A"/>
    <w:rsid w:val="006D2132"/>
    <w:rsid w:val="006D2134"/>
    <w:rsid w:val="006D2353"/>
    <w:rsid w:val="006D239E"/>
    <w:rsid w:val="006D23BC"/>
    <w:rsid w:val="006D23C5"/>
    <w:rsid w:val="006D260B"/>
    <w:rsid w:val="006D2637"/>
    <w:rsid w:val="006D2A45"/>
    <w:rsid w:val="006D2C37"/>
    <w:rsid w:val="006D2C89"/>
    <w:rsid w:val="006D2E83"/>
    <w:rsid w:val="006D2F13"/>
    <w:rsid w:val="006D2FAA"/>
    <w:rsid w:val="006D3223"/>
    <w:rsid w:val="006D333A"/>
    <w:rsid w:val="006D3715"/>
    <w:rsid w:val="006D3820"/>
    <w:rsid w:val="006D3855"/>
    <w:rsid w:val="006D38D4"/>
    <w:rsid w:val="006D38E6"/>
    <w:rsid w:val="006D3ACD"/>
    <w:rsid w:val="006D3D4F"/>
    <w:rsid w:val="006D4662"/>
    <w:rsid w:val="006D46D8"/>
    <w:rsid w:val="006D4861"/>
    <w:rsid w:val="006D49A1"/>
    <w:rsid w:val="006D4A14"/>
    <w:rsid w:val="006D4A41"/>
    <w:rsid w:val="006D4AE9"/>
    <w:rsid w:val="006D4D4C"/>
    <w:rsid w:val="006D5124"/>
    <w:rsid w:val="006D51BB"/>
    <w:rsid w:val="006D5404"/>
    <w:rsid w:val="006D56B9"/>
    <w:rsid w:val="006D5840"/>
    <w:rsid w:val="006D5D51"/>
    <w:rsid w:val="006D5EFE"/>
    <w:rsid w:val="006D6037"/>
    <w:rsid w:val="006D6120"/>
    <w:rsid w:val="006D6154"/>
    <w:rsid w:val="006D653C"/>
    <w:rsid w:val="006D65CD"/>
    <w:rsid w:val="006D65E8"/>
    <w:rsid w:val="006D6CB9"/>
    <w:rsid w:val="006D6E18"/>
    <w:rsid w:val="006D71A0"/>
    <w:rsid w:val="006D726F"/>
    <w:rsid w:val="006D742F"/>
    <w:rsid w:val="006D7465"/>
    <w:rsid w:val="006D75C6"/>
    <w:rsid w:val="006D76AF"/>
    <w:rsid w:val="006D7771"/>
    <w:rsid w:val="006D7873"/>
    <w:rsid w:val="006D78D8"/>
    <w:rsid w:val="006D793A"/>
    <w:rsid w:val="006D7B52"/>
    <w:rsid w:val="006D7B94"/>
    <w:rsid w:val="006D7D58"/>
    <w:rsid w:val="006D7D98"/>
    <w:rsid w:val="006E0398"/>
    <w:rsid w:val="006E03A9"/>
    <w:rsid w:val="006E03B2"/>
    <w:rsid w:val="006E05B9"/>
    <w:rsid w:val="006E0802"/>
    <w:rsid w:val="006E0817"/>
    <w:rsid w:val="006E0826"/>
    <w:rsid w:val="006E09D2"/>
    <w:rsid w:val="006E0A23"/>
    <w:rsid w:val="006E0B72"/>
    <w:rsid w:val="006E0D3F"/>
    <w:rsid w:val="006E0FF0"/>
    <w:rsid w:val="006E1421"/>
    <w:rsid w:val="006E1430"/>
    <w:rsid w:val="006E1573"/>
    <w:rsid w:val="006E15CE"/>
    <w:rsid w:val="006E1B32"/>
    <w:rsid w:val="006E1B85"/>
    <w:rsid w:val="006E1CB9"/>
    <w:rsid w:val="006E1D93"/>
    <w:rsid w:val="006E1DBC"/>
    <w:rsid w:val="006E1EA8"/>
    <w:rsid w:val="006E1EFD"/>
    <w:rsid w:val="006E206B"/>
    <w:rsid w:val="006E21BB"/>
    <w:rsid w:val="006E21E2"/>
    <w:rsid w:val="006E250D"/>
    <w:rsid w:val="006E251A"/>
    <w:rsid w:val="006E27F6"/>
    <w:rsid w:val="006E2A66"/>
    <w:rsid w:val="006E2AC3"/>
    <w:rsid w:val="006E2BF2"/>
    <w:rsid w:val="006E2C5D"/>
    <w:rsid w:val="006E2CAE"/>
    <w:rsid w:val="006E2CD5"/>
    <w:rsid w:val="006E2D01"/>
    <w:rsid w:val="006E2DC1"/>
    <w:rsid w:val="006E2EAA"/>
    <w:rsid w:val="006E34B5"/>
    <w:rsid w:val="006E355F"/>
    <w:rsid w:val="006E3589"/>
    <w:rsid w:val="006E35C4"/>
    <w:rsid w:val="006E3705"/>
    <w:rsid w:val="006E3916"/>
    <w:rsid w:val="006E39BA"/>
    <w:rsid w:val="006E3C1B"/>
    <w:rsid w:val="006E3C6C"/>
    <w:rsid w:val="006E4067"/>
    <w:rsid w:val="006E4429"/>
    <w:rsid w:val="006E4565"/>
    <w:rsid w:val="006E4730"/>
    <w:rsid w:val="006E479A"/>
    <w:rsid w:val="006E49F4"/>
    <w:rsid w:val="006E4AB7"/>
    <w:rsid w:val="006E4D36"/>
    <w:rsid w:val="006E4E73"/>
    <w:rsid w:val="006E504C"/>
    <w:rsid w:val="006E5121"/>
    <w:rsid w:val="006E5254"/>
    <w:rsid w:val="006E52AD"/>
    <w:rsid w:val="006E5334"/>
    <w:rsid w:val="006E53D2"/>
    <w:rsid w:val="006E567F"/>
    <w:rsid w:val="006E5693"/>
    <w:rsid w:val="006E57EE"/>
    <w:rsid w:val="006E5A2E"/>
    <w:rsid w:val="006E5AA6"/>
    <w:rsid w:val="006E5C34"/>
    <w:rsid w:val="006E5D79"/>
    <w:rsid w:val="006E5F5D"/>
    <w:rsid w:val="006E5FEB"/>
    <w:rsid w:val="006E6107"/>
    <w:rsid w:val="006E6153"/>
    <w:rsid w:val="006E616A"/>
    <w:rsid w:val="006E6179"/>
    <w:rsid w:val="006E633B"/>
    <w:rsid w:val="006E642D"/>
    <w:rsid w:val="006E6464"/>
    <w:rsid w:val="006E64C7"/>
    <w:rsid w:val="006E64F0"/>
    <w:rsid w:val="006E6521"/>
    <w:rsid w:val="006E6607"/>
    <w:rsid w:val="006E6611"/>
    <w:rsid w:val="006E6618"/>
    <w:rsid w:val="006E670A"/>
    <w:rsid w:val="006E6AE4"/>
    <w:rsid w:val="006E6B3A"/>
    <w:rsid w:val="006E6B66"/>
    <w:rsid w:val="006E6BE8"/>
    <w:rsid w:val="006E6D4C"/>
    <w:rsid w:val="006E6F56"/>
    <w:rsid w:val="006E7082"/>
    <w:rsid w:val="006E74BB"/>
    <w:rsid w:val="006E775A"/>
    <w:rsid w:val="006E77F0"/>
    <w:rsid w:val="006E78FD"/>
    <w:rsid w:val="006E7919"/>
    <w:rsid w:val="006E7B65"/>
    <w:rsid w:val="006E7E6C"/>
    <w:rsid w:val="006F0270"/>
    <w:rsid w:val="006F028F"/>
    <w:rsid w:val="006F0586"/>
    <w:rsid w:val="006F0AF1"/>
    <w:rsid w:val="006F0B57"/>
    <w:rsid w:val="006F0C96"/>
    <w:rsid w:val="006F0CF4"/>
    <w:rsid w:val="006F0FBE"/>
    <w:rsid w:val="006F0FD2"/>
    <w:rsid w:val="006F11B6"/>
    <w:rsid w:val="006F140A"/>
    <w:rsid w:val="006F14EB"/>
    <w:rsid w:val="006F157B"/>
    <w:rsid w:val="006F1743"/>
    <w:rsid w:val="006F1AE9"/>
    <w:rsid w:val="006F1D90"/>
    <w:rsid w:val="006F20D4"/>
    <w:rsid w:val="006F21FF"/>
    <w:rsid w:val="006F23DB"/>
    <w:rsid w:val="006F24AA"/>
    <w:rsid w:val="006F2969"/>
    <w:rsid w:val="006F2C82"/>
    <w:rsid w:val="006F2DC7"/>
    <w:rsid w:val="006F2EE0"/>
    <w:rsid w:val="006F3083"/>
    <w:rsid w:val="006F32E7"/>
    <w:rsid w:val="006F32FC"/>
    <w:rsid w:val="006F3701"/>
    <w:rsid w:val="006F38A3"/>
    <w:rsid w:val="006F3A2A"/>
    <w:rsid w:val="006F3CBF"/>
    <w:rsid w:val="006F3D7D"/>
    <w:rsid w:val="006F3DFE"/>
    <w:rsid w:val="006F410F"/>
    <w:rsid w:val="006F4278"/>
    <w:rsid w:val="006F42F1"/>
    <w:rsid w:val="006F4366"/>
    <w:rsid w:val="006F43DD"/>
    <w:rsid w:val="006F466F"/>
    <w:rsid w:val="006F47CE"/>
    <w:rsid w:val="006F4D47"/>
    <w:rsid w:val="006F4E62"/>
    <w:rsid w:val="006F4FBB"/>
    <w:rsid w:val="006F5176"/>
    <w:rsid w:val="006F51A1"/>
    <w:rsid w:val="006F532E"/>
    <w:rsid w:val="006F5379"/>
    <w:rsid w:val="006F5463"/>
    <w:rsid w:val="006F56C5"/>
    <w:rsid w:val="006F5794"/>
    <w:rsid w:val="006F5B1D"/>
    <w:rsid w:val="006F5BF2"/>
    <w:rsid w:val="006F6193"/>
    <w:rsid w:val="006F61DA"/>
    <w:rsid w:val="006F621D"/>
    <w:rsid w:val="006F670A"/>
    <w:rsid w:val="006F688F"/>
    <w:rsid w:val="006F6910"/>
    <w:rsid w:val="006F6C8F"/>
    <w:rsid w:val="006F6CB7"/>
    <w:rsid w:val="006F6EF8"/>
    <w:rsid w:val="006F70A4"/>
    <w:rsid w:val="006F73BA"/>
    <w:rsid w:val="006F7511"/>
    <w:rsid w:val="006F7771"/>
    <w:rsid w:val="006F7783"/>
    <w:rsid w:val="006F77A6"/>
    <w:rsid w:val="006F78CF"/>
    <w:rsid w:val="006F7997"/>
    <w:rsid w:val="006F7ABA"/>
    <w:rsid w:val="006F7C73"/>
    <w:rsid w:val="006F7E64"/>
    <w:rsid w:val="006F7F13"/>
    <w:rsid w:val="006F7F53"/>
    <w:rsid w:val="00700247"/>
    <w:rsid w:val="00700301"/>
    <w:rsid w:val="00700326"/>
    <w:rsid w:val="00700411"/>
    <w:rsid w:val="00700433"/>
    <w:rsid w:val="0070046B"/>
    <w:rsid w:val="007007B7"/>
    <w:rsid w:val="00700B7E"/>
    <w:rsid w:val="00700B97"/>
    <w:rsid w:val="00700C3A"/>
    <w:rsid w:val="00700E41"/>
    <w:rsid w:val="00700E6A"/>
    <w:rsid w:val="00700FE0"/>
    <w:rsid w:val="007010E7"/>
    <w:rsid w:val="00701165"/>
    <w:rsid w:val="00701240"/>
    <w:rsid w:val="00701274"/>
    <w:rsid w:val="007013AA"/>
    <w:rsid w:val="007013B3"/>
    <w:rsid w:val="007014B0"/>
    <w:rsid w:val="00701670"/>
    <w:rsid w:val="007016DD"/>
    <w:rsid w:val="00701852"/>
    <w:rsid w:val="007018E3"/>
    <w:rsid w:val="00701D66"/>
    <w:rsid w:val="00701D85"/>
    <w:rsid w:val="00701DF2"/>
    <w:rsid w:val="00701E67"/>
    <w:rsid w:val="00701E87"/>
    <w:rsid w:val="00701F47"/>
    <w:rsid w:val="00702027"/>
    <w:rsid w:val="007020C5"/>
    <w:rsid w:val="00702126"/>
    <w:rsid w:val="007021F2"/>
    <w:rsid w:val="00702230"/>
    <w:rsid w:val="00702233"/>
    <w:rsid w:val="007026AF"/>
    <w:rsid w:val="007028BE"/>
    <w:rsid w:val="00702946"/>
    <w:rsid w:val="00702950"/>
    <w:rsid w:val="007029A9"/>
    <w:rsid w:val="00702B2F"/>
    <w:rsid w:val="00702C43"/>
    <w:rsid w:val="00702CB0"/>
    <w:rsid w:val="00702DBC"/>
    <w:rsid w:val="007031AF"/>
    <w:rsid w:val="007035FF"/>
    <w:rsid w:val="00703817"/>
    <w:rsid w:val="00703B2D"/>
    <w:rsid w:val="00704135"/>
    <w:rsid w:val="00704373"/>
    <w:rsid w:val="00704484"/>
    <w:rsid w:val="007046DC"/>
    <w:rsid w:val="00704832"/>
    <w:rsid w:val="0070497A"/>
    <w:rsid w:val="00704E95"/>
    <w:rsid w:val="00705187"/>
    <w:rsid w:val="00705265"/>
    <w:rsid w:val="0070545D"/>
    <w:rsid w:val="00705495"/>
    <w:rsid w:val="007054D6"/>
    <w:rsid w:val="0070557D"/>
    <w:rsid w:val="007055A8"/>
    <w:rsid w:val="00705634"/>
    <w:rsid w:val="00705686"/>
    <w:rsid w:val="0070575B"/>
    <w:rsid w:val="007057F2"/>
    <w:rsid w:val="007058CB"/>
    <w:rsid w:val="00705945"/>
    <w:rsid w:val="00705B5F"/>
    <w:rsid w:val="00705B86"/>
    <w:rsid w:val="00705BAB"/>
    <w:rsid w:val="00705C90"/>
    <w:rsid w:val="0070603E"/>
    <w:rsid w:val="007061DE"/>
    <w:rsid w:val="007062F9"/>
    <w:rsid w:val="0070651E"/>
    <w:rsid w:val="007067CB"/>
    <w:rsid w:val="007068B8"/>
    <w:rsid w:val="007069A0"/>
    <w:rsid w:val="00706A7D"/>
    <w:rsid w:val="00706AA6"/>
    <w:rsid w:val="00706C18"/>
    <w:rsid w:val="00706C2B"/>
    <w:rsid w:val="00706CBC"/>
    <w:rsid w:val="00706E5B"/>
    <w:rsid w:val="007070D1"/>
    <w:rsid w:val="0070712A"/>
    <w:rsid w:val="00707272"/>
    <w:rsid w:val="007074EF"/>
    <w:rsid w:val="00707AD2"/>
    <w:rsid w:val="00707B46"/>
    <w:rsid w:val="00707BB2"/>
    <w:rsid w:val="00707C18"/>
    <w:rsid w:val="00707CA2"/>
    <w:rsid w:val="00707CAB"/>
    <w:rsid w:val="00707D4E"/>
    <w:rsid w:val="007101D9"/>
    <w:rsid w:val="007103C1"/>
    <w:rsid w:val="00710422"/>
    <w:rsid w:val="0071054C"/>
    <w:rsid w:val="00710776"/>
    <w:rsid w:val="00710799"/>
    <w:rsid w:val="00710B2A"/>
    <w:rsid w:val="00710C1F"/>
    <w:rsid w:val="00710CE2"/>
    <w:rsid w:val="00710D17"/>
    <w:rsid w:val="00710DB1"/>
    <w:rsid w:val="00710FFF"/>
    <w:rsid w:val="00711315"/>
    <w:rsid w:val="00711341"/>
    <w:rsid w:val="00711383"/>
    <w:rsid w:val="007113E5"/>
    <w:rsid w:val="0071173E"/>
    <w:rsid w:val="00711892"/>
    <w:rsid w:val="00711AD3"/>
    <w:rsid w:val="00711BEC"/>
    <w:rsid w:val="00711D35"/>
    <w:rsid w:val="00711DBC"/>
    <w:rsid w:val="00711EC9"/>
    <w:rsid w:val="0071204F"/>
    <w:rsid w:val="00712203"/>
    <w:rsid w:val="0071225F"/>
    <w:rsid w:val="00712296"/>
    <w:rsid w:val="0071234D"/>
    <w:rsid w:val="0071268F"/>
    <w:rsid w:val="00712791"/>
    <w:rsid w:val="0071282E"/>
    <w:rsid w:val="00712B2F"/>
    <w:rsid w:val="00712B6C"/>
    <w:rsid w:val="0071310F"/>
    <w:rsid w:val="007132A4"/>
    <w:rsid w:val="0071338B"/>
    <w:rsid w:val="0071344E"/>
    <w:rsid w:val="0071367E"/>
    <w:rsid w:val="00713974"/>
    <w:rsid w:val="00713A83"/>
    <w:rsid w:val="00713A90"/>
    <w:rsid w:val="00713C9B"/>
    <w:rsid w:val="007142CC"/>
    <w:rsid w:val="007142CD"/>
    <w:rsid w:val="00714366"/>
    <w:rsid w:val="00714519"/>
    <w:rsid w:val="007148FC"/>
    <w:rsid w:val="00714913"/>
    <w:rsid w:val="00714A32"/>
    <w:rsid w:val="00714B11"/>
    <w:rsid w:val="00714B6E"/>
    <w:rsid w:val="00714E0D"/>
    <w:rsid w:val="00714F25"/>
    <w:rsid w:val="00714F99"/>
    <w:rsid w:val="00715410"/>
    <w:rsid w:val="0071547A"/>
    <w:rsid w:val="007154E9"/>
    <w:rsid w:val="007156F8"/>
    <w:rsid w:val="00715821"/>
    <w:rsid w:val="00715853"/>
    <w:rsid w:val="00715A14"/>
    <w:rsid w:val="00715ACC"/>
    <w:rsid w:val="00715E5B"/>
    <w:rsid w:val="00716088"/>
    <w:rsid w:val="007160A2"/>
    <w:rsid w:val="00716109"/>
    <w:rsid w:val="0071615B"/>
    <w:rsid w:val="007162B0"/>
    <w:rsid w:val="007162B9"/>
    <w:rsid w:val="00716575"/>
    <w:rsid w:val="00716737"/>
    <w:rsid w:val="007167E4"/>
    <w:rsid w:val="00716852"/>
    <w:rsid w:val="007168CC"/>
    <w:rsid w:val="007168DE"/>
    <w:rsid w:val="00716DFA"/>
    <w:rsid w:val="00716EBA"/>
    <w:rsid w:val="00716FD1"/>
    <w:rsid w:val="00717133"/>
    <w:rsid w:val="00717391"/>
    <w:rsid w:val="0071759C"/>
    <w:rsid w:val="0071768D"/>
    <w:rsid w:val="00717760"/>
    <w:rsid w:val="00717A11"/>
    <w:rsid w:val="00717B1C"/>
    <w:rsid w:val="00717C06"/>
    <w:rsid w:val="00717D72"/>
    <w:rsid w:val="00717D78"/>
    <w:rsid w:val="00717F33"/>
    <w:rsid w:val="00720097"/>
    <w:rsid w:val="007203D1"/>
    <w:rsid w:val="00720971"/>
    <w:rsid w:val="00720A00"/>
    <w:rsid w:val="00720BFB"/>
    <w:rsid w:val="00720CE6"/>
    <w:rsid w:val="00720D66"/>
    <w:rsid w:val="00720E92"/>
    <w:rsid w:val="007211D1"/>
    <w:rsid w:val="0072132A"/>
    <w:rsid w:val="007216E1"/>
    <w:rsid w:val="00721775"/>
    <w:rsid w:val="0072192C"/>
    <w:rsid w:val="0072193A"/>
    <w:rsid w:val="00721A18"/>
    <w:rsid w:val="00721B12"/>
    <w:rsid w:val="00721B41"/>
    <w:rsid w:val="00721CE3"/>
    <w:rsid w:val="00721EBE"/>
    <w:rsid w:val="007220D1"/>
    <w:rsid w:val="007221BC"/>
    <w:rsid w:val="0072228B"/>
    <w:rsid w:val="007225C0"/>
    <w:rsid w:val="0072275D"/>
    <w:rsid w:val="0072290C"/>
    <w:rsid w:val="00722A50"/>
    <w:rsid w:val="00722E28"/>
    <w:rsid w:val="007232B9"/>
    <w:rsid w:val="007236EE"/>
    <w:rsid w:val="00723949"/>
    <w:rsid w:val="00723C3A"/>
    <w:rsid w:val="00723C8F"/>
    <w:rsid w:val="00723E06"/>
    <w:rsid w:val="00723E65"/>
    <w:rsid w:val="0072403F"/>
    <w:rsid w:val="007241C6"/>
    <w:rsid w:val="007241DC"/>
    <w:rsid w:val="00724B65"/>
    <w:rsid w:val="00724C1C"/>
    <w:rsid w:val="00724C2A"/>
    <w:rsid w:val="00724D23"/>
    <w:rsid w:val="00724F7F"/>
    <w:rsid w:val="00725013"/>
    <w:rsid w:val="007250CF"/>
    <w:rsid w:val="00725112"/>
    <w:rsid w:val="00725205"/>
    <w:rsid w:val="00725276"/>
    <w:rsid w:val="007256FF"/>
    <w:rsid w:val="007258C3"/>
    <w:rsid w:val="00725BA6"/>
    <w:rsid w:val="00725BC9"/>
    <w:rsid w:val="00725C39"/>
    <w:rsid w:val="00725D73"/>
    <w:rsid w:val="0072611F"/>
    <w:rsid w:val="007261F3"/>
    <w:rsid w:val="007265BA"/>
    <w:rsid w:val="00726623"/>
    <w:rsid w:val="00726660"/>
    <w:rsid w:val="007266C3"/>
    <w:rsid w:val="00726958"/>
    <w:rsid w:val="00726A29"/>
    <w:rsid w:val="00726A63"/>
    <w:rsid w:val="00726C04"/>
    <w:rsid w:val="00726D0C"/>
    <w:rsid w:val="00726DCD"/>
    <w:rsid w:val="00726E8E"/>
    <w:rsid w:val="007271CE"/>
    <w:rsid w:val="007272AB"/>
    <w:rsid w:val="0072744D"/>
    <w:rsid w:val="00727562"/>
    <w:rsid w:val="00727570"/>
    <w:rsid w:val="007276F6"/>
    <w:rsid w:val="00727BB7"/>
    <w:rsid w:val="00727BD5"/>
    <w:rsid w:val="00727F59"/>
    <w:rsid w:val="00727F85"/>
    <w:rsid w:val="007301FE"/>
    <w:rsid w:val="007302AB"/>
    <w:rsid w:val="00730306"/>
    <w:rsid w:val="00730618"/>
    <w:rsid w:val="0073083A"/>
    <w:rsid w:val="00730851"/>
    <w:rsid w:val="00730962"/>
    <w:rsid w:val="00730C8B"/>
    <w:rsid w:val="00730CF1"/>
    <w:rsid w:val="00731425"/>
    <w:rsid w:val="0073168B"/>
    <w:rsid w:val="007317DA"/>
    <w:rsid w:val="00731AC5"/>
    <w:rsid w:val="00731AF4"/>
    <w:rsid w:val="00731B2C"/>
    <w:rsid w:val="00731C52"/>
    <w:rsid w:val="00731CCA"/>
    <w:rsid w:val="00731D29"/>
    <w:rsid w:val="00732400"/>
    <w:rsid w:val="007325A7"/>
    <w:rsid w:val="007326CA"/>
    <w:rsid w:val="007327E7"/>
    <w:rsid w:val="00732870"/>
    <w:rsid w:val="0073295A"/>
    <w:rsid w:val="00732F37"/>
    <w:rsid w:val="007332CA"/>
    <w:rsid w:val="00733455"/>
    <w:rsid w:val="00733515"/>
    <w:rsid w:val="007335DD"/>
    <w:rsid w:val="00733635"/>
    <w:rsid w:val="00733693"/>
    <w:rsid w:val="0073375A"/>
    <w:rsid w:val="007339BB"/>
    <w:rsid w:val="00733BD5"/>
    <w:rsid w:val="00733D32"/>
    <w:rsid w:val="0073401E"/>
    <w:rsid w:val="007341AE"/>
    <w:rsid w:val="0073421F"/>
    <w:rsid w:val="0073449D"/>
    <w:rsid w:val="0073453C"/>
    <w:rsid w:val="00734583"/>
    <w:rsid w:val="007345C1"/>
    <w:rsid w:val="007345CB"/>
    <w:rsid w:val="007348D4"/>
    <w:rsid w:val="007348F3"/>
    <w:rsid w:val="0073490B"/>
    <w:rsid w:val="00734B9E"/>
    <w:rsid w:val="00734D0B"/>
    <w:rsid w:val="00734D3C"/>
    <w:rsid w:val="00734ED2"/>
    <w:rsid w:val="00734EDB"/>
    <w:rsid w:val="00735110"/>
    <w:rsid w:val="00735193"/>
    <w:rsid w:val="007353EE"/>
    <w:rsid w:val="00735415"/>
    <w:rsid w:val="00735447"/>
    <w:rsid w:val="00735507"/>
    <w:rsid w:val="007355DC"/>
    <w:rsid w:val="0073561F"/>
    <w:rsid w:val="007357C6"/>
    <w:rsid w:val="00735957"/>
    <w:rsid w:val="007359A0"/>
    <w:rsid w:val="00735AAE"/>
    <w:rsid w:val="00735B41"/>
    <w:rsid w:val="00735D89"/>
    <w:rsid w:val="00735E3E"/>
    <w:rsid w:val="00735E4B"/>
    <w:rsid w:val="00735EF2"/>
    <w:rsid w:val="007360FA"/>
    <w:rsid w:val="00736158"/>
    <w:rsid w:val="00736245"/>
    <w:rsid w:val="007363A3"/>
    <w:rsid w:val="0073650C"/>
    <w:rsid w:val="007368F9"/>
    <w:rsid w:val="00736ADB"/>
    <w:rsid w:val="00736B74"/>
    <w:rsid w:val="00736B89"/>
    <w:rsid w:val="00736ED6"/>
    <w:rsid w:val="00736EFD"/>
    <w:rsid w:val="0073731C"/>
    <w:rsid w:val="007373A0"/>
    <w:rsid w:val="007373CF"/>
    <w:rsid w:val="0073743B"/>
    <w:rsid w:val="007374A9"/>
    <w:rsid w:val="007375EB"/>
    <w:rsid w:val="00737908"/>
    <w:rsid w:val="0073790B"/>
    <w:rsid w:val="007379B5"/>
    <w:rsid w:val="007379BE"/>
    <w:rsid w:val="00737D9F"/>
    <w:rsid w:val="00737FBE"/>
    <w:rsid w:val="00740015"/>
    <w:rsid w:val="0074009A"/>
    <w:rsid w:val="00740285"/>
    <w:rsid w:val="00740334"/>
    <w:rsid w:val="00740440"/>
    <w:rsid w:val="00740547"/>
    <w:rsid w:val="00740876"/>
    <w:rsid w:val="00740946"/>
    <w:rsid w:val="00740979"/>
    <w:rsid w:val="00740DA8"/>
    <w:rsid w:val="00740F21"/>
    <w:rsid w:val="00740FD0"/>
    <w:rsid w:val="00741637"/>
    <w:rsid w:val="00741968"/>
    <w:rsid w:val="0074199C"/>
    <w:rsid w:val="00741B98"/>
    <w:rsid w:val="00742068"/>
    <w:rsid w:val="0074229F"/>
    <w:rsid w:val="007425CF"/>
    <w:rsid w:val="00742674"/>
    <w:rsid w:val="00742837"/>
    <w:rsid w:val="00742B92"/>
    <w:rsid w:val="00742CB1"/>
    <w:rsid w:val="00742E6D"/>
    <w:rsid w:val="00742FDF"/>
    <w:rsid w:val="0074303A"/>
    <w:rsid w:val="007432E7"/>
    <w:rsid w:val="00743387"/>
    <w:rsid w:val="0074359E"/>
    <w:rsid w:val="007437D6"/>
    <w:rsid w:val="00743969"/>
    <w:rsid w:val="007439A2"/>
    <w:rsid w:val="00743B46"/>
    <w:rsid w:val="00743C92"/>
    <w:rsid w:val="00743F6F"/>
    <w:rsid w:val="00743F81"/>
    <w:rsid w:val="00743FE4"/>
    <w:rsid w:val="0074407C"/>
    <w:rsid w:val="00744366"/>
    <w:rsid w:val="00744679"/>
    <w:rsid w:val="00744B16"/>
    <w:rsid w:val="00744BF9"/>
    <w:rsid w:val="00744EE3"/>
    <w:rsid w:val="00744EEF"/>
    <w:rsid w:val="00744F59"/>
    <w:rsid w:val="007450E1"/>
    <w:rsid w:val="007451F1"/>
    <w:rsid w:val="007452E7"/>
    <w:rsid w:val="00745321"/>
    <w:rsid w:val="00745816"/>
    <w:rsid w:val="007458D2"/>
    <w:rsid w:val="00745A26"/>
    <w:rsid w:val="00745B6F"/>
    <w:rsid w:val="00745E74"/>
    <w:rsid w:val="00746054"/>
    <w:rsid w:val="00746172"/>
    <w:rsid w:val="007461FC"/>
    <w:rsid w:val="007463E9"/>
    <w:rsid w:val="00746433"/>
    <w:rsid w:val="00746BB5"/>
    <w:rsid w:val="00746CC7"/>
    <w:rsid w:val="00746E89"/>
    <w:rsid w:val="00746FF0"/>
    <w:rsid w:val="00747085"/>
    <w:rsid w:val="00747131"/>
    <w:rsid w:val="0074718E"/>
    <w:rsid w:val="00747253"/>
    <w:rsid w:val="00747405"/>
    <w:rsid w:val="00747636"/>
    <w:rsid w:val="00747678"/>
    <w:rsid w:val="00747AE0"/>
    <w:rsid w:val="00747B2D"/>
    <w:rsid w:val="00747B70"/>
    <w:rsid w:val="00747F59"/>
    <w:rsid w:val="00750154"/>
    <w:rsid w:val="00750311"/>
    <w:rsid w:val="007505CA"/>
    <w:rsid w:val="00750658"/>
    <w:rsid w:val="0075072E"/>
    <w:rsid w:val="007507CF"/>
    <w:rsid w:val="00750889"/>
    <w:rsid w:val="00750A02"/>
    <w:rsid w:val="00750A3D"/>
    <w:rsid w:val="00750A95"/>
    <w:rsid w:val="00750AA3"/>
    <w:rsid w:val="00750C0F"/>
    <w:rsid w:val="00750C45"/>
    <w:rsid w:val="00751277"/>
    <w:rsid w:val="0075134E"/>
    <w:rsid w:val="00751509"/>
    <w:rsid w:val="0075153C"/>
    <w:rsid w:val="007515FA"/>
    <w:rsid w:val="00751746"/>
    <w:rsid w:val="007517F4"/>
    <w:rsid w:val="00751892"/>
    <w:rsid w:val="007519A5"/>
    <w:rsid w:val="00751AA6"/>
    <w:rsid w:val="00751B87"/>
    <w:rsid w:val="00751ECC"/>
    <w:rsid w:val="0075230C"/>
    <w:rsid w:val="0075235A"/>
    <w:rsid w:val="007523B4"/>
    <w:rsid w:val="00752525"/>
    <w:rsid w:val="0075257F"/>
    <w:rsid w:val="007528DE"/>
    <w:rsid w:val="00752975"/>
    <w:rsid w:val="007529A9"/>
    <w:rsid w:val="00752A3C"/>
    <w:rsid w:val="00752AD5"/>
    <w:rsid w:val="00752B93"/>
    <w:rsid w:val="00752F04"/>
    <w:rsid w:val="00753006"/>
    <w:rsid w:val="00753125"/>
    <w:rsid w:val="0075362D"/>
    <w:rsid w:val="00753916"/>
    <w:rsid w:val="0075393E"/>
    <w:rsid w:val="00753965"/>
    <w:rsid w:val="00753D02"/>
    <w:rsid w:val="00753DE7"/>
    <w:rsid w:val="00753E28"/>
    <w:rsid w:val="0075400F"/>
    <w:rsid w:val="00754398"/>
    <w:rsid w:val="00754522"/>
    <w:rsid w:val="007545FF"/>
    <w:rsid w:val="00754813"/>
    <w:rsid w:val="00754A17"/>
    <w:rsid w:val="00754BFD"/>
    <w:rsid w:val="00754C95"/>
    <w:rsid w:val="00754EC8"/>
    <w:rsid w:val="00754F32"/>
    <w:rsid w:val="00755046"/>
    <w:rsid w:val="00755064"/>
    <w:rsid w:val="00755067"/>
    <w:rsid w:val="007550D3"/>
    <w:rsid w:val="0075519A"/>
    <w:rsid w:val="007551D5"/>
    <w:rsid w:val="007552C9"/>
    <w:rsid w:val="007553AE"/>
    <w:rsid w:val="007555D4"/>
    <w:rsid w:val="007559F2"/>
    <w:rsid w:val="00755A3E"/>
    <w:rsid w:val="00755AC5"/>
    <w:rsid w:val="00755C7E"/>
    <w:rsid w:val="00755D55"/>
    <w:rsid w:val="00755D5D"/>
    <w:rsid w:val="00755E3A"/>
    <w:rsid w:val="00755F41"/>
    <w:rsid w:val="0075601D"/>
    <w:rsid w:val="0075605A"/>
    <w:rsid w:val="00756484"/>
    <w:rsid w:val="007564C7"/>
    <w:rsid w:val="007565F9"/>
    <w:rsid w:val="007565FD"/>
    <w:rsid w:val="007566B5"/>
    <w:rsid w:val="007566DB"/>
    <w:rsid w:val="0075679C"/>
    <w:rsid w:val="007568A3"/>
    <w:rsid w:val="007569E3"/>
    <w:rsid w:val="00756EB0"/>
    <w:rsid w:val="00757018"/>
    <w:rsid w:val="00757044"/>
    <w:rsid w:val="00757068"/>
    <w:rsid w:val="0075752B"/>
    <w:rsid w:val="007576D9"/>
    <w:rsid w:val="00757F47"/>
    <w:rsid w:val="00757FCA"/>
    <w:rsid w:val="0075E8B7"/>
    <w:rsid w:val="00760120"/>
    <w:rsid w:val="00760329"/>
    <w:rsid w:val="00760359"/>
    <w:rsid w:val="007604FA"/>
    <w:rsid w:val="00760618"/>
    <w:rsid w:val="00760704"/>
    <w:rsid w:val="00760822"/>
    <w:rsid w:val="007609F4"/>
    <w:rsid w:val="00760AD1"/>
    <w:rsid w:val="00760B34"/>
    <w:rsid w:val="00760F7A"/>
    <w:rsid w:val="0076109E"/>
    <w:rsid w:val="00761163"/>
    <w:rsid w:val="00761355"/>
    <w:rsid w:val="0076147F"/>
    <w:rsid w:val="00761707"/>
    <w:rsid w:val="0076176D"/>
    <w:rsid w:val="007619CA"/>
    <w:rsid w:val="007619EF"/>
    <w:rsid w:val="0076207A"/>
    <w:rsid w:val="00762142"/>
    <w:rsid w:val="007622DD"/>
    <w:rsid w:val="0076271C"/>
    <w:rsid w:val="007627C4"/>
    <w:rsid w:val="00762890"/>
    <w:rsid w:val="007628B1"/>
    <w:rsid w:val="00762985"/>
    <w:rsid w:val="007629D2"/>
    <w:rsid w:val="00762A51"/>
    <w:rsid w:val="00762BF2"/>
    <w:rsid w:val="00762BFB"/>
    <w:rsid w:val="00762DBA"/>
    <w:rsid w:val="00762E17"/>
    <w:rsid w:val="00762F17"/>
    <w:rsid w:val="00762F46"/>
    <w:rsid w:val="00763236"/>
    <w:rsid w:val="00763536"/>
    <w:rsid w:val="00763664"/>
    <w:rsid w:val="007636D3"/>
    <w:rsid w:val="00763B47"/>
    <w:rsid w:val="00763C93"/>
    <w:rsid w:val="00763F19"/>
    <w:rsid w:val="00763F36"/>
    <w:rsid w:val="0076410E"/>
    <w:rsid w:val="00764481"/>
    <w:rsid w:val="007645B1"/>
    <w:rsid w:val="00764640"/>
    <w:rsid w:val="00764A2F"/>
    <w:rsid w:val="00764ADA"/>
    <w:rsid w:val="00764B26"/>
    <w:rsid w:val="00764DAB"/>
    <w:rsid w:val="00764EC8"/>
    <w:rsid w:val="00764EEA"/>
    <w:rsid w:val="00765156"/>
    <w:rsid w:val="00765695"/>
    <w:rsid w:val="007657A4"/>
    <w:rsid w:val="00765910"/>
    <w:rsid w:val="00765B2A"/>
    <w:rsid w:val="00765B7A"/>
    <w:rsid w:val="00765BE7"/>
    <w:rsid w:val="00765CFF"/>
    <w:rsid w:val="00765D29"/>
    <w:rsid w:val="00765D6D"/>
    <w:rsid w:val="00765E5C"/>
    <w:rsid w:val="00766081"/>
    <w:rsid w:val="0076610E"/>
    <w:rsid w:val="007662D3"/>
    <w:rsid w:val="00766456"/>
    <w:rsid w:val="00766529"/>
    <w:rsid w:val="007665D5"/>
    <w:rsid w:val="00766726"/>
    <w:rsid w:val="00766754"/>
    <w:rsid w:val="0076678D"/>
    <w:rsid w:val="0076682D"/>
    <w:rsid w:val="00766987"/>
    <w:rsid w:val="00766999"/>
    <w:rsid w:val="00766AA4"/>
    <w:rsid w:val="00766B5A"/>
    <w:rsid w:val="00766F02"/>
    <w:rsid w:val="00767104"/>
    <w:rsid w:val="007671F8"/>
    <w:rsid w:val="0076728D"/>
    <w:rsid w:val="007674AB"/>
    <w:rsid w:val="00767621"/>
    <w:rsid w:val="00767692"/>
    <w:rsid w:val="00767938"/>
    <w:rsid w:val="00767A3A"/>
    <w:rsid w:val="00767ADE"/>
    <w:rsid w:val="00767CFC"/>
    <w:rsid w:val="00767DF9"/>
    <w:rsid w:val="00767F4A"/>
    <w:rsid w:val="00767F60"/>
    <w:rsid w:val="00768E97"/>
    <w:rsid w:val="0077003B"/>
    <w:rsid w:val="007702E2"/>
    <w:rsid w:val="00770359"/>
    <w:rsid w:val="007706F7"/>
    <w:rsid w:val="00770712"/>
    <w:rsid w:val="0077079B"/>
    <w:rsid w:val="0077097D"/>
    <w:rsid w:val="00770AB8"/>
    <w:rsid w:val="00770AD9"/>
    <w:rsid w:val="00770B89"/>
    <w:rsid w:val="00770C44"/>
    <w:rsid w:val="00770E10"/>
    <w:rsid w:val="00770F2B"/>
    <w:rsid w:val="00770FD4"/>
    <w:rsid w:val="00771160"/>
    <w:rsid w:val="00771185"/>
    <w:rsid w:val="007711F6"/>
    <w:rsid w:val="007716E8"/>
    <w:rsid w:val="007716F2"/>
    <w:rsid w:val="00771709"/>
    <w:rsid w:val="00771793"/>
    <w:rsid w:val="00771ABA"/>
    <w:rsid w:val="00771B61"/>
    <w:rsid w:val="00771BB4"/>
    <w:rsid w:val="00771CA4"/>
    <w:rsid w:val="00771F2B"/>
    <w:rsid w:val="00771FE8"/>
    <w:rsid w:val="0077203B"/>
    <w:rsid w:val="00772086"/>
    <w:rsid w:val="007720C6"/>
    <w:rsid w:val="0077217E"/>
    <w:rsid w:val="007721AE"/>
    <w:rsid w:val="00772217"/>
    <w:rsid w:val="0077241D"/>
    <w:rsid w:val="007724C9"/>
    <w:rsid w:val="007724CE"/>
    <w:rsid w:val="0077259A"/>
    <w:rsid w:val="007728CC"/>
    <w:rsid w:val="007728F2"/>
    <w:rsid w:val="00772A06"/>
    <w:rsid w:val="00772AFA"/>
    <w:rsid w:val="00772B2B"/>
    <w:rsid w:val="00772CFE"/>
    <w:rsid w:val="00772E77"/>
    <w:rsid w:val="00773030"/>
    <w:rsid w:val="007731F0"/>
    <w:rsid w:val="007731FA"/>
    <w:rsid w:val="007732B4"/>
    <w:rsid w:val="00773325"/>
    <w:rsid w:val="0077341A"/>
    <w:rsid w:val="00773549"/>
    <w:rsid w:val="0077356F"/>
    <w:rsid w:val="00773AE8"/>
    <w:rsid w:val="00773C48"/>
    <w:rsid w:val="007740DB"/>
    <w:rsid w:val="0077419F"/>
    <w:rsid w:val="00774205"/>
    <w:rsid w:val="00774420"/>
    <w:rsid w:val="00774769"/>
    <w:rsid w:val="0077488D"/>
    <w:rsid w:val="007748C4"/>
    <w:rsid w:val="007748DC"/>
    <w:rsid w:val="00774B64"/>
    <w:rsid w:val="00774BD7"/>
    <w:rsid w:val="00774D1D"/>
    <w:rsid w:val="00774D37"/>
    <w:rsid w:val="00774DC4"/>
    <w:rsid w:val="007751B7"/>
    <w:rsid w:val="007751CE"/>
    <w:rsid w:val="007752F6"/>
    <w:rsid w:val="007754F4"/>
    <w:rsid w:val="0077569D"/>
    <w:rsid w:val="00775739"/>
    <w:rsid w:val="00775782"/>
    <w:rsid w:val="00775A62"/>
    <w:rsid w:val="00775DEE"/>
    <w:rsid w:val="00775DF2"/>
    <w:rsid w:val="00775FB7"/>
    <w:rsid w:val="007761AD"/>
    <w:rsid w:val="00776280"/>
    <w:rsid w:val="00776499"/>
    <w:rsid w:val="00776831"/>
    <w:rsid w:val="00776A17"/>
    <w:rsid w:val="00776AEF"/>
    <w:rsid w:val="00776B3E"/>
    <w:rsid w:val="00776CA1"/>
    <w:rsid w:val="00776E77"/>
    <w:rsid w:val="0077729F"/>
    <w:rsid w:val="00777539"/>
    <w:rsid w:val="00777609"/>
    <w:rsid w:val="0077785C"/>
    <w:rsid w:val="00777AC4"/>
    <w:rsid w:val="00777B64"/>
    <w:rsid w:val="00777E59"/>
    <w:rsid w:val="00777F50"/>
    <w:rsid w:val="0078000E"/>
    <w:rsid w:val="0078001F"/>
    <w:rsid w:val="0078002F"/>
    <w:rsid w:val="007800B4"/>
    <w:rsid w:val="007803A2"/>
    <w:rsid w:val="00780515"/>
    <w:rsid w:val="00780688"/>
    <w:rsid w:val="007807B2"/>
    <w:rsid w:val="007808AB"/>
    <w:rsid w:val="007808CE"/>
    <w:rsid w:val="00780971"/>
    <w:rsid w:val="00780A68"/>
    <w:rsid w:val="00780B2E"/>
    <w:rsid w:val="00780C2B"/>
    <w:rsid w:val="00780DAB"/>
    <w:rsid w:val="00780E9A"/>
    <w:rsid w:val="00780EB0"/>
    <w:rsid w:val="00780ED2"/>
    <w:rsid w:val="00781152"/>
    <w:rsid w:val="00781194"/>
    <w:rsid w:val="007812FA"/>
    <w:rsid w:val="007813DE"/>
    <w:rsid w:val="0078140C"/>
    <w:rsid w:val="007816E5"/>
    <w:rsid w:val="00781734"/>
    <w:rsid w:val="0078174C"/>
    <w:rsid w:val="00781796"/>
    <w:rsid w:val="007817A7"/>
    <w:rsid w:val="0078184F"/>
    <w:rsid w:val="007818DA"/>
    <w:rsid w:val="00781A7D"/>
    <w:rsid w:val="00781AEE"/>
    <w:rsid w:val="00781C57"/>
    <w:rsid w:val="00781DFF"/>
    <w:rsid w:val="007820F4"/>
    <w:rsid w:val="007821AB"/>
    <w:rsid w:val="00782332"/>
    <w:rsid w:val="0078264C"/>
    <w:rsid w:val="00782658"/>
    <w:rsid w:val="007827BF"/>
    <w:rsid w:val="007829CF"/>
    <w:rsid w:val="00782CAF"/>
    <w:rsid w:val="00782CF6"/>
    <w:rsid w:val="0078304E"/>
    <w:rsid w:val="007831E6"/>
    <w:rsid w:val="007834F2"/>
    <w:rsid w:val="00783687"/>
    <w:rsid w:val="007836C4"/>
    <w:rsid w:val="00783724"/>
    <w:rsid w:val="0078395C"/>
    <w:rsid w:val="007839D1"/>
    <w:rsid w:val="007839DD"/>
    <w:rsid w:val="007839F9"/>
    <w:rsid w:val="00783A0A"/>
    <w:rsid w:val="00783ADB"/>
    <w:rsid w:val="00783BA1"/>
    <w:rsid w:val="00783BB4"/>
    <w:rsid w:val="00783F70"/>
    <w:rsid w:val="007843D5"/>
    <w:rsid w:val="007843D8"/>
    <w:rsid w:val="00784546"/>
    <w:rsid w:val="00784857"/>
    <w:rsid w:val="007848B8"/>
    <w:rsid w:val="00784CF6"/>
    <w:rsid w:val="00784E58"/>
    <w:rsid w:val="00785015"/>
    <w:rsid w:val="0078512B"/>
    <w:rsid w:val="007851D7"/>
    <w:rsid w:val="007851F9"/>
    <w:rsid w:val="0078528A"/>
    <w:rsid w:val="007853EE"/>
    <w:rsid w:val="007853F5"/>
    <w:rsid w:val="00785AF0"/>
    <w:rsid w:val="00785E4F"/>
    <w:rsid w:val="00785F81"/>
    <w:rsid w:val="00785FE1"/>
    <w:rsid w:val="00786162"/>
    <w:rsid w:val="00786241"/>
    <w:rsid w:val="00786379"/>
    <w:rsid w:val="0078646E"/>
    <w:rsid w:val="0078669D"/>
    <w:rsid w:val="00786705"/>
    <w:rsid w:val="00786879"/>
    <w:rsid w:val="00786F4F"/>
    <w:rsid w:val="0078710D"/>
    <w:rsid w:val="0078722C"/>
    <w:rsid w:val="00787254"/>
    <w:rsid w:val="00787346"/>
    <w:rsid w:val="0078746D"/>
    <w:rsid w:val="00787540"/>
    <w:rsid w:val="00787552"/>
    <w:rsid w:val="007876A9"/>
    <w:rsid w:val="00787775"/>
    <w:rsid w:val="00787842"/>
    <w:rsid w:val="00787A16"/>
    <w:rsid w:val="00787A39"/>
    <w:rsid w:val="00787A58"/>
    <w:rsid w:val="00787A63"/>
    <w:rsid w:val="00787BA4"/>
    <w:rsid w:val="00787C50"/>
    <w:rsid w:val="00787EFB"/>
    <w:rsid w:val="00787F31"/>
    <w:rsid w:val="0078AC26"/>
    <w:rsid w:val="00790055"/>
    <w:rsid w:val="007900DB"/>
    <w:rsid w:val="00790259"/>
    <w:rsid w:val="00790270"/>
    <w:rsid w:val="0079029C"/>
    <w:rsid w:val="007904D1"/>
    <w:rsid w:val="0079077E"/>
    <w:rsid w:val="00790A82"/>
    <w:rsid w:val="00790C55"/>
    <w:rsid w:val="00790E03"/>
    <w:rsid w:val="00790F77"/>
    <w:rsid w:val="00790FC3"/>
    <w:rsid w:val="007911DD"/>
    <w:rsid w:val="0079130A"/>
    <w:rsid w:val="007913A7"/>
    <w:rsid w:val="00791472"/>
    <w:rsid w:val="00791765"/>
    <w:rsid w:val="00791DCD"/>
    <w:rsid w:val="00791EA9"/>
    <w:rsid w:val="00792432"/>
    <w:rsid w:val="007925EE"/>
    <w:rsid w:val="00792636"/>
    <w:rsid w:val="00792679"/>
    <w:rsid w:val="0079270A"/>
    <w:rsid w:val="0079272C"/>
    <w:rsid w:val="007928AC"/>
    <w:rsid w:val="0079293E"/>
    <w:rsid w:val="00792980"/>
    <w:rsid w:val="00792B94"/>
    <w:rsid w:val="00792BF7"/>
    <w:rsid w:val="00792BF8"/>
    <w:rsid w:val="00792C66"/>
    <w:rsid w:val="00792CAC"/>
    <w:rsid w:val="00792CCB"/>
    <w:rsid w:val="00792DC2"/>
    <w:rsid w:val="00792F3A"/>
    <w:rsid w:val="007930CE"/>
    <w:rsid w:val="007930E0"/>
    <w:rsid w:val="0079317F"/>
    <w:rsid w:val="007931E1"/>
    <w:rsid w:val="0079332D"/>
    <w:rsid w:val="00793472"/>
    <w:rsid w:val="00793612"/>
    <w:rsid w:val="00793810"/>
    <w:rsid w:val="00793CA4"/>
    <w:rsid w:val="00793D14"/>
    <w:rsid w:val="00793E2A"/>
    <w:rsid w:val="00793E59"/>
    <w:rsid w:val="007944D3"/>
    <w:rsid w:val="00794580"/>
    <w:rsid w:val="007947CA"/>
    <w:rsid w:val="00794CA9"/>
    <w:rsid w:val="0079531A"/>
    <w:rsid w:val="00795614"/>
    <w:rsid w:val="0079566F"/>
    <w:rsid w:val="00795731"/>
    <w:rsid w:val="007957C2"/>
    <w:rsid w:val="007958A0"/>
    <w:rsid w:val="00795AAB"/>
    <w:rsid w:val="00795C3A"/>
    <w:rsid w:val="00795DAB"/>
    <w:rsid w:val="007960A1"/>
    <w:rsid w:val="007960BD"/>
    <w:rsid w:val="007961D1"/>
    <w:rsid w:val="007962F0"/>
    <w:rsid w:val="00796525"/>
    <w:rsid w:val="007968E2"/>
    <w:rsid w:val="00796B30"/>
    <w:rsid w:val="00796B8B"/>
    <w:rsid w:val="00796C19"/>
    <w:rsid w:val="00796CC7"/>
    <w:rsid w:val="007971DC"/>
    <w:rsid w:val="007973DE"/>
    <w:rsid w:val="0079772F"/>
    <w:rsid w:val="00797F03"/>
    <w:rsid w:val="00797F1B"/>
    <w:rsid w:val="00797F39"/>
    <w:rsid w:val="00797FA7"/>
    <w:rsid w:val="007A032E"/>
    <w:rsid w:val="007A0523"/>
    <w:rsid w:val="007A0552"/>
    <w:rsid w:val="007A0685"/>
    <w:rsid w:val="007A092D"/>
    <w:rsid w:val="007A0AC3"/>
    <w:rsid w:val="007A0B3D"/>
    <w:rsid w:val="007A0DE7"/>
    <w:rsid w:val="007A0E36"/>
    <w:rsid w:val="007A0F82"/>
    <w:rsid w:val="007A107C"/>
    <w:rsid w:val="007A10BD"/>
    <w:rsid w:val="007A1316"/>
    <w:rsid w:val="007A136E"/>
    <w:rsid w:val="007A1378"/>
    <w:rsid w:val="007A1409"/>
    <w:rsid w:val="007A14FF"/>
    <w:rsid w:val="007A1506"/>
    <w:rsid w:val="007A171C"/>
    <w:rsid w:val="007A193C"/>
    <w:rsid w:val="007A1962"/>
    <w:rsid w:val="007A197D"/>
    <w:rsid w:val="007A1AFD"/>
    <w:rsid w:val="007A1B3B"/>
    <w:rsid w:val="007A1D28"/>
    <w:rsid w:val="007A1DD1"/>
    <w:rsid w:val="007A1DD4"/>
    <w:rsid w:val="007A1E3C"/>
    <w:rsid w:val="007A1E42"/>
    <w:rsid w:val="007A1FC9"/>
    <w:rsid w:val="007A2240"/>
    <w:rsid w:val="007A23A7"/>
    <w:rsid w:val="007A25E6"/>
    <w:rsid w:val="007A271A"/>
    <w:rsid w:val="007A2D29"/>
    <w:rsid w:val="007A2FD5"/>
    <w:rsid w:val="007A3067"/>
    <w:rsid w:val="007A31D9"/>
    <w:rsid w:val="007A32E1"/>
    <w:rsid w:val="007A32F1"/>
    <w:rsid w:val="007A3386"/>
    <w:rsid w:val="007A34B8"/>
    <w:rsid w:val="007A34C3"/>
    <w:rsid w:val="007A353B"/>
    <w:rsid w:val="007A353E"/>
    <w:rsid w:val="007A38F4"/>
    <w:rsid w:val="007A39E9"/>
    <w:rsid w:val="007A3A13"/>
    <w:rsid w:val="007A3A61"/>
    <w:rsid w:val="007A3ABB"/>
    <w:rsid w:val="007A3AD2"/>
    <w:rsid w:val="007A3F98"/>
    <w:rsid w:val="007A40D2"/>
    <w:rsid w:val="007A45F2"/>
    <w:rsid w:val="007A462B"/>
    <w:rsid w:val="007A465A"/>
    <w:rsid w:val="007A46D5"/>
    <w:rsid w:val="007A4703"/>
    <w:rsid w:val="007A470C"/>
    <w:rsid w:val="007A48C5"/>
    <w:rsid w:val="007A493D"/>
    <w:rsid w:val="007A4AFE"/>
    <w:rsid w:val="007A4BF8"/>
    <w:rsid w:val="007A509E"/>
    <w:rsid w:val="007A51DB"/>
    <w:rsid w:val="007A5312"/>
    <w:rsid w:val="007A5852"/>
    <w:rsid w:val="007A5871"/>
    <w:rsid w:val="007A58B6"/>
    <w:rsid w:val="007A5FFF"/>
    <w:rsid w:val="007A60BD"/>
    <w:rsid w:val="007A61CE"/>
    <w:rsid w:val="007A62B5"/>
    <w:rsid w:val="007A6644"/>
    <w:rsid w:val="007A68C4"/>
    <w:rsid w:val="007A699B"/>
    <w:rsid w:val="007A6BDE"/>
    <w:rsid w:val="007A6F3B"/>
    <w:rsid w:val="007A6FF1"/>
    <w:rsid w:val="007A700F"/>
    <w:rsid w:val="007A7052"/>
    <w:rsid w:val="007A7066"/>
    <w:rsid w:val="007A725E"/>
    <w:rsid w:val="007A760A"/>
    <w:rsid w:val="007A7787"/>
    <w:rsid w:val="007A77CE"/>
    <w:rsid w:val="007A77F9"/>
    <w:rsid w:val="007A78E9"/>
    <w:rsid w:val="007A7A8A"/>
    <w:rsid w:val="007A7BA8"/>
    <w:rsid w:val="007A7CCD"/>
    <w:rsid w:val="007A7E99"/>
    <w:rsid w:val="007A7ECB"/>
    <w:rsid w:val="007B01A2"/>
    <w:rsid w:val="007B02EF"/>
    <w:rsid w:val="007B03B6"/>
    <w:rsid w:val="007B03CA"/>
    <w:rsid w:val="007B047A"/>
    <w:rsid w:val="007B0778"/>
    <w:rsid w:val="007B098D"/>
    <w:rsid w:val="007B0C40"/>
    <w:rsid w:val="007B0E16"/>
    <w:rsid w:val="007B0E80"/>
    <w:rsid w:val="007B1083"/>
    <w:rsid w:val="007B1342"/>
    <w:rsid w:val="007B134A"/>
    <w:rsid w:val="007B17CB"/>
    <w:rsid w:val="007B189A"/>
    <w:rsid w:val="007B199B"/>
    <w:rsid w:val="007B19DB"/>
    <w:rsid w:val="007B1B28"/>
    <w:rsid w:val="007B1BB0"/>
    <w:rsid w:val="007B1C23"/>
    <w:rsid w:val="007B1C96"/>
    <w:rsid w:val="007B1E5B"/>
    <w:rsid w:val="007B1FFF"/>
    <w:rsid w:val="007B21CD"/>
    <w:rsid w:val="007B2414"/>
    <w:rsid w:val="007B244E"/>
    <w:rsid w:val="007B2AA6"/>
    <w:rsid w:val="007B30D6"/>
    <w:rsid w:val="007B3180"/>
    <w:rsid w:val="007B31F7"/>
    <w:rsid w:val="007B3364"/>
    <w:rsid w:val="007B35C2"/>
    <w:rsid w:val="007B3763"/>
    <w:rsid w:val="007B380D"/>
    <w:rsid w:val="007B3BAF"/>
    <w:rsid w:val="007B3C24"/>
    <w:rsid w:val="007B3C69"/>
    <w:rsid w:val="007B3E1F"/>
    <w:rsid w:val="007B3E35"/>
    <w:rsid w:val="007B4050"/>
    <w:rsid w:val="007B4242"/>
    <w:rsid w:val="007B439B"/>
    <w:rsid w:val="007B439E"/>
    <w:rsid w:val="007B43AE"/>
    <w:rsid w:val="007B48D3"/>
    <w:rsid w:val="007B4921"/>
    <w:rsid w:val="007B4969"/>
    <w:rsid w:val="007B50AF"/>
    <w:rsid w:val="007B515B"/>
    <w:rsid w:val="007B5172"/>
    <w:rsid w:val="007B52E3"/>
    <w:rsid w:val="007B5381"/>
    <w:rsid w:val="007B5411"/>
    <w:rsid w:val="007B599C"/>
    <w:rsid w:val="007B59B3"/>
    <w:rsid w:val="007B59ED"/>
    <w:rsid w:val="007B5C6C"/>
    <w:rsid w:val="007B61D3"/>
    <w:rsid w:val="007B63AA"/>
    <w:rsid w:val="007B64B9"/>
    <w:rsid w:val="007B6653"/>
    <w:rsid w:val="007B66EF"/>
    <w:rsid w:val="007B66F5"/>
    <w:rsid w:val="007B683B"/>
    <w:rsid w:val="007B6841"/>
    <w:rsid w:val="007B6AC1"/>
    <w:rsid w:val="007B6B7A"/>
    <w:rsid w:val="007B6C48"/>
    <w:rsid w:val="007B6CAC"/>
    <w:rsid w:val="007B6DDB"/>
    <w:rsid w:val="007B70DD"/>
    <w:rsid w:val="007B742F"/>
    <w:rsid w:val="007B74C6"/>
    <w:rsid w:val="007B767D"/>
    <w:rsid w:val="007B76C0"/>
    <w:rsid w:val="007B7842"/>
    <w:rsid w:val="007B787A"/>
    <w:rsid w:val="007B7CDA"/>
    <w:rsid w:val="007B7DFD"/>
    <w:rsid w:val="007B7E6B"/>
    <w:rsid w:val="007B7F3A"/>
    <w:rsid w:val="007BD567"/>
    <w:rsid w:val="007C0251"/>
    <w:rsid w:val="007C02B6"/>
    <w:rsid w:val="007C02BF"/>
    <w:rsid w:val="007C0463"/>
    <w:rsid w:val="007C0464"/>
    <w:rsid w:val="007C04F0"/>
    <w:rsid w:val="007C0678"/>
    <w:rsid w:val="007C07A7"/>
    <w:rsid w:val="007C07F7"/>
    <w:rsid w:val="007C094E"/>
    <w:rsid w:val="007C0984"/>
    <w:rsid w:val="007C0A36"/>
    <w:rsid w:val="007C0DFB"/>
    <w:rsid w:val="007C0EEF"/>
    <w:rsid w:val="007C1226"/>
    <w:rsid w:val="007C130C"/>
    <w:rsid w:val="007C1355"/>
    <w:rsid w:val="007C1442"/>
    <w:rsid w:val="007C14DA"/>
    <w:rsid w:val="007C15D2"/>
    <w:rsid w:val="007C1D0E"/>
    <w:rsid w:val="007C1FBE"/>
    <w:rsid w:val="007C21F4"/>
    <w:rsid w:val="007C260D"/>
    <w:rsid w:val="007C27FB"/>
    <w:rsid w:val="007C28CA"/>
    <w:rsid w:val="007C2D43"/>
    <w:rsid w:val="007C2D7D"/>
    <w:rsid w:val="007C2DFA"/>
    <w:rsid w:val="007C3119"/>
    <w:rsid w:val="007C3373"/>
    <w:rsid w:val="007C3500"/>
    <w:rsid w:val="007C36A4"/>
    <w:rsid w:val="007C3728"/>
    <w:rsid w:val="007C3753"/>
    <w:rsid w:val="007C3D76"/>
    <w:rsid w:val="007C3D8F"/>
    <w:rsid w:val="007C3EB3"/>
    <w:rsid w:val="007C3EBF"/>
    <w:rsid w:val="007C3F63"/>
    <w:rsid w:val="007C4642"/>
    <w:rsid w:val="007C4667"/>
    <w:rsid w:val="007C4714"/>
    <w:rsid w:val="007C47B5"/>
    <w:rsid w:val="007C495A"/>
    <w:rsid w:val="007C4AB3"/>
    <w:rsid w:val="007C4B20"/>
    <w:rsid w:val="007C4BBB"/>
    <w:rsid w:val="007C4D0E"/>
    <w:rsid w:val="007C4F5D"/>
    <w:rsid w:val="007C536F"/>
    <w:rsid w:val="007C53A7"/>
    <w:rsid w:val="007C5586"/>
    <w:rsid w:val="007C55D6"/>
    <w:rsid w:val="007C59F4"/>
    <w:rsid w:val="007C5B48"/>
    <w:rsid w:val="007C5C4B"/>
    <w:rsid w:val="007C5C98"/>
    <w:rsid w:val="007C5CC2"/>
    <w:rsid w:val="007C5D7C"/>
    <w:rsid w:val="007C5F78"/>
    <w:rsid w:val="007C5FAA"/>
    <w:rsid w:val="007C6077"/>
    <w:rsid w:val="007C610D"/>
    <w:rsid w:val="007C6203"/>
    <w:rsid w:val="007C6207"/>
    <w:rsid w:val="007C626B"/>
    <w:rsid w:val="007C6351"/>
    <w:rsid w:val="007C642C"/>
    <w:rsid w:val="007C642D"/>
    <w:rsid w:val="007C660C"/>
    <w:rsid w:val="007C6966"/>
    <w:rsid w:val="007C6A01"/>
    <w:rsid w:val="007C6A4B"/>
    <w:rsid w:val="007C6A90"/>
    <w:rsid w:val="007C6AF8"/>
    <w:rsid w:val="007C6D0D"/>
    <w:rsid w:val="007C6DF2"/>
    <w:rsid w:val="007C6EAA"/>
    <w:rsid w:val="007C6F7D"/>
    <w:rsid w:val="007C70B0"/>
    <w:rsid w:val="007C727E"/>
    <w:rsid w:val="007C72F8"/>
    <w:rsid w:val="007C73E9"/>
    <w:rsid w:val="007C76F8"/>
    <w:rsid w:val="007C779B"/>
    <w:rsid w:val="007C783E"/>
    <w:rsid w:val="007C7959"/>
    <w:rsid w:val="007C79D3"/>
    <w:rsid w:val="007C7A9A"/>
    <w:rsid w:val="007C7C4F"/>
    <w:rsid w:val="007C7D03"/>
    <w:rsid w:val="007C7D69"/>
    <w:rsid w:val="007C7D85"/>
    <w:rsid w:val="007C7DF7"/>
    <w:rsid w:val="007C7EB5"/>
    <w:rsid w:val="007D0129"/>
    <w:rsid w:val="007D01BB"/>
    <w:rsid w:val="007D0685"/>
    <w:rsid w:val="007D109E"/>
    <w:rsid w:val="007D1368"/>
    <w:rsid w:val="007D1B00"/>
    <w:rsid w:val="007D1CF7"/>
    <w:rsid w:val="007D1D69"/>
    <w:rsid w:val="007D1DB4"/>
    <w:rsid w:val="007D1E9E"/>
    <w:rsid w:val="007D2013"/>
    <w:rsid w:val="007D2246"/>
    <w:rsid w:val="007D231A"/>
    <w:rsid w:val="007D256A"/>
    <w:rsid w:val="007D2727"/>
    <w:rsid w:val="007D297C"/>
    <w:rsid w:val="007D2A98"/>
    <w:rsid w:val="007D2AD5"/>
    <w:rsid w:val="007D2B92"/>
    <w:rsid w:val="007D2DB0"/>
    <w:rsid w:val="007D30C4"/>
    <w:rsid w:val="007D3335"/>
    <w:rsid w:val="007D3621"/>
    <w:rsid w:val="007D3825"/>
    <w:rsid w:val="007D38D1"/>
    <w:rsid w:val="007D3941"/>
    <w:rsid w:val="007D39EA"/>
    <w:rsid w:val="007D3A24"/>
    <w:rsid w:val="007D3B82"/>
    <w:rsid w:val="007D3E66"/>
    <w:rsid w:val="007D3E7A"/>
    <w:rsid w:val="007D3FA5"/>
    <w:rsid w:val="007D4343"/>
    <w:rsid w:val="007D43CE"/>
    <w:rsid w:val="007D4520"/>
    <w:rsid w:val="007D4698"/>
    <w:rsid w:val="007D46A0"/>
    <w:rsid w:val="007D4BE5"/>
    <w:rsid w:val="007D4CE4"/>
    <w:rsid w:val="007D4D07"/>
    <w:rsid w:val="007D4DBC"/>
    <w:rsid w:val="007D4E2F"/>
    <w:rsid w:val="007D5033"/>
    <w:rsid w:val="007D50DB"/>
    <w:rsid w:val="007D5189"/>
    <w:rsid w:val="007D51DE"/>
    <w:rsid w:val="007D531C"/>
    <w:rsid w:val="007D544A"/>
    <w:rsid w:val="007D5681"/>
    <w:rsid w:val="007D5730"/>
    <w:rsid w:val="007D5778"/>
    <w:rsid w:val="007D5AFA"/>
    <w:rsid w:val="007D5D2D"/>
    <w:rsid w:val="007D5DC9"/>
    <w:rsid w:val="007D5E4F"/>
    <w:rsid w:val="007D60CD"/>
    <w:rsid w:val="007D611B"/>
    <w:rsid w:val="007D6141"/>
    <w:rsid w:val="007D61C6"/>
    <w:rsid w:val="007D62BF"/>
    <w:rsid w:val="007D62E2"/>
    <w:rsid w:val="007D6395"/>
    <w:rsid w:val="007D66C5"/>
    <w:rsid w:val="007D6844"/>
    <w:rsid w:val="007D6A1E"/>
    <w:rsid w:val="007D6BD1"/>
    <w:rsid w:val="007D6C43"/>
    <w:rsid w:val="007D6D20"/>
    <w:rsid w:val="007D6E6A"/>
    <w:rsid w:val="007D6EBD"/>
    <w:rsid w:val="007D6F4E"/>
    <w:rsid w:val="007D6FD4"/>
    <w:rsid w:val="007D71AB"/>
    <w:rsid w:val="007D722B"/>
    <w:rsid w:val="007D7415"/>
    <w:rsid w:val="007D74B1"/>
    <w:rsid w:val="007D76E1"/>
    <w:rsid w:val="007D7B2D"/>
    <w:rsid w:val="007D7B53"/>
    <w:rsid w:val="007D7D15"/>
    <w:rsid w:val="007DA19B"/>
    <w:rsid w:val="007DB0F4"/>
    <w:rsid w:val="007DF2F0"/>
    <w:rsid w:val="007E0007"/>
    <w:rsid w:val="007E018F"/>
    <w:rsid w:val="007E0276"/>
    <w:rsid w:val="007E02CD"/>
    <w:rsid w:val="007E03A7"/>
    <w:rsid w:val="007E084D"/>
    <w:rsid w:val="007E0A5E"/>
    <w:rsid w:val="007E0A95"/>
    <w:rsid w:val="007E0AED"/>
    <w:rsid w:val="007E0B07"/>
    <w:rsid w:val="007E0C71"/>
    <w:rsid w:val="007E0C91"/>
    <w:rsid w:val="007E0F84"/>
    <w:rsid w:val="007E111C"/>
    <w:rsid w:val="007E11A6"/>
    <w:rsid w:val="007E1455"/>
    <w:rsid w:val="007E1505"/>
    <w:rsid w:val="007E1719"/>
    <w:rsid w:val="007E1768"/>
    <w:rsid w:val="007E18D7"/>
    <w:rsid w:val="007E18EA"/>
    <w:rsid w:val="007E196D"/>
    <w:rsid w:val="007E1ACF"/>
    <w:rsid w:val="007E1AF1"/>
    <w:rsid w:val="007E1C98"/>
    <w:rsid w:val="007E1CB3"/>
    <w:rsid w:val="007E1F24"/>
    <w:rsid w:val="007E20AE"/>
    <w:rsid w:val="007E252C"/>
    <w:rsid w:val="007E26BF"/>
    <w:rsid w:val="007E286B"/>
    <w:rsid w:val="007E2875"/>
    <w:rsid w:val="007E2908"/>
    <w:rsid w:val="007E2B82"/>
    <w:rsid w:val="007E2E16"/>
    <w:rsid w:val="007E2E90"/>
    <w:rsid w:val="007E2EED"/>
    <w:rsid w:val="007E2F58"/>
    <w:rsid w:val="007E303D"/>
    <w:rsid w:val="007E3569"/>
    <w:rsid w:val="007E36E0"/>
    <w:rsid w:val="007E3793"/>
    <w:rsid w:val="007E3895"/>
    <w:rsid w:val="007E3925"/>
    <w:rsid w:val="007E392B"/>
    <w:rsid w:val="007E3975"/>
    <w:rsid w:val="007E3A2E"/>
    <w:rsid w:val="007E3A45"/>
    <w:rsid w:val="007E3BC2"/>
    <w:rsid w:val="007E3BC4"/>
    <w:rsid w:val="007E3C1E"/>
    <w:rsid w:val="007E3C4E"/>
    <w:rsid w:val="007E3E6A"/>
    <w:rsid w:val="007E3F85"/>
    <w:rsid w:val="007E41FF"/>
    <w:rsid w:val="007E4429"/>
    <w:rsid w:val="007E459B"/>
    <w:rsid w:val="007E45B8"/>
    <w:rsid w:val="007E45C6"/>
    <w:rsid w:val="007E46E7"/>
    <w:rsid w:val="007E4778"/>
    <w:rsid w:val="007E4795"/>
    <w:rsid w:val="007E485B"/>
    <w:rsid w:val="007E48CD"/>
    <w:rsid w:val="007E495E"/>
    <w:rsid w:val="007E4B03"/>
    <w:rsid w:val="007E4B9E"/>
    <w:rsid w:val="007E4C3A"/>
    <w:rsid w:val="007E4C86"/>
    <w:rsid w:val="007E4D24"/>
    <w:rsid w:val="007E4D52"/>
    <w:rsid w:val="007E4D79"/>
    <w:rsid w:val="007E4F12"/>
    <w:rsid w:val="007E5016"/>
    <w:rsid w:val="007E5063"/>
    <w:rsid w:val="007E50B7"/>
    <w:rsid w:val="007E50C8"/>
    <w:rsid w:val="007E51B3"/>
    <w:rsid w:val="007E51DE"/>
    <w:rsid w:val="007E51FF"/>
    <w:rsid w:val="007E52CA"/>
    <w:rsid w:val="007E54D0"/>
    <w:rsid w:val="007E56B9"/>
    <w:rsid w:val="007E5841"/>
    <w:rsid w:val="007E5AA0"/>
    <w:rsid w:val="007E5EC3"/>
    <w:rsid w:val="007E5F89"/>
    <w:rsid w:val="007E6372"/>
    <w:rsid w:val="007E64BA"/>
    <w:rsid w:val="007E661A"/>
    <w:rsid w:val="007E6799"/>
    <w:rsid w:val="007E6853"/>
    <w:rsid w:val="007E698E"/>
    <w:rsid w:val="007E6CBA"/>
    <w:rsid w:val="007E6E25"/>
    <w:rsid w:val="007E6E52"/>
    <w:rsid w:val="007E6E58"/>
    <w:rsid w:val="007E717C"/>
    <w:rsid w:val="007E71BA"/>
    <w:rsid w:val="007E71FF"/>
    <w:rsid w:val="007E744B"/>
    <w:rsid w:val="007E750D"/>
    <w:rsid w:val="007E7C30"/>
    <w:rsid w:val="007E7E64"/>
    <w:rsid w:val="007E7F69"/>
    <w:rsid w:val="007F0311"/>
    <w:rsid w:val="007F0329"/>
    <w:rsid w:val="007F03EC"/>
    <w:rsid w:val="007F05EF"/>
    <w:rsid w:val="007F09A4"/>
    <w:rsid w:val="007F0AD0"/>
    <w:rsid w:val="007F0EF2"/>
    <w:rsid w:val="007F10BC"/>
    <w:rsid w:val="007F10C8"/>
    <w:rsid w:val="007F10DD"/>
    <w:rsid w:val="007F1404"/>
    <w:rsid w:val="007F14E0"/>
    <w:rsid w:val="007F1507"/>
    <w:rsid w:val="007F1530"/>
    <w:rsid w:val="007F189A"/>
    <w:rsid w:val="007F19BC"/>
    <w:rsid w:val="007F1B15"/>
    <w:rsid w:val="007F1CEA"/>
    <w:rsid w:val="007F203B"/>
    <w:rsid w:val="007F23FD"/>
    <w:rsid w:val="007F26D4"/>
    <w:rsid w:val="007F26FD"/>
    <w:rsid w:val="007F2854"/>
    <w:rsid w:val="007F2985"/>
    <w:rsid w:val="007F29EF"/>
    <w:rsid w:val="007F2CB8"/>
    <w:rsid w:val="007F2F5A"/>
    <w:rsid w:val="007F3105"/>
    <w:rsid w:val="007F318F"/>
    <w:rsid w:val="007F31C2"/>
    <w:rsid w:val="007F328C"/>
    <w:rsid w:val="007F363C"/>
    <w:rsid w:val="007F3702"/>
    <w:rsid w:val="007F38CC"/>
    <w:rsid w:val="007F3A92"/>
    <w:rsid w:val="007F3B40"/>
    <w:rsid w:val="007F3EDA"/>
    <w:rsid w:val="007F3FB2"/>
    <w:rsid w:val="007F433C"/>
    <w:rsid w:val="007F435C"/>
    <w:rsid w:val="007F47F3"/>
    <w:rsid w:val="007F4834"/>
    <w:rsid w:val="007F4A7D"/>
    <w:rsid w:val="007F4D7B"/>
    <w:rsid w:val="007F4E05"/>
    <w:rsid w:val="007F5008"/>
    <w:rsid w:val="007F5158"/>
    <w:rsid w:val="007F51C2"/>
    <w:rsid w:val="007F53BC"/>
    <w:rsid w:val="007F5729"/>
    <w:rsid w:val="007F597B"/>
    <w:rsid w:val="007F5CFE"/>
    <w:rsid w:val="007F5E75"/>
    <w:rsid w:val="007F5EFF"/>
    <w:rsid w:val="007F6227"/>
    <w:rsid w:val="007F630D"/>
    <w:rsid w:val="007F66C0"/>
    <w:rsid w:val="007F6AEB"/>
    <w:rsid w:val="007F6E85"/>
    <w:rsid w:val="007F700B"/>
    <w:rsid w:val="007F7073"/>
    <w:rsid w:val="007F728D"/>
    <w:rsid w:val="007F740A"/>
    <w:rsid w:val="007F7428"/>
    <w:rsid w:val="007F7488"/>
    <w:rsid w:val="007F7885"/>
    <w:rsid w:val="007F7A94"/>
    <w:rsid w:val="00800392"/>
    <w:rsid w:val="00800518"/>
    <w:rsid w:val="008007BA"/>
    <w:rsid w:val="008007D6"/>
    <w:rsid w:val="008008E7"/>
    <w:rsid w:val="008010F5"/>
    <w:rsid w:val="00801268"/>
    <w:rsid w:val="0080129C"/>
    <w:rsid w:val="008012BB"/>
    <w:rsid w:val="00801305"/>
    <w:rsid w:val="0080139B"/>
    <w:rsid w:val="008017EF"/>
    <w:rsid w:val="0080193A"/>
    <w:rsid w:val="0080193B"/>
    <w:rsid w:val="008019CA"/>
    <w:rsid w:val="00801B19"/>
    <w:rsid w:val="00801E0C"/>
    <w:rsid w:val="00801F10"/>
    <w:rsid w:val="00801F35"/>
    <w:rsid w:val="00802031"/>
    <w:rsid w:val="0080219A"/>
    <w:rsid w:val="008025A0"/>
    <w:rsid w:val="008025B3"/>
    <w:rsid w:val="008027C0"/>
    <w:rsid w:val="008029DE"/>
    <w:rsid w:val="00802AAC"/>
    <w:rsid w:val="00802B53"/>
    <w:rsid w:val="00802CFD"/>
    <w:rsid w:val="00802D36"/>
    <w:rsid w:val="00802DD8"/>
    <w:rsid w:val="00802DE5"/>
    <w:rsid w:val="00802F81"/>
    <w:rsid w:val="008030D5"/>
    <w:rsid w:val="008031DB"/>
    <w:rsid w:val="0080320D"/>
    <w:rsid w:val="008032E1"/>
    <w:rsid w:val="0080334D"/>
    <w:rsid w:val="00803633"/>
    <w:rsid w:val="00803685"/>
    <w:rsid w:val="0080369F"/>
    <w:rsid w:val="008036A8"/>
    <w:rsid w:val="0080378D"/>
    <w:rsid w:val="008037F1"/>
    <w:rsid w:val="008039FB"/>
    <w:rsid w:val="00803C39"/>
    <w:rsid w:val="00803CE3"/>
    <w:rsid w:val="00803DC6"/>
    <w:rsid w:val="00803FD8"/>
    <w:rsid w:val="00804131"/>
    <w:rsid w:val="0080416F"/>
    <w:rsid w:val="00804173"/>
    <w:rsid w:val="0080418B"/>
    <w:rsid w:val="0080494A"/>
    <w:rsid w:val="00804D94"/>
    <w:rsid w:val="00804DCF"/>
    <w:rsid w:val="00804DFE"/>
    <w:rsid w:val="00804EA4"/>
    <w:rsid w:val="00805148"/>
    <w:rsid w:val="00805263"/>
    <w:rsid w:val="008052B6"/>
    <w:rsid w:val="00805301"/>
    <w:rsid w:val="008053CC"/>
    <w:rsid w:val="00805490"/>
    <w:rsid w:val="0080570A"/>
    <w:rsid w:val="00805885"/>
    <w:rsid w:val="00805A11"/>
    <w:rsid w:val="00805A8D"/>
    <w:rsid w:val="00805ABB"/>
    <w:rsid w:val="00805ADA"/>
    <w:rsid w:val="00805DA8"/>
    <w:rsid w:val="00805DED"/>
    <w:rsid w:val="00805EE2"/>
    <w:rsid w:val="008060C4"/>
    <w:rsid w:val="008060D7"/>
    <w:rsid w:val="008061EE"/>
    <w:rsid w:val="00806397"/>
    <w:rsid w:val="008063AA"/>
    <w:rsid w:val="00806545"/>
    <w:rsid w:val="00806856"/>
    <w:rsid w:val="0080689C"/>
    <w:rsid w:val="00806956"/>
    <w:rsid w:val="00806AC8"/>
    <w:rsid w:val="00806AD6"/>
    <w:rsid w:val="00806F68"/>
    <w:rsid w:val="008070F2"/>
    <w:rsid w:val="0080731F"/>
    <w:rsid w:val="00807384"/>
    <w:rsid w:val="0080755F"/>
    <w:rsid w:val="008075E5"/>
    <w:rsid w:val="008077F4"/>
    <w:rsid w:val="00807845"/>
    <w:rsid w:val="00807972"/>
    <w:rsid w:val="00807A28"/>
    <w:rsid w:val="00807BF0"/>
    <w:rsid w:val="00807DE2"/>
    <w:rsid w:val="00807EE4"/>
    <w:rsid w:val="00810033"/>
    <w:rsid w:val="00810277"/>
    <w:rsid w:val="008103AF"/>
    <w:rsid w:val="008108AF"/>
    <w:rsid w:val="00810969"/>
    <w:rsid w:val="008109D4"/>
    <w:rsid w:val="00810F10"/>
    <w:rsid w:val="00811170"/>
    <w:rsid w:val="00811351"/>
    <w:rsid w:val="00811548"/>
    <w:rsid w:val="008115CB"/>
    <w:rsid w:val="00811606"/>
    <w:rsid w:val="008117D1"/>
    <w:rsid w:val="0081196B"/>
    <w:rsid w:val="00811AA6"/>
    <w:rsid w:val="00811DF9"/>
    <w:rsid w:val="00811FBB"/>
    <w:rsid w:val="008120B5"/>
    <w:rsid w:val="008121D1"/>
    <w:rsid w:val="00812368"/>
    <w:rsid w:val="008123D3"/>
    <w:rsid w:val="00812701"/>
    <w:rsid w:val="00812813"/>
    <w:rsid w:val="00812894"/>
    <w:rsid w:val="00812897"/>
    <w:rsid w:val="008128EB"/>
    <w:rsid w:val="00812A3E"/>
    <w:rsid w:val="00812C5F"/>
    <w:rsid w:val="00812CA3"/>
    <w:rsid w:val="00812F0E"/>
    <w:rsid w:val="008130BA"/>
    <w:rsid w:val="00813238"/>
    <w:rsid w:val="00813A3F"/>
    <w:rsid w:val="00813ADA"/>
    <w:rsid w:val="00813B25"/>
    <w:rsid w:val="00813B93"/>
    <w:rsid w:val="00813BA3"/>
    <w:rsid w:val="00813DF4"/>
    <w:rsid w:val="00813E0A"/>
    <w:rsid w:val="00813EB5"/>
    <w:rsid w:val="00813FA1"/>
    <w:rsid w:val="0081412D"/>
    <w:rsid w:val="008142D5"/>
    <w:rsid w:val="008145A8"/>
    <w:rsid w:val="00814822"/>
    <w:rsid w:val="00814B0A"/>
    <w:rsid w:val="00814B94"/>
    <w:rsid w:val="00814B97"/>
    <w:rsid w:val="00814BC0"/>
    <w:rsid w:val="00814C5E"/>
    <w:rsid w:val="00814CF2"/>
    <w:rsid w:val="00814DCA"/>
    <w:rsid w:val="00815022"/>
    <w:rsid w:val="0081522F"/>
    <w:rsid w:val="00815294"/>
    <w:rsid w:val="008153A9"/>
    <w:rsid w:val="00815452"/>
    <w:rsid w:val="0081554F"/>
    <w:rsid w:val="008158FA"/>
    <w:rsid w:val="00815A8C"/>
    <w:rsid w:val="00815AFB"/>
    <w:rsid w:val="00815B8E"/>
    <w:rsid w:val="00815E16"/>
    <w:rsid w:val="00815F9B"/>
    <w:rsid w:val="00815FE8"/>
    <w:rsid w:val="00816093"/>
    <w:rsid w:val="008166A5"/>
    <w:rsid w:val="008166D3"/>
    <w:rsid w:val="008168B9"/>
    <w:rsid w:val="00816995"/>
    <w:rsid w:val="00816A5F"/>
    <w:rsid w:val="00816B65"/>
    <w:rsid w:val="00816C42"/>
    <w:rsid w:val="00816C4B"/>
    <w:rsid w:val="00816E6D"/>
    <w:rsid w:val="008171FC"/>
    <w:rsid w:val="0081736E"/>
    <w:rsid w:val="00817408"/>
    <w:rsid w:val="00817413"/>
    <w:rsid w:val="00817502"/>
    <w:rsid w:val="00817858"/>
    <w:rsid w:val="0081789D"/>
    <w:rsid w:val="00817911"/>
    <w:rsid w:val="008179BE"/>
    <w:rsid w:val="008179C2"/>
    <w:rsid w:val="00817A5A"/>
    <w:rsid w:val="00817A70"/>
    <w:rsid w:val="00817ADA"/>
    <w:rsid w:val="00817EBF"/>
    <w:rsid w:val="00817F1A"/>
    <w:rsid w:val="00820079"/>
    <w:rsid w:val="0082015D"/>
    <w:rsid w:val="0082038E"/>
    <w:rsid w:val="008208B6"/>
    <w:rsid w:val="008209C9"/>
    <w:rsid w:val="00820AA5"/>
    <w:rsid w:val="00820B5B"/>
    <w:rsid w:val="00820D9E"/>
    <w:rsid w:val="00820FD7"/>
    <w:rsid w:val="008214DD"/>
    <w:rsid w:val="008215BF"/>
    <w:rsid w:val="00821998"/>
    <w:rsid w:val="008219CB"/>
    <w:rsid w:val="00821A51"/>
    <w:rsid w:val="00821C28"/>
    <w:rsid w:val="00821D09"/>
    <w:rsid w:val="00822128"/>
    <w:rsid w:val="008224FA"/>
    <w:rsid w:val="008224FE"/>
    <w:rsid w:val="00822691"/>
    <w:rsid w:val="00822704"/>
    <w:rsid w:val="0082278F"/>
    <w:rsid w:val="00822A57"/>
    <w:rsid w:val="00823359"/>
    <w:rsid w:val="00823371"/>
    <w:rsid w:val="00823472"/>
    <w:rsid w:val="008236C7"/>
    <w:rsid w:val="00823855"/>
    <w:rsid w:val="00823AA8"/>
    <w:rsid w:val="00823E08"/>
    <w:rsid w:val="00823F63"/>
    <w:rsid w:val="00823F98"/>
    <w:rsid w:val="0082409C"/>
    <w:rsid w:val="00824217"/>
    <w:rsid w:val="0082444F"/>
    <w:rsid w:val="008245BD"/>
    <w:rsid w:val="008245EC"/>
    <w:rsid w:val="008247F7"/>
    <w:rsid w:val="0082481B"/>
    <w:rsid w:val="00824836"/>
    <w:rsid w:val="008248B2"/>
    <w:rsid w:val="00824981"/>
    <w:rsid w:val="00824F7E"/>
    <w:rsid w:val="008252B3"/>
    <w:rsid w:val="008252D6"/>
    <w:rsid w:val="00825429"/>
    <w:rsid w:val="00825486"/>
    <w:rsid w:val="00825592"/>
    <w:rsid w:val="008256A0"/>
    <w:rsid w:val="00825A74"/>
    <w:rsid w:val="00825BF8"/>
    <w:rsid w:val="00825C47"/>
    <w:rsid w:val="00825CF6"/>
    <w:rsid w:val="00825DD7"/>
    <w:rsid w:val="00825F02"/>
    <w:rsid w:val="00826278"/>
    <w:rsid w:val="008266F3"/>
    <w:rsid w:val="008267CE"/>
    <w:rsid w:val="00826878"/>
    <w:rsid w:val="008268C3"/>
    <w:rsid w:val="00826990"/>
    <w:rsid w:val="00826A3F"/>
    <w:rsid w:val="008270AA"/>
    <w:rsid w:val="00827117"/>
    <w:rsid w:val="008271ED"/>
    <w:rsid w:val="008272A4"/>
    <w:rsid w:val="008272C4"/>
    <w:rsid w:val="00827334"/>
    <w:rsid w:val="00827571"/>
    <w:rsid w:val="00827693"/>
    <w:rsid w:val="00827C14"/>
    <w:rsid w:val="0082BFBF"/>
    <w:rsid w:val="0083015C"/>
    <w:rsid w:val="00830254"/>
    <w:rsid w:val="00830622"/>
    <w:rsid w:val="00830648"/>
    <w:rsid w:val="0083077D"/>
    <w:rsid w:val="008307FE"/>
    <w:rsid w:val="00830C2E"/>
    <w:rsid w:val="00830D2E"/>
    <w:rsid w:val="00830DCF"/>
    <w:rsid w:val="00830E80"/>
    <w:rsid w:val="0083100E"/>
    <w:rsid w:val="0083106C"/>
    <w:rsid w:val="00831252"/>
    <w:rsid w:val="0083156C"/>
    <w:rsid w:val="00831659"/>
    <w:rsid w:val="0083166A"/>
    <w:rsid w:val="00831726"/>
    <w:rsid w:val="00831A7C"/>
    <w:rsid w:val="00831B13"/>
    <w:rsid w:val="00831BF0"/>
    <w:rsid w:val="00831C69"/>
    <w:rsid w:val="00831D1D"/>
    <w:rsid w:val="00831E02"/>
    <w:rsid w:val="00831E42"/>
    <w:rsid w:val="00831F60"/>
    <w:rsid w:val="00832164"/>
    <w:rsid w:val="0083222A"/>
    <w:rsid w:val="0083222D"/>
    <w:rsid w:val="00832290"/>
    <w:rsid w:val="00832375"/>
    <w:rsid w:val="008323CD"/>
    <w:rsid w:val="00832433"/>
    <w:rsid w:val="0083252F"/>
    <w:rsid w:val="00832629"/>
    <w:rsid w:val="0083266D"/>
    <w:rsid w:val="0083292C"/>
    <w:rsid w:val="00832B70"/>
    <w:rsid w:val="00832BCC"/>
    <w:rsid w:val="00832C52"/>
    <w:rsid w:val="00832C70"/>
    <w:rsid w:val="00832DF5"/>
    <w:rsid w:val="00832FBF"/>
    <w:rsid w:val="00833153"/>
    <w:rsid w:val="0083381C"/>
    <w:rsid w:val="008338EC"/>
    <w:rsid w:val="00833912"/>
    <w:rsid w:val="00833925"/>
    <w:rsid w:val="00833A72"/>
    <w:rsid w:val="00833B86"/>
    <w:rsid w:val="00833B88"/>
    <w:rsid w:val="00833CFA"/>
    <w:rsid w:val="00833D19"/>
    <w:rsid w:val="00833DC8"/>
    <w:rsid w:val="00833F38"/>
    <w:rsid w:val="00833F7C"/>
    <w:rsid w:val="00833F83"/>
    <w:rsid w:val="00833F8C"/>
    <w:rsid w:val="00833FA5"/>
    <w:rsid w:val="008341CE"/>
    <w:rsid w:val="0083440C"/>
    <w:rsid w:val="00834566"/>
    <w:rsid w:val="00834848"/>
    <w:rsid w:val="00834971"/>
    <w:rsid w:val="008349CB"/>
    <w:rsid w:val="00834A2A"/>
    <w:rsid w:val="00834A7A"/>
    <w:rsid w:val="00834D35"/>
    <w:rsid w:val="00835378"/>
    <w:rsid w:val="008353BE"/>
    <w:rsid w:val="0083565D"/>
    <w:rsid w:val="008356A1"/>
    <w:rsid w:val="008356BD"/>
    <w:rsid w:val="008356F8"/>
    <w:rsid w:val="0083581F"/>
    <w:rsid w:val="00835B1A"/>
    <w:rsid w:val="00835B6B"/>
    <w:rsid w:val="00835E24"/>
    <w:rsid w:val="00835E35"/>
    <w:rsid w:val="00836094"/>
    <w:rsid w:val="0083636C"/>
    <w:rsid w:val="008363BE"/>
    <w:rsid w:val="008363D4"/>
    <w:rsid w:val="0083663F"/>
    <w:rsid w:val="008366E0"/>
    <w:rsid w:val="00836760"/>
    <w:rsid w:val="008368CD"/>
    <w:rsid w:val="00836B4F"/>
    <w:rsid w:val="00836B91"/>
    <w:rsid w:val="00836C07"/>
    <w:rsid w:val="00836F46"/>
    <w:rsid w:val="00837009"/>
    <w:rsid w:val="00837015"/>
    <w:rsid w:val="008370B2"/>
    <w:rsid w:val="00837110"/>
    <w:rsid w:val="00837268"/>
    <w:rsid w:val="0083740E"/>
    <w:rsid w:val="00837555"/>
    <w:rsid w:val="008376CE"/>
    <w:rsid w:val="00837A60"/>
    <w:rsid w:val="00837B0C"/>
    <w:rsid w:val="00837C58"/>
    <w:rsid w:val="00837EF7"/>
    <w:rsid w:val="00840142"/>
    <w:rsid w:val="008401D6"/>
    <w:rsid w:val="0084044B"/>
    <w:rsid w:val="008406EC"/>
    <w:rsid w:val="008408CD"/>
    <w:rsid w:val="00840986"/>
    <w:rsid w:val="00840BA1"/>
    <w:rsid w:val="00840C0C"/>
    <w:rsid w:val="00840C26"/>
    <w:rsid w:val="00840C64"/>
    <w:rsid w:val="0084125F"/>
    <w:rsid w:val="008412A5"/>
    <w:rsid w:val="008412C0"/>
    <w:rsid w:val="008413DE"/>
    <w:rsid w:val="008413E9"/>
    <w:rsid w:val="00841447"/>
    <w:rsid w:val="008414A8"/>
    <w:rsid w:val="0084158F"/>
    <w:rsid w:val="008415FC"/>
    <w:rsid w:val="00841669"/>
    <w:rsid w:val="008418A8"/>
    <w:rsid w:val="008418A9"/>
    <w:rsid w:val="008419E3"/>
    <w:rsid w:val="00841A43"/>
    <w:rsid w:val="00841B56"/>
    <w:rsid w:val="00841BCA"/>
    <w:rsid w:val="00841C2D"/>
    <w:rsid w:val="00841CE1"/>
    <w:rsid w:val="00841DFE"/>
    <w:rsid w:val="00841E77"/>
    <w:rsid w:val="00842079"/>
    <w:rsid w:val="008420FD"/>
    <w:rsid w:val="0084212A"/>
    <w:rsid w:val="00842177"/>
    <w:rsid w:val="0084223B"/>
    <w:rsid w:val="0084261B"/>
    <w:rsid w:val="0084273C"/>
    <w:rsid w:val="00842946"/>
    <w:rsid w:val="008429CA"/>
    <w:rsid w:val="00842A5D"/>
    <w:rsid w:val="00842CA5"/>
    <w:rsid w:val="0084306B"/>
    <w:rsid w:val="00843187"/>
    <w:rsid w:val="00843233"/>
    <w:rsid w:val="00843268"/>
    <w:rsid w:val="0084340A"/>
    <w:rsid w:val="0084354A"/>
    <w:rsid w:val="008435AE"/>
    <w:rsid w:val="00843A97"/>
    <w:rsid w:val="00843C18"/>
    <w:rsid w:val="00843E64"/>
    <w:rsid w:val="00843FF8"/>
    <w:rsid w:val="008440CC"/>
    <w:rsid w:val="00844228"/>
    <w:rsid w:val="008446E2"/>
    <w:rsid w:val="00844AEB"/>
    <w:rsid w:val="00844C75"/>
    <w:rsid w:val="00844D11"/>
    <w:rsid w:val="00844F0A"/>
    <w:rsid w:val="00844FD9"/>
    <w:rsid w:val="008451AD"/>
    <w:rsid w:val="0084573C"/>
    <w:rsid w:val="00845B1A"/>
    <w:rsid w:val="00845CD7"/>
    <w:rsid w:val="00845D2B"/>
    <w:rsid w:val="00845FE7"/>
    <w:rsid w:val="008460CE"/>
    <w:rsid w:val="0084625A"/>
    <w:rsid w:val="00846579"/>
    <w:rsid w:val="0084699B"/>
    <w:rsid w:val="008469C4"/>
    <w:rsid w:val="00846C7D"/>
    <w:rsid w:val="00846DE2"/>
    <w:rsid w:val="00846EFA"/>
    <w:rsid w:val="00847731"/>
    <w:rsid w:val="008477C8"/>
    <w:rsid w:val="00847836"/>
    <w:rsid w:val="00847960"/>
    <w:rsid w:val="008479A5"/>
    <w:rsid w:val="008479B0"/>
    <w:rsid w:val="00847D43"/>
    <w:rsid w:val="00847ECA"/>
    <w:rsid w:val="00847FDE"/>
    <w:rsid w:val="0085013C"/>
    <w:rsid w:val="00850596"/>
    <w:rsid w:val="008506AD"/>
    <w:rsid w:val="008508CE"/>
    <w:rsid w:val="00850A27"/>
    <w:rsid w:val="00850B2D"/>
    <w:rsid w:val="00850B42"/>
    <w:rsid w:val="00850D3C"/>
    <w:rsid w:val="00850DA9"/>
    <w:rsid w:val="00850FAB"/>
    <w:rsid w:val="008510EE"/>
    <w:rsid w:val="008510FF"/>
    <w:rsid w:val="008511CF"/>
    <w:rsid w:val="00851260"/>
    <w:rsid w:val="008512CF"/>
    <w:rsid w:val="0085177F"/>
    <w:rsid w:val="00851A27"/>
    <w:rsid w:val="00851A29"/>
    <w:rsid w:val="00851B67"/>
    <w:rsid w:val="00851BC7"/>
    <w:rsid w:val="00851C03"/>
    <w:rsid w:val="00851E8C"/>
    <w:rsid w:val="00851EEA"/>
    <w:rsid w:val="00852132"/>
    <w:rsid w:val="008522BC"/>
    <w:rsid w:val="00852345"/>
    <w:rsid w:val="00852358"/>
    <w:rsid w:val="008525E6"/>
    <w:rsid w:val="00852696"/>
    <w:rsid w:val="008526AA"/>
    <w:rsid w:val="008526CD"/>
    <w:rsid w:val="008526F3"/>
    <w:rsid w:val="00852971"/>
    <w:rsid w:val="008529A3"/>
    <w:rsid w:val="00852A98"/>
    <w:rsid w:val="00852A9F"/>
    <w:rsid w:val="00852B37"/>
    <w:rsid w:val="00852D21"/>
    <w:rsid w:val="00852DAD"/>
    <w:rsid w:val="00852EC8"/>
    <w:rsid w:val="00853002"/>
    <w:rsid w:val="008531F6"/>
    <w:rsid w:val="008533E5"/>
    <w:rsid w:val="008534A1"/>
    <w:rsid w:val="008535DD"/>
    <w:rsid w:val="008538E7"/>
    <w:rsid w:val="0085395E"/>
    <w:rsid w:val="008539E9"/>
    <w:rsid w:val="00853AB6"/>
    <w:rsid w:val="00853AEC"/>
    <w:rsid w:val="00853B9E"/>
    <w:rsid w:val="00853BB5"/>
    <w:rsid w:val="00853C95"/>
    <w:rsid w:val="00853E63"/>
    <w:rsid w:val="00853E87"/>
    <w:rsid w:val="00853F4A"/>
    <w:rsid w:val="00854000"/>
    <w:rsid w:val="008541FC"/>
    <w:rsid w:val="00854211"/>
    <w:rsid w:val="00854418"/>
    <w:rsid w:val="008544D2"/>
    <w:rsid w:val="008544E0"/>
    <w:rsid w:val="008544EE"/>
    <w:rsid w:val="008545DF"/>
    <w:rsid w:val="008546FE"/>
    <w:rsid w:val="0085497B"/>
    <w:rsid w:val="00854A97"/>
    <w:rsid w:val="00854B50"/>
    <w:rsid w:val="00854B9B"/>
    <w:rsid w:val="00854C95"/>
    <w:rsid w:val="00854D33"/>
    <w:rsid w:val="00854EC9"/>
    <w:rsid w:val="00854FA4"/>
    <w:rsid w:val="00854FC7"/>
    <w:rsid w:val="00855041"/>
    <w:rsid w:val="008550C5"/>
    <w:rsid w:val="008552D2"/>
    <w:rsid w:val="00855469"/>
    <w:rsid w:val="008555B3"/>
    <w:rsid w:val="00855717"/>
    <w:rsid w:val="008557E8"/>
    <w:rsid w:val="00855B0E"/>
    <w:rsid w:val="00855BB9"/>
    <w:rsid w:val="00855BFC"/>
    <w:rsid w:val="00855C0A"/>
    <w:rsid w:val="00855CA8"/>
    <w:rsid w:val="00855CEF"/>
    <w:rsid w:val="00855FD3"/>
    <w:rsid w:val="0085600C"/>
    <w:rsid w:val="00856045"/>
    <w:rsid w:val="00856271"/>
    <w:rsid w:val="008563DB"/>
    <w:rsid w:val="0085667A"/>
    <w:rsid w:val="008566AD"/>
    <w:rsid w:val="00856C4C"/>
    <w:rsid w:val="00856D82"/>
    <w:rsid w:val="00856DA1"/>
    <w:rsid w:val="00856ED5"/>
    <w:rsid w:val="00856F33"/>
    <w:rsid w:val="00856F4C"/>
    <w:rsid w:val="00856F86"/>
    <w:rsid w:val="00856FFF"/>
    <w:rsid w:val="008570F8"/>
    <w:rsid w:val="008574FD"/>
    <w:rsid w:val="0085767E"/>
    <w:rsid w:val="008576DB"/>
    <w:rsid w:val="008578F7"/>
    <w:rsid w:val="00857A0A"/>
    <w:rsid w:val="00857A35"/>
    <w:rsid w:val="00857DC3"/>
    <w:rsid w:val="00857DD8"/>
    <w:rsid w:val="00857EC8"/>
    <w:rsid w:val="00857F2A"/>
    <w:rsid w:val="00857FFC"/>
    <w:rsid w:val="00860100"/>
    <w:rsid w:val="008601D4"/>
    <w:rsid w:val="00860387"/>
    <w:rsid w:val="00860AC3"/>
    <w:rsid w:val="00860C5E"/>
    <w:rsid w:val="00860CA3"/>
    <w:rsid w:val="00860D0B"/>
    <w:rsid w:val="00860D21"/>
    <w:rsid w:val="00860E3F"/>
    <w:rsid w:val="00860E5F"/>
    <w:rsid w:val="0086115E"/>
    <w:rsid w:val="008612DF"/>
    <w:rsid w:val="008613EB"/>
    <w:rsid w:val="00861412"/>
    <w:rsid w:val="008614B1"/>
    <w:rsid w:val="008614ED"/>
    <w:rsid w:val="00861711"/>
    <w:rsid w:val="00861961"/>
    <w:rsid w:val="00861B61"/>
    <w:rsid w:val="00861CA8"/>
    <w:rsid w:val="00861D12"/>
    <w:rsid w:val="00861E4A"/>
    <w:rsid w:val="00861FFF"/>
    <w:rsid w:val="00862068"/>
    <w:rsid w:val="00862123"/>
    <w:rsid w:val="0086215C"/>
    <w:rsid w:val="008623BD"/>
    <w:rsid w:val="00862616"/>
    <w:rsid w:val="00862671"/>
    <w:rsid w:val="0086267B"/>
    <w:rsid w:val="00862697"/>
    <w:rsid w:val="00862C4F"/>
    <w:rsid w:val="00862CAC"/>
    <w:rsid w:val="00862D2F"/>
    <w:rsid w:val="00862DCB"/>
    <w:rsid w:val="00862EDD"/>
    <w:rsid w:val="00862F55"/>
    <w:rsid w:val="008630A5"/>
    <w:rsid w:val="0086314F"/>
    <w:rsid w:val="008631D4"/>
    <w:rsid w:val="0086329C"/>
    <w:rsid w:val="008633D7"/>
    <w:rsid w:val="00863535"/>
    <w:rsid w:val="0086359E"/>
    <w:rsid w:val="00863705"/>
    <w:rsid w:val="00863985"/>
    <w:rsid w:val="00863E70"/>
    <w:rsid w:val="00863FBC"/>
    <w:rsid w:val="00864442"/>
    <w:rsid w:val="008646A3"/>
    <w:rsid w:val="008648CC"/>
    <w:rsid w:val="00864A9C"/>
    <w:rsid w:val="00864BDA"/>
    <w:rsid w:val="00864C68"/>
    <w:rsid w:val="00864C91"/>
    <w:rsid w:val="00864FD2"/>
    <w:rsid w:val="00865181"/>
    <w:rsid w:val="0086524D"/>
    <w:rsid w:val="00865394"/>
    <w:rsid w:val="008654C3"/>
    <w:rsid w:val="008654C8"/>
    <w:rsid w:val="00865793"/>
    <w:rsid w:val="008658CE"/>
    <w:rsid w:val="00865939"/>
    <w:rsid w:val="00865944"/>
    <w:rsid w:val="00865973"/>
    <w:rsid w:val="008659D2"/>
    <w:rsid w:val="00865AD4"/>
    <w:rsid w:val="00865CBE"/>
    <w:rsid w:val="00865CEA"/>
    <w:rsid w:val="0086627B"/>
    <w:rsid w:val="00866364"/>
    <w:rsid w:val="00866379"/>
    <w:rsid w:val="00866390"/>
    <w:rsid w:val="008663F7"/>
    <w:rsid w:val="0086682E"/>
    <w:rsid w:val="00866AA6"/>
    <w:rsid w:val="00866C03"/>
    <w:rsid w:val="00866C34"/>
    <w:rsid w:val="00866E17"/>
    <w:rsid w:val="00866F07"/>
    <w:rsid w:val="00866F8B"/>
    <w:rsid w:val="00866FDC"/>
    <w:rsid w:val="008671CA"/>
    <w:rsid w:val="008671DA"/>
    <w:rsid w:val="00867379"/>
    <w:rsid w:val="00867422"/>
    <w:rsid w:val="008674F8"/>
    <w:rsid w:val="0086756A"/>
    <w:rsid w:val="00867626"/>
    <w:rsid w:val="008676AD"/>
    <w:rsid w:val="0086781F"/>
    <w:rsid w:val="00867A4B"/>
    <w:rsid w:val="00867AEA"/>
    <w:rsid w:val="00867BA2"/>
    <w:rsid w:val="00867CA8"/>
    <w:rsid w:val="00867D5D"/>
    <w:rsid w:val="008700CE"/>
    <w:rsid w:val="008701BD"/>
    <w:rsid w:val="00870569"/>
    <w:rsid w:val="0087071E"/>
    <w:rsid w:val="008708BD"/>
    <w:rsid w:val="00870AE6"/>
    <w:rsid w:val="00870B42"/>
    <w:rsid w:val="00870DEF"/>
    <w:rsid w:val="0087112B"/>
    <w:rsid w:val="008711D1"/>
    <w:rsid w:val="00871485"/>
    <w:rsid w:val="00871647"/>
    <w:rsid w:val="00871687"/>
    <w:rsid w:val="0087197E"/>
    <w:rsid w:val="00871A28"/>
    <w:rsid w:val="00871B58"/>
    <w:rsid w:val="00871CA1"/>
    <w:rsid w:val="00871CDB"/>
    <w:rsid w:val="00871DC5"/>
    <w:rsid w:val="00872186"/>
    <w:rsid w:val="008721B3"/>
    <w:rsid w:val="008723D8"/>
    <w:rsid w:val="008726DD"/>
    <w:rsid w:val="008727B0"/>
    <w:rsid w:val="0087299B"/>
    <w:rsid w:val="008729AE"/>
    <w:rsid w:val="00872C2B"/>
    <w:rsid w:val="00872C2D"/>
    <w:rsid w:val="00872C32"/>
    <w:rsid w:val="00872DCB"/>
    <w:rsid w:val="00873046"/>
    <w:rsid w:val="008730B2"/>
    <w:rsid w:val="00873125"/>
    <w:rsid w:val="008732CB"/>
    <w:rsid w:val="00873391"/>
    <w:rsid w:val="008733B6"/>
    <w:rsid w:val="008737B8"/>
    <w:rsid w:val="00873972"/>
    <w:rsid w:val="00873B9C"/>
    <w:rsid w:val="00873DD6"/>
    <w:rsid w:val="00873E69"/>
    <w:rsid w:val="008741B3"/>
    <w:rsid w:val="0087429A"/>
    <w:rsid w:val="008743C2"/>
    <w:rsid w:val="00874710"/>
    <w:rsid w:val="00874807"/>
    <w:rsid w:val="00874875"/>
    <w:rsid w:val="00874A4C"/>
    <w:rsid w:val="00874E02"/>
    <w:rsid w:val="00874F25"/>
    <w:rsid w:val="0087507E"/>
    <w:rsid w:val="008750E8"/>
    <w:rsid w:val="00875132"/>
    <w:rsid w:val="00875222"/>
    <w:rsid w:val="008755AE"/>
    <w:rsid w:val="00875707"/>
    <w:rsid w:val="00875B21"/>
    <w:rsid w:val="00875CE2"/>
    <w:rsid w:val="00875E8D"/>
    <w:rsid w:val="00876065"/>
    <w:rsid w:val="00876109"/>
    <w:rsid w:val="008762F0"/>
    <w:rsid w:val="00876374"/>
    <w:rsid w:val="008764FE"/>
    <w:rsid w:val="0087655A"/>
    <w:rsid w:val="00876576"/>
    <w:rsid w:val="00876625"/>
    <w:rsid w:val="008766BB"/>
    <w:rsid w:val="008767A4"/>
    <w:rsid w:val="008768D4"/>
    <w:rsid w:val="0087695A"/>
    <w:rsid w:val="00876CFC"/>
    <w:rsid w:val="00876D7E"/>
    <w:rsid w:val="00876E4C"/>
    <w:rsid w:val="00876E55"/>
    <w:rsid w:val="00876ECE"/>
    <w:rsid w:val="00876F76"/>
    <w:rsid w:val="00877163"/>
    <w:rsid w:val="00877172"/>
    <w:rsid w:val="0087721D"/>
    <w:rsid w:val="0087728B"/>
    <w:rsid w:val="008773BC"/>
    <w:rsid w:val="008776A3"/>
    <w:rsid w:val="00877A2F"/>
    <w:rsid w:val="00877B1D"/>
    <w:rsid w:val="00877B2C"/>
    <w:rsid w:val="00877BE2"/>
    <w:rsid w:val="00877D7F"/>
    <w:rsid w:val="00880004"/>
    <w:rsid w:val="0088010E"/>
    <w:rsid w:val="00880197"/>
    <w:rsid w:val="0088028C"/>
    <w:rsid w:val="0088030B"/>
    <w:rsid w:val="008805AE"/>
    <w:rsid w:val="00880EFF"/>
    <w:rsid w:val="008810FD"/>
    <w:rsid w:val="00881318"/>
    <w:rsid w:val="008818F6"/>
    <w:rsid w:val="008819C5"/>
    <w:rsid w:val="00881B42"/>
    <w:rsid w:val="00881C91"/>
    <w:rsid w:val="00881D46"/>
    <w:rsid w:val="00881D90"/>
    <w:rsid w:val="008820B1"/>
    <w:rsid w:val="008820FC"/>
    <w:rsid w:val="00882156"/>
    <w:rsid w:val="0088224E"/>
    <w:rsid w:val="00882886"/>
    <w:rsid w:val="008829CC"/>
    <w:rsid w:val="00882A1D"/>
    <w:rsid w:val="00882BA3"/>
    <w:rsid w:val="00882D75"/>
    <w:rsid w:val="00882E37"/>
    <w:rsid w:val="00882E50"/>
    <w:rsid w:val="00882F9A"/>
    <w:rsid w:val="008830C7"/>
    <w:rsid w:val="0088325C"/>
    <w:rsid w:val="00883511"/>
    <w:rsid w:val="00883848"/>
    <w:rsid w:val="00883C83"/>
    <w:rsid w:val="00883CAA"/>
    <w:rsid w:val="00883ECC"/>
    <w:rsid w:val="00883EF4"/>
    <w:rsid w:val="00883F20"/>
    <w:rsid w:val="008840FC"/>
    <w:rsid w:val="00884198"/>
    <w:rsid w:val="0088462A"/>
    <w:rsid w:val="00884674"/>
    <w:rsid w:val="008847F9"/>
    <w:rsid w:val="0088493B"/>
    <w:rsid w:val="00884994"/>
    <w:rsid w:val="008849CF"/>
    <w:rsid w:val="00884ACC"/>
    <w:rsid w:val="00884C7D"/>
    <w:rsid w:val="00884DFD"/>
    <w:rsid w:val="00884E64"/>
    <w:rsid w:val="00884FF5"/>
    <w:rsid w:val="0088513C"/>
    <w:rsid w:val="00885319"/>
    <w:rsid w:val="00885504"/>
    <w:rsid w:val="00885757"/>
    <w:rsid w:val="00885790"/>
    <w:rsid w:val="00885E97"/>
    <w:rsid w:val="00886112"/>
    <w:rsid w:val="00886278"/>
    <w:rsid w:val="0088660E"/>
    <w:rsid w:val="008866C3"/>
    <w:rsid w:val="008866CE"/>
    <w:rsid w:val="00886B61"/>
    <w:rsid w:val="00886C52"/>
    <w:rsid w:val="00886CE4"/>
    <w:rsid w:val="00886FB3"/>
    <w:rsid w:val="00886FEB"/>
    <w:rsid w:val="00887085"/>
    <w:rsid w:val="0088720B"/>
    <w:rsid w:val="008872BB"/>
    <w:rsid w:val="0088736F"/>
    <w:rsid w:val="0088746C"/>
    <w:rsid w:val="008875E7"/>
    <w:rsid w:val="00887792"/>
    <w:rsid w:val="00887AA0"/>
    <w:rsid w:val="00887C9D"/>
    <w:rsid w:val="00887DDB"/>
    <w:rsid w:val="008900D4"/>
    <w:rsid w:val="00890140"/>
    <w:rsid w:val="008904B6"/>
    <w:rsid w:val="0089051A"/>
    <w:rsid w:val="00890569"/>
    <w:rsid w:val="00890602"/>
    <w:rsid w:val="00890672"/>
    <w:rsid w:val="008906AA"/>
    <w:rsid w:val="008906E4"/>
    <w:rsid w:val="00890828"/>
    <w:rsid w:val="008908C8"/>
    <w:rsid w:val="00890953"/>
    <w:rsid w:val="00890C19"/>
    <w:rsid w:val="00890C58"/>
    <w:rsid w:val="008910C5"/>
    <w:rsid w:val="008914D1"/>
    <w:rsid w:val="0089161B"/>
    <w:rsid w:val="00891676"/>
    <w:rsid w:val="00891802"/>
    <w:rsid w:val="008919CE"/>
    <w:rsid w:val="00891B44"/>
    <w:rsid w:val="00891BEE"/>
    <w:rsid w:val="00891C27"/>
    <w:rsid w:val="00891C9B"/>
    <w:rsid w:val="00891CF9"/>
    <w:rsid w:val="00891E8B"/>
    <w:rsid w:val="008920ED"/>
    <w:rsid w:val="0089223D"/>
    <w:rsid w:val="008922ED"/>
    <w:rsid w:val="0089266B"/>
    <w:rsid w:val="00892706"/>
    <w:rsid w:val="0089270F"/>
    <w:rsid w:val="0089280F"/>
    <w:rsid w:val="00892A36"/>
    <w:rsid w:val="00892A4F"/>
    <w:rsid w:val="00892B74"/>
    <w:rsid w:val="00892C14"/>
    <w:rsid w:val="00892CBC"/>
    <w:rsid w:val="0089301E"/>
    <w:rsid w:val="008930AC"/>
    <w:rsid w:val="00893362"/>
    <w:rsid w:val="00893554"/>
    <w:rsid w:val="00893660"/>
    <w:rsid w:val="0089369A"/>
    <w:rsid w:val="0089370A"/>
    <w:rsid w:val="00893A77"/>
    <w:rsid w:val="00893C07"/>
    <w:rsid w:val="00893C3E"/>
    <w:rsid w:val="00893D8F"/>
    <w:rsid w:val="00893E1E"/>
    <w:rsid w:val="00893F22"/>
    <w:rsid w:val="0089402B"/>
    <w:rsid w:val="008940DD"/>
    <w:rsid w:val="00894215"/>
    <w:rsid w:val="0089427F"/>
    <w:rsid w:val="008944C4"/>
    <w:rsid w:val="008945DF"/>
    <w:rsid w:val="0089468F"/>
    <w:rsid w:val="0089470C"/>
    <w:rsid w:val="008949EB"/>
    <w:rsid w:val="00894C2E"/>
    <w:rsid w:val="00894D45"/>
    <w:rsid w:val="00894F0A"/>
    <w:rsid w:val="00894F25"/>
    <w:rsid w:val="008954BD"/>
    <w:rsid w:val="008955E6"/>
    <w:rsid w:val="008956FD"/>
    <w:rsid w:val="0089589E"/>
    <w:rsid w:val="008958AF"/>
    <w:rsid w:val="0089594B"/>
    <w:rsid w:val="00895A93"/>
    <w:rsid w:val="00895AFE"/>
    <w:rsid w:val="00896388"/>
    <w:rsid w:val="0089657A"/>
    <w:rsid w:val="008965C3"/>
    <w:rsid w:val="008965E3"/>
    <w:rsid w:val="0089666B"/>
    <w:rsid w:val="0089666E"/>
    <w:rsid w:val="00896954"/>
    <w:rsid w:val="00896995"/>
    <w:rsid w:val="00896A24"/>
    <w:rsid w:val="00896A46"/>
    <w:rsid w:val="00896ACD"/>
    <w:rsid w:val="00896CE7"/>
    <w:rsid w:val="00896D13"/>
    <w:rsid w:val="00896D55"/>
    <w:rsid w:val="00897132"/>
    <w:rsid w:val="0089716A"/>
    <w:rsid w:val="00897331"/>
    <w:rsid w:val="00897525"/>
    <w:rsid w:val="00897598"/>
    <w:rsid w:val="00897C76"/>
    <w:rsid w:val="008A009B"/>
    <w:rsid w:val="008A0526"/>
    <w:rsid w:val="008A06E7"/>
    <w:rsid w:val="008A08FB"/>
    <w:rsid w:val="008A0AB3"/>
    <w:rsid w:val="008A0BCD"/>
    <w:rsid w:val="008A0CEA"/>
    <w:rsid w:val="008A0EBD"/>
    <w:rsid w:val="008A0F6C"/>
    <w:rsid w:val="008A1052"/>
    <w:rsid w:val="008A11CF"/>
    <w:rsid w:val="008A12B0"/>
    <w:rsid w:val="008A1355"/>
    <w:rsid w:val="008A138E"/>
    <w:rsid w:val="008A13CA"/>
    <w:rsid w:val="008A16A9"/>
    <w:rsid w:val="008A1900"/>
    <w:rsid w:val="008A196D"/>
    <w:rsid w:val="008A1AF3"/>
    <w:rsid w:val="008A1D4F"/>
    <w:rsid w:val="008A1D5E"/>
    <w:rsid w:val="008A20C7"/>
    <w:rsid w:val="008A23D5"/>
    <w:rsid w:val="008A242A"/>
    <w:rsid w:val="008A2634"/>
    <w:rsid w:val="008A2665"/>
    <w:rsid w:val="008A277D"/>
    <w:rsid w:val="008A2805"/>
    <w:rsid w:val="008A280B"/>
    <w:rsid w:val="008A282C"/>
    <w:rsid w:val="008A2B59"/>
    <w:rsid w:val="008A2C48"/>
    <w:rsid w:val="008A30E2"/>
    <w:rsid w:val="008A30ED"/>
    <w:rsid w:val="008A3229"/>
    <w:rsid w:val="008A32E1"/>
    <w:rsid w:val="008A37FC"/>
    <w:rsid w:val="008A3866"/>
    <w:rsid w:val="008A38F4"/>
    <w:rsid w:val="008A3982"/>
    <w:rsid w:val="008A39E5"/>
    <w:rsid w:val="008A3A97"/>
    <w:rsid w:val="008A3B5A"/>
    <w:rsid w:val="008A3CBF"/>
    <w:rsid w:val="008A3DDD"/>
    <w:rsid w:val="008A3ECF"/>
    <w:rsid w:val="008A41B0"/>
    <w:rsid w:val="008A429D"/>
    <w:rsid w:val="008A4388"/>
    <w:rsid w:val="008A4539"/>
    <w:rsid w:val="008A466B"/>
    <w:rsid w:val="008A46BE"/>
    <w:rsid w:val="008A4826"/>
    <w:rsid w:val="008A4848"/>
    <w:rsid w:val="008A4A9E"/>
    <w:rsid w:val="008A4AF2"/>
    <w:rsid w:val="008A4BD7"/>
    <w:rsid w:val="008A4BF7"/>
    <w:rsid w:val="008A4C56"/>
    <w:rsid w:val="008A4E72"/>
    <w:rsid w:val="008A4EF0"/>
    <w:rsid w:val="008A4F92"/>
    <w:rsid w:val="008A4FD9"/>
    <w:rsid w:val="008A532B"/>
    <w:rsid w:val="008A53AE"/>
    <w:rsid w:val="008A5401"/>
    <w:rsid w:val="008A5942"/>
    <w:rsid w:val="008A5A23"/>
    <w:rsid w:val="008A5A6F"/>
    <w:rsid w:val="008A5BD6"/>
    <w:rsid w:val="008A5DCE"/>
    <w:rsid w:val="008A5E9B"/>
    <w:rsid w:val="008A5FB3"/>
    <w:rsid w:val="008A6014"/>
    <w:rsid w:val="008A6069"/>
    <w:rsid w:val="008A615D"/>
    <w:rsid w:val="008A61A1"/>
    <w:rsid w:val="008A61AF"/>
    <w:rsid w:val="008A61CC"/>
    <w:rsid w:val="008A62D0"/>
    <w:rsid w:val="008A62EB"/>
    <w:rsid w:val="008A63CA"/>
    <w:rsid w:val="008A6677"/>
    <w:rsid w:val="008A6793"/>
    <w:rsid w:val="008A6809"/>
    <w:rsid w:val="008A6933"/>
    <w:rsid w:val="008A6BEC"/>
    <w:rsid w:val="008A6BF1"/>
    <w:rsid w:val="008A6C50"/>
    <w:rsid w:val="008A6D56"/>
    <w:rsid w:val="008A6E73"/>
    <w:rsid w:val="008A6EE8"/>
    <w:rsid w:val="008A6F58"/>
    <w:rsid w:val="008A7052"/>
    <w:rsid w:val="008A708D"/>
    <w:rsid w:val="008A72D1"/>
    <w:rsid w:val="008A751E"/>
    <w:rsid w:val="008A7633"/>
    <w:rsid w:val="008A7690"/>
    <w:rsid w:val="008A77D5"/>
    <w:rsid w:val="008A77FF"/>
    <w:rsid w:val="008A7832"/>
    <w:rsid w:val="008A78B0"/>
    <w:rsid w:val="008A7AF9"/>
    <w:rsid w:val="008A7B84"/>
    <w:rsid w:val="008A7D5F"/>
    <w:rsid w:val="008A7E44"/>
    <w:rsid w:val="008A7E9B"/>
    <w:rsid w:val="008A7EB8"/>
    <w:rsid w:val="008B0461"/>
    <w:rsid w:val="008B05AA"/>
    <w:rsid w:val="008B05E5"/>
    <w:rsid w:val="008B07A7"/>
    <w:rsid w:val="008B08DD"/>
    <w:rsid w:val="008B0A88"/>
    <w:rsid w:val="008B0D5B"/>
    <w:rsid w:val="008B0D63"/>
    <w:rsid w:val="008B10E3"/>
    <w:rsid w:val="008B10F1"/>
    <w:rsid w:val="008B131E"/>
    <w:rsid w:val="008B13B0"/>
    <w:rsid w:val="008B1486"/>
    <w:rsid w:val="008B15E1"/>
    <w:rsid w:val="008B1800"/>
    <w:rsid w:val="008B1929"/>
    <w:rsid w:val="008B1965"/>
    <w:rsid w:val="008B19CF"/>
    <w:rsid w:val="008B1A03"/>
    <w:rsid w:val="008B1D83"/>
    <w:rsid w:val="008B1F71"/>
    <w:rsid w:val="008B1F8B"/>
    <w:rsid w:val="008B1FD2"/>
    <w:rsid w:val="008B2163"/>
    <w:rsid w:val="008B22E2"/>
    <w:rsid w:val="008B2308"/>
    <w:rsid w:val="008B2383"/>
    <w:rsid w:val="008B2684"/>
    <w:rsid w:val="008B2819"/>
    <w:rsid w:val="008B2A85"/>
    <w:rsid w:val="008B2CF3"/>
    <w:rsid w:val="008B2D48"/>
    <w:rsid w:val="008B2F04"/>
    <w:rsid w:val="008B3127"/>
    <w:rsid w:val="008B3132"/>
    <w:rsid w:val="008B313C"/>
    <w:rsid w:val="008B314A"/>
    <w:rsid w:val="008B334B"/>
    <w:rsid w:val="008B35E8"/>
    <w:rsid w:val="008B3717"/>
    <w:rsid w:val="008B37CE"/>
    <w:rsid w:val="008B3978"/>
    <w:rsid w:val="008B3D30"/>
    <w:rsid w:val="008B3D7D"/>
    <w:rsid w:val="008B4045"/>
    <w:rsid w:val="008B412A"/>
    <w:rsid w:val="008B4159"/>
    <w:rsid w:val="008B4352"/>
    <w:rsid w:val="008B44C9"/>
    <w:rsid w:val="008B4634"/>
    <w:rsid w:val="008B467D"/>
    <w:rsid w:val="008B4776"/>
    <w:rsid w:val="008B4B0A"/>
    <w:rsid w:val="008B4D1E"/>
    <w:rsid w:val="008B50B0"/>
    <w:rsid w:val="008B5637"/>
    <w:rsid w:val="008B5683"/>
    <w:rsid w:val="008B5964"/>
    <w:rsid w:val="008B5A52"/>
    <w:rsid w:val="008B5B58"/>
    <w:rsid w:val="008B5DB8"/>
    <w:rsid w:val="008B618E"/>
    <w:rsid w:val="008B630E"/>
    <w:rsid w:val="008B659F"/>
    <w:rsid w:val="008B65B1"/>
    <w:rsid w:val="008B6894"/>
    <w:rsid w:val="008B6BA7"/>
    <w:rsid w:val="008B6DAC"/>
    <w:rsid w:val="008B6E43"/>
    <w:rsid w:val="008B720A"/>
    <w:rsid w:val="008B7376"/>
    <w:rsid w:val="008B7380"/>
    <w:rsid w:val="008B7572"/>
    <w:rsid w:val="008B7768"/>
    <w:rsid w:val="008B79F8"/>
    <w:rsid w:val="008B7B4C"/>
    <w:rsid w:val="008B7B66"/>
    <w:rsid w:val="008B7BA8"/>
    <w:rsid w:val="008B7BAE"/>
    <w:rsid w:val="008B7D87"/>
    <w:rsid w:val="008B7E7B"/>
    <w:rsid w:val="008B7E8C"/>
    <w:rsid w:val="008B7EE4"/>
    <w:rsid w:val="008B7F4C"/>
    <w:rsid w:val="008C01C9"/>
    <w:rsid w:val="008C0AFE"/>
    <w:rsid w:val="008C0B4C"/>
    <w:rsid w:val="008C0E6F"/>
    <w:rsid w:val="008C10D3"/>
    <w:rsid w:val="008C11E5"/>
    <w:rsid w:val="008C188A"/>
    <w:rsid w:val="008C1BF2"/>
    <w:rsid w:val="008C2126"/>
    <w:rsid w:val="008C27C8"/>
    <w:rsid w:val="008C2822"/>
    <w:rsid w:val="008C2B5D"/>
    <w:rsid w:val="008C2C3A"/>
    <w:rsid w:val="008C2E31"/>
    <w:rsid w:val="008C2EB9"/>
    <w:rsid w:val="008C3100"/>
    <w:rsid w:val="008C32C3"/>
    <w:rsid w:val="008C333B"/>
    <w:rsid w:val="008C3372"/>
    <w:rsid w:val="008C33C8"/>
    <w:rsid w:val="008C34FE"/>
    <w:rsid w:val="008C3544"/>
    <w:rsid w:val="008C36C3"/>
    <w:rsid w:val="008C394E"/>
    <w:rsid w:val="008C3BCF"/>
    <w:rsid w:val="008C3DF2"/>
    <w:rsid w:val="008C3F78"/>
    <w:rsid w:val="008C3F8F"/>
    <w:rsid w:val="008C3FD8"/>
    <w:rsid w:val="008C4131"/>
    <w:rsid w:val="008C449F"/>
    <w:rsid w:val="008C45FF"/>
    <w:rsid w:val="008C47BE"/>
    <w:rsid w:val="008C4848"/>
    <w:rsid w:val="008C4870"/>
    <w:rsid w:val="008C49A6"/>
    <w:rsid w:val="008C4A88"/>
    <w:rsid w:val="008C4B8C"/>
    <w:rsid w:val="008C4C8A"/>
    <w:rsid w:val="008C5090"/>
    <w:rsid w:val="008C50BA"/>
    <w:rsid w:val="008C50D1"/>
    <w:rsid w:val="008C53F6"/>
    <w:rsid w:val="008C54DD"/>
    <w:rsid w:val="008C5507"/>
    <w:rsid w:val="008C559D"/>
    <w:rsid w:val="008C55A0"/>
    <w:rsid w:val="008C563E"/>
    <w:rsid w:val="008C5673"/>
    <w:rsid w:val="008C56C4"/>
    <w:rsid w:val="008C5843"/>
    <w:rsid w:val="008C593C"/>
    <w:rsid w:val="008C5A1F"/>
    <w:rsid w:val="008C5A47"/>
    <w:rsid w:val="008C5DCC"/>
    <w:rsid w:val="008C5E23"/>
    <w:rsid w:val="008C5E96"/>
    <w:rsid w:val="008C5EAE"/>
    <w:rsid w:val="008C6084"/>
    <w:rsid w:val="008C6192"/>
    <w:rsid w:val="008C6316"/>
    <w:rsid w:val="008C637D"/>
    <w:rsid w:val="008C63FF"/>
    <w:rsid w:val="008C6496"/>
    <w:rsid w:val="008C64F3"/>
    <w:rsid w:val="008C6525"/>
    <w:rsid w:val="008C661F"/>
    <w:rsid w:val="008C67FA"/>
    <w:rsid w:val="008C6969"/>
    <w:rsid w:val="008C69F3"/>
    <w:rsid w:val="008C6A34"/>
    <w:rsid w:val="008C6A62"/>
    <w:rsid w:val="008C6ADC"/>
    <w:rsid w:val="008C6AE9"/>
    <w:rsid w:val="008C6AFC"/>
    <w:rsid w:val="008C6B62"/>
    <w:rsid w:val="008C6DE2"/>
    <w:rsid w:val="008C716C"/>
    <w:rsid w:val="008C7697"/>
    <w:rsid w:val="008C77FA"/>
    <w:rsid w:val="008C7816"/>
    <w:rsid w:val="008C7CFC"/>
    <w:rsid w:val="008C7E9D"/>
    <w:rsid w:val="008D005E"/>
    <w:rsid w:val="008D0074"/>
    <w:rsid w:val="008D008A"/>
    <w:rsid w:val="008D013C"/>
    <w:rsid w:val="008D01DA"/>
    <w:rsid w:val="008D0286"/>
    <w:rsid w:val="008D0420"/>
    <w:rsid w:val="008D0523"/>
    <w:rsid w:val="008D05C6"/>
    <w:rsid w:val="008D0672"/>
    <w:rsid w:val="008D0773"/>
    <w:rsid w:val="008D08C1"/>
    <w:rsid w:val="008D09EF"/>
    <w:rsid w:val="008D0BFC"/>
    <w:rsid w:val="008D0C22"/>
    <w:rsid w:val="008D0CC4"/>
    <w:rsid w:val="008D1623"/>
    <w:rsid w:val="008D167F"/>
    <w:rsid w:val="008D1944"/>
    <w:rsid w:val="008D198D"/>
    <w:rsid w:val="008D1A9E"/>
    <w:rsid w:val="008D1D3F"/>
    <w:rsid w:val="008D2394"/>
    <w:rsid w:val="008D23CF"/>
    <w:rsid w:val="008D26A4"/>
    <w:rsid w:val="008D26B7"/>
    <w:rsid w:val="008D28A4"/>
    <w:rsid w:val="008D2931"/>
    <w:rsid w:val="008D2B6F"/>
    <w:rsid w:val="008D305A"/>
    <w:rsid w:val="008D345B"/>
    <w:rsid w:val="008D3864"/>
    <w:rsid w:val="008D3B88"/>
    <w:rsid w:val="008D3B9F"/>
    <w:rsid w:val="008D3D97"/>
    <w:rsid w:val="008D3DFC"/>
    <w:rsid w:val="008D4000"/>
    <w:rsid w:val="008D440B"/>
    <w:rsid w:val="008D444A"/>
    <w:rsid w:val="008D4675"/>
    <w:rsid w:val="008D4923"/>
    <w:rsid w:val="008D4C89"/>
    <w:rsid w:val="008D4CDA"/>
    <w:rsid w:val="008D4D74"/>
    <w:rsid w:val="008D4E55"/>
    <w:rsid w:val="008D4E95"/>
    <w:rsid w:val="008D4FA5"/>
    <w:rsid w:val="008D4FE1"/>
    <w:rsid w:val="008D5030"/>
    <w:rsid w:val="008D5210"/>
    <w:rsid w:val="008D527A"/>
    <w:rsid w:val="008D529B"/>
    <w:rsid w:val="008D536B"/>
    <w:rsid w:val="008D53A1"/>
    <w:rsid w:val="008D56F1"/>
    <w:rsid w:val="008D5706"/>
    <w:rsid w:val="008D571E"/>
    <w:rsid w:val="008D57B4"/>
    <w:rsid w:val="008D5882"/>
    <w:rsid w:val="008D5A91"/>
    <w:rsid w:val="008D5B4A"/>
    <w:rsid w:val="008D5BD1"/>
    <w:rsid w:val="008D5D3C"/>
    <w:rsid w:val="008D621A"/>
    <w:rsid w:val="008D6400"/>
    <w:rsid w:val="008D64C2"/>
    <w:rsid w:val="008D65E7"/>
    <w:rsid w:val="008D6737"/>
    <w:rsid w:val="008D67DC"/>
    <w:rsid w:val="008D6844"/>
    <w:rsid w:val="008D68D7"/>
    <w:rsid w:val="008D6960"/>
    <w:rsid w:val="008D6A8E"/>
    <w:rsid w:val="008D6BAD"/>
    <w:rsid w:val="008D6E68"/>
    <w:rsid w:val="008D6FF2"/>
    <w:rsid w:val="008D7765"/>
    <w:rsid w:val="008D777E"/>
    <w:rsid w:val="008D78A9"/>
    <w:rsid w:val="008D7B77"/>
    <w:rsid w:val="008D7BC7"/>
    <w:rsid w:val="008D7BE8"/>
    <w:rsid w:val="008D7C77"/>
    <w:rsid w:val="008D7D18"/>
    <w:rsid w:val="008D7D65"/>
    <w:rsid w:val="008D7D78"/>
    <w:rsid w:val="008D7DAF"/>
    <w:rsid w:val="008D7F0E"/>
    <w:rsid w:val="008D7FEC"/>
    <w:rsid w:val="008E0271"/>
    <w:rsid w:val="008E047D"/>
    <w:rsid w:val="008E0530"/>
    <w:rsid w:val="008E055B"/>
    <w:rsid w:val="008E0644"/>
    <w:rsid w:val="008E0652"/>
    <w:rsid w:val="008E0674"/>
    <w:rsid w:val="008E0820"/>
    <w:rsid w:val="008E08E5"/>
    <w:rsid w:val="008E09CD"/>
    <w:rsid w:val="008E0B8F"/>
    <w:rsid w:val="008E0D2A"/>
    <w:rsid w:val="008E0FE1"/>
    <w:rsid w:val="008E1033"/>
    <w:rsid w:val="008E1269"/>
    <w:rsid w:val="008E1366"/>
    <w:rsid w:val="008E13E0"/>
    <w:rsid w:val="008E13F1"/>
    <w:rsid w:val="008E1510"/>
    <w:rsid w:val="008E1575"/>
    <w:rsid w:val="008E15FE"/>
    <w:rsid w:val="008E164A"/>
    <w:rsid w:val="008E171A"/>
    <w:rsid w:val="008E195D"/>
    <w:rsid w:val="008E2183"/>
    <w:rsid w:val="008E2430"/>
    <w:rsid w:val="008E24B2"/>
    <w:rsid w:val="008E255C"/>
    <w:rsid w:val="008E2668"/>
    <w:rsid w:val="008E269D"/>
    <w:rsid w:val="008E26FD"/>
    <w:rsid w:val="008E2762"/>
    <w:rsid w:val="008E2DAC"/>
    <w:rsid w:val="008E3043"/>
    <w:rsid w:val="008E309F"/>
    <w:rsid w:val="008E3369"/>
    <w:rsid w:val="008E33CB"/>
    <w:rsid w:val="008E33EB"/>
    <w:rsid w:val="008E3454"/>
    <w:rsid w:val="008E34E5"/>
    <w:rsid w:val="008E3643"/>
    <w:rsid w:val="008E3736"/>
    <w:rsid w:val="008E375F"/>
    <w:rsid w:val="008E3B1D"/>
    <w:rsid w:val="008E3CC9"/>
    <w:rsid w:val="008E3D5A"/>
    <w:rsid w:val="008E4073"/>
    <w:rsid w:val="008E46DC"/>
    <w:rsid w:val="008E46F4"/>
    <w:rsid w:val="008E4866"/>
    <w:rsid w:val="008E487D"/>
    <w:rsid w:val="008E48DE"/>
    <w:rsid w:val="008E4C35"/>
    <w:rsid w:val="008E4E4D"/>
    <w:rsid w:val="008E5040"/>
    <w:rsid w:val="008E5226"/>
    <w:rsid w:val="008E5418"/>
    <w:rsid w:val="008E56AB"/>
    <w:rsid w:val="008E5915"/>
    <w:rsid w:val="008E59DB"/>
    <w:rsid w:val="008E5A7C"/>
    <w:rsid w:val="008E5E13"/>
    <w:rsid w:val="008E5F40"/>
    <w:rsid w:val="008E605F"/>
    <w:rsid w:val="008E62FC"/>
    <w:rsid w:val="008E67E7"/>
    <w:rsid w:val="008E6991"/>
    <w:rsid w:val="008E6D5F"/>
    <w:rsid w:val="008E6DF1"/>
    <w:rsid w:val="008E6EB5"/>
    <w:rsid w:val="008E6FAF"/>
    <w:rsid w:val="008E72AC"/>
    <w:rsid w:val="008E775C"/>
    <w:rsid w:val="008E7867"/>
    <w:rsid w:val="008E7ACE"/>
    <w:rsid w:val="008E7B16"/>
    <w:rsid w:val="008E7E41"/>
    <w:rsid w:val="008EC8FF"/>
    <w:rsid w:val="008F022C"/>
    <w:rsid w:val="008F032C"/>
    <w:rsid w:val="008F03B4"/>
    <w:rsid w:val="008F0430"/>
    <w:rsid w:val="008F0485"/>
    <w:rsid w:val="008F0638"/>
    <w:rsid w:val="008F06DF"/>
    <w:rsid w:val="008F0784"/>
    <w:rsid w:val="008F0A78"/>
    <w:rsid w:val="008F0AA4"/>
    <w:rsid w:val="008F0C1B"/>
    <w:rsid w:val="008F0C8A"/>
    <w:rsid w:val="008F0CFA"/>
    <w:rsid w:val="008F11E4"/>
    <w:rsid w:val="008F120B"/>
    <w:rsid w:val="008F1416"/>
    <w:rsid w:val="008F1423"/>
    <w:rsid w:val="008F1486"/>
    <w:rsid w:val="008F14E9"/>
    <w:rsid w:val="008F153D"/>
    <w:rsid w:val="008F1B64"/>
    <w:rsid w:val="008F1C04"/>
    <w:rsid w:val="008F1C5B"/>
    <w:rsid w:val="008F1E34"/>
    <w:rsid w:val="008F1F68"/>
    <w:rsid w:val="008F2004"/>
    <w:rsid w:val="008F2068"/>
    <w:rsid w:val="008F2081"/>
    <w:rsid w:val="008F22C0"/>
    <w:rsid w:val="008F23AD"/>
    <w:rsid w:val="008F24A4"/>
    <w:rsid w:val="008F2519"/>
    <w:rsid w:val="008F2524"/>
    <w:rsid w:val="008F260C"/>
    <w:rsid w:val="008F2961"/>
    <w:rsid w:val="008F2A3C"/>
    <w:rsid w:val="008F2AD2"/>
    <w:rsid w:val="008F2B08"/>
    <w:rsid w:val="008F2BAB"/>
    <w:rsid w:val="008F2DC5"/>
    <w:rsid w:val="008F2EBF"/>
    <w:rsid w:val="008F30B1"/>
    <w:rsid w:val="008F30EA"/>
    <w:rsid w:val="008F31F6"/>
    <w:rsid w:val="008F326A"/>
    <w:rsid w:val="008F3270"/>
    <w:rsid w:val="008F32E1"/>
    <w:rsid w:val="008F334F"/>
    <w:rsid w:val="008F3373"/>
    <w:rsid w:val="008F34A6"/>
    <w:rsid w:val="008F34EC"/>
    <w:rsid w:val="008F35F6"/>
    <w:rsid w:val="008F36D3"/>
    <w:rsid w:val="008F3A37"/>
    <w:rsid w:val="008F3B3A"/>
    <w:rsid w:val="008F3C34"/>
    <w:rsid w:val="008F3CBD"/>
    <w:rsid w:val="008F3D7D"/>
    <w:rsid w:val="008F3E64"/>
    <w:rsid w:val="008F4081"/>
    <w:rsid w:val="008F409F"/>
    <w:rsid w:val="008F40E1"/>
    <w:rsid w:val="008F4203"/>
    <w:rsid w:val="008F43D5"/>
    <w:rsid w:val="008F460A"/>
    <w:rsid w:val="008F46E8"/>
    <w:rsid w:val="008F4772"/>
    <w:rsid w:val="008F477F"/>
    <w:rsid w:val="008F47DC"/>
    <w:rsid w:val="008F47FF"/>
    <w:rsid w:val="008F4957"/>
    <w:rsid w:val="008F4B05"/>
    <w:rsid w:val="008F4C0E"/>
    <w:rsid w:val="008F4DD5"/>
    <w:rsid w:val="008F4F31"/>
    <w:rsid w:val="008F50DD"/>
    <w:rsid w:val="008F51B2"/>
    <w:rsid w:val="008F53D6"/>
    <w:rsid w:val="008F5470"/>
    <w:rsid w:val="008F54BB"/>
    <w:rsid w:val="008F592F"/>
    <w:rsid w:val="008F59AF"/>
    <w:rsid w:val="008F5B63"/>
    <w:rsid w:val="008F5BB6"/>
    <w:rsid w:val="008F5E27"/>
    <w:rsid w:val="008F624C"/>
    <w:rsid w:val="008F63C2"/>
    <w:rsid w:val="008F6566"/>
    <w:rsid w:val="008F656D"/>
    <w:rsid w:val="008F6762"/>
    <w:rsid w:val="008F67F0"/>
    <w:rsid w:val="008F6A77"/>
    <w:rsid w:val="008F6CB7"/>
    <w:rsid w:val="008F6D2F"/>
    <w:rsid w:val="008F6E16"/>
    <w:rsid w:val="008F6EE9"/>
    <w:rsid w:val="008F70D8"/>
    <w:rsid w:val="008F71E6"/>
    <w:rsid w:val="008F73C9"/>
    <w:rsid w:val="008F7428"/>
    <w:rsid w:val="008F7A82"/>
    <w:rsid w:val="008F7B5C"/>
    <w:rsid w:val="008F7C0C"/>
    <w:rsid w:val="008F7E0A"/>
    <w:rsid w:val="008F7E5A"/>
    <w:rsid w:val="008F7F9E"/>
    <w:rsid w:val="008F7FF8"/>
    <w:rsid w:val="0090003F"/>
    <w:rsid w:val="00900262"/>
    <w:rsid w:val="00900276"/>
    <w:rsid w:val="00900535"/>
    <w:rsid w:val="00900625"/>
    <w:rsid w:val="00900768"/>
    <w:rsid w:val="00900897"/>
    <w:rsid w:val="0090089A"/>
    <w:rsid w:val="00900A98"/>
    <w:rsid w:val="00900CD1"/>
    <w:rsid w:val="00900D17"/>
    <w:rsid w:val="00901022"/>
    <w:rsid w:val="0090116E"/>
    <w:rsid w:val="009011D7"/>
    <w:rsid w:val="00901304"/>
    <w:rsid w:val="009015AB"/>
    <w:rsid w:val="0090173D"/>
    <w:rsid w:val="009018BC"/>
    <w:rsid w:val="00901904"/>
    <w:rsid w:val="00901AA5"/>
    <w:rsid w:val="00901BAF"/>
    <w:rsid w:val="00902087"/>
    <w:rsid w:val="009020A2"/>
    <w:rsid w:val="009020F1"/>
    <w:rsid w:val="009021CE"/>
    <w:rsid w:val="0090224D"/>
    <w:rsid w:val="00902492"/>
    <w:rsid w:val="00902554"/>
    <w:rsid w:val="0090261A"/>
    <w:rsid w:val="00902BCF"/>
    <w:rsid w:val="00902C93"/>
    <w:rsid w:val="00902CE4"/>
    <w:rsid w:val="00902F72"/>
    <w:rsid w:val="009030CF"/>
    <w:rsid w:val="0090322E"/>
    <w:rsid w:val="009032E6"/>
    <w:rsid w:val="0090332A"/>
    <w:rsid w:val="00903510"/>
    <w:rsid w:val="0090357B"/>
    <w:rsid w:val="0090360E"/>
    <w:rsid w:val="00903616"/>
    <w:rsid w:val="00903661"/>
    <w:rsid w:val="00903688"/>
    <w:rsid w:val="0090379A"/>
    <w:rsid w:val="009038A9"/>
    <w:rsid w:val="0090396D"/>
    <w:rsid w:val="00903A10"/>
    <w:rsid w:val="00903A8A"/>
    <w:rsid w:val="00903D05"/>
    <w:rsid w:val="00903D53"/>
    <w:rsid w:val="00903DA5"/>
    <w:rsid w:val="00903DB2"/>
    <w:rsid w:val="00903E47"/>
    <w:rsid w:val="009040F9"/>
    <w:rsid w:val="0090413A"/>
    <w:rsid w:val="0090432C"/>
    <w:rsid w:val="00904441"/>
    <w:rsid w:val="00904526"/>
    <w:rsid w:val="00904A5D"/>
    <w:rsid w:val="00904BF6"/>
    <w:rsid w:val="00904CAA"/>
    <w:rsid w:val="00904E17"/>
    <w:rsid w:val="00905106"/>
    <w:rsid w:val="009051BE"/>
    <w:rsid w:val="009051FE"/>
    <w:rsid w:val="00905C33"/>
    <w:rsid w:val="00905C97"/>
    <w:rsid w:val="00905D66"/>
    <w:rsid w:val="00905DE5"/>
    <w:rsid w:val="00905EEF"/>
    <w:rsid w:val="00905F9C"/>
    <w:rsid w:val="00905FA2"/>
    <w:rsid w:val="00906007"/>
    <w:rsid w:val="0090627A"/>
    <w:rsid w:val="00906357"/>
    <w:rsid w:val="00906464"/>
    <w:rsid w:val="0090655C"/>
    <w:rsid w:val="009065A3"/>
    <w:rsid w:val="00906719"/>
    <w:rsid w:val="009067AF"/>
    <w:rsid w:val="009068C5"/>
    <w:rsid w:val="009068CF"/>
    <w:rsid w:val="0090697C"/>
    <w:rsid w:val="009069C3"/>
    <w:rsid w:val="00906B3A"/>
    <w:rsid w:val="00906E96"/>
    <w:rsid w:val="00906EB8"/>
    <w:rsid w:val="00907046"/>
    <w:rsid w:val="00907154"/>
    <w:rsid w:val="0090716E"/>
    <w:rsid w:val="009071DD"/>
    <w:rsid w:val="00907230"/>
    <w:rsid w:val="00907496"/>
    <w:rsid w:val="009074A4"/>
    <w:rsid w:val="009074ED"/>
    <w:rsid w:val="0090774B"/>
    <w:rsid w:val="009077D3"/>
    <w:rsid w:val="0090786A"/>
    <w:rsid w:val="00907A33"/>
    <w:rsid w:val="00907B89"/>
    <w:rsid w:val="00907EA2"/>
    <w:rsid w:val="009100BE"/>
    <w:rsid w:val="009100E6"/>
    <w:rsid w:val="0091010D"/>
    <w:rsid w:val="00910129"/>
    <w:rsid w:val="009101F1"/>
    <w:rsid w:val="00910283"/>
    <w:rsid w:val="0091039D"/>
    <w:rsid w:val="00910511"/>
    <w:rsid w:val="0091059F"/>
    <w:rsid w:val="009107E2"/>
    <w:rsid w:val="009109C4"/>
    <w:rsid w:val="00910A85"/>
    <w:rsid w:val="009111F7"/>
    <w:rsid w:val="0091165B"/>
    <w:rsid w:val="00911665"/>
    <w:rsid w:val="009117AB"/>
    <w:rsid w:val="009117E5"/>
    <w:rsid w:val="0091180B"/>
    <w:rsid w:val="00911A8D"/>
    <w:rsid w:val="00911ADD"/>
    <w:rsid w:val="00911B51"/>
    <w:rsid w:val="00911B5B"/>
    <w:rsid w:val="00911D84"/>
    <w:rsid w:val="00911E3A"/>
    <w:rsid w:val="00911FB6"/>
    <w:rsid w:val="0091203D"/>
    <w:rsid w:val="00912058"/>
    <w:rsid w:val="009121BF"/>
    <w:rsid w:val="0091225F"/>
    <w:rsid w:val="00912566"/>
    <w:rsid w:val="009125CE"/>
    <w:rsid w:val="0091266D"/>
    <w:rsid w:val="00912843"/>
    <w:rsid w:val="0091284B"/>
    <w:rsid w:val="0091287C"/>
    <w:rsid w:val="00912C5C"/>
    <w:rsid w:val="00912D86"/>
    <w:rsid w:val="00912DA2"/>
    <w:rsid w:val="00912E35"/>
    <w:rsid w:val="00912ED8"/>
    <w:rsid w:val="00912FA0"/>
    <w:rsid w:val="00913044"/>
    <w:rsid w:val="00913087"/>
    <w:rsid w:val="009130C3"/>
    <w:rsid w:val="00913100"/>
    <w:rsid w:val="009132D2"/>
    <w:rsid w:val="0091334D"/>
    <w:rsid w:val="00913422"/>
    <w:rsid w:val="009135A9"/>
    <w:rsid w:val="009135F8"/>
    <w:rsid w:val="009136E7"/>
    <w:rsid w:val="00913718"/>
    <w:rsid w:val="0091382D"/>
    <w:rsid w:val="00913897"/>
    <w:rsid w:val="009138DF"/>
    <w:rsid w:val="00913999"/>
    <w:rsid w:val="00913A87"/>
    <w:rsid w:val="00913AE6"/>
    <w:rsid w:val="00913AFD"/>
    <w:rsid w:val="00913B31"/>
    <w:rsid w:val="00913ECD"/>
    <w:rsid w:val="00913FCC"/>
    <w:rsid w:val="009142DC"/>
    <w:rsid w:val="0091432E"/>
    <w:rsid w:val="0091437B"/>
    <w:rsid w:val="009145B0"/>
    <w:rsid w:val="009145F3"/>
    <w:rsid w:val="00914700"/>
    <w:rsid w:val="009148D1"/>
    <w:rsid w:val="00914E11"/>
    <w:rsid w:val="00914E1B"/>
    <w:rsid w:val="00914EEB"/>
    <w:rsid w:val="00914F1A"/>
    <w:rsid w:val="00914F40"/>
    <w:rsid w:val="00914F80"/>
    <w:rsid w:val="00914F86"/>
    <w:rsid w:val="00914FBA"/>
    <w:rsid w:val="0091526A"/>
    <w:rsid w:val="00915331"/>
    <w:rsid w:val="00915464"/>
    <w:rsid w:val="009154F9"/>
    <w:rsid w:val="009155FE"/>
    <w:rsid w:val="00915710"/>
    <w:rsid w:val="00915890"/>
    <w:rsid w:val="00915D11"/>
    <w:rsid w:val="00915D21"/>
    <w:rsid w:val="00915E9A"/>
    <w:rsid w:val="0091601D"/>
    <w:rsid w:val="00916062"/>
    <w:rsid w:val="009162F5"/>
    <w:rsid w:val="00916394"/>
    <w:rsid w:val="00916528"/>
    <w:rsid w:val="009166A6"/>
    <w:rsid w:val="009166C5"/>
    <w:rsid w:val="00916936"/>
    <w:rsid w:val="00916F43"/>
    <w:rsid w:val="00916F9D"/>
    <w:rsid w:val="00916FE7"/>
    <w:rsid w:val="0091703B"/>
    <w:rsid w:val="0091706B"/>
    <w:rsid w:val="00917217"/>
    <w:rsid w:val="00917280"/>
    <w:rsid w:val="0091737B"/>
    <w:rsid w:val="0091753F"/>
    <w:rsid w:val="009178BA"/>
    <w:rsid w:val="009179AA"/>
    <w:rsid w:val="009179AD"/>
    <w:rsid w:val="009179AF"/>
    <w:rsid w:val="00917DA9"/>
    <w:rsid w:val="00917E30"/>
    <w:rsid w:val="0092007B"/>
    <w:rsid w:val="009201F4"/>
    <w:rsid w:val="00920286"/>
    <w:rsid w:val="009203BB"/>
    <w:rsid w:val="009205EC"/>
    <w:rsid w:val="0092073B"/>
    <w:rsid w:val="00920743"/>
    <w:rsid w:val="00920779"/>
    <w:rsid w:val="009209BB"/>
    <w:rsid w:val="00920B58"/>
    <w:rsid w:val="00920CD2"/>
    <w:rsid w:val="009210F2"/>
    <w:rsid w:val="009216C9"/>
    <w:rsid w:val="00921835"/>
    <w:rsid w:val="009218DB"/>
    <w:rsid w:val="00921A23"/>
    <w:rsid w:val="00921B02"/>
    <w:rsid w:val="00921FD2"/>
    <w:rsid w:val="0092200B"/>
    <w:rsid w:val="0092210B"/>
    <w:rsid w:val="009221A1"/>
    <w:rsid w:val="009224BE"/>
    <w:rsid w:val="009224ED"/>
    <w:rsid w:val="00922597"/>
    <w:rsid w:val="0092266E"/>
    <w:rsid w:val="0092269A"/>
    <w:rsid w:val="009229E8"/>
    <w:rsid w:val="00922A22"/>
    <w:rsid w:val="00922DB9"/>
    <w:rsid w:val="00922DD7"/>
    <w:rsid w:val="00922E93"/>
    <w:rsid w:val="00922EAE"/>
    <w:rsid w:val="00922EC6"/>
    <w:rsid w:val="00923368"/>
    <w:rsid w:val="00923540"/>
    <w:rsid w:val="0092380F"/>
    <w:rsid w:val="00923966"/>
    <w:rsid w:val="00923990"/>
    <w:rsid w:val="009239F4"/>
    <w:rsid w:val="00923C57"/>
    <w:rsid w:val="00924109"/>
    <w:rsid w:val="0092414C"/>
    <w:rsid w:val="00924216"/>
    <w:rsid w:val="009243EA"/>
    <w:rsid w:val="00924688"/>
    <w:rsid w:val="009248E2"/>
    <w:rsid w:val="0092497A"/>
    <w:rsid w:val="00924B60"/>
    <w:rsid w:val="00924D2A"/>
    <w:rsid w:val="00924EA2"/>
    <w:rsid w:val="00925017"/>
    <w:rsid w:val="0092504C"/>
    <w:rsid w:val="00925163"/>
    <w:rsid w:val="0092556B"/>
    <w:rsid w:val="00925682"/>
    <w:rsid w:val="0092586F"/>
    <w:rsid w:val="00925914"/>
    <w:rsid w:val="009259B2"/>
    <w:rsid w:val="00925B7B"/>
    <w:rsid w:val="00925CB0"/>
    <w:rsid w:val="00925D7A"/>
    <w:rsid w:val="00925E57"/>
    <w:rsid w:val="00925E6D"/>
    <w:rsid w:val="00925F67"/>
    <w:rsid w:val="00925F70"/>
    <w:rsid w:val="00925FC6"/>
    <w:rsid w:val="009260B6"/>
    <w:rsid w:val="009262DF"/>
    <w:rsid w:val="0092641B"/>
    <w:rsid w:val="009265C5"/>
    <w:rsid w:val="00926B36"/>
    <w:rsid w:val="00926B7F"/>
    <w:rsid w:val="00926CE5"/>
    <w:rsid w:val="00926D0C"/>
    <w:rsid w:val="00926DF1"/>
    <w:rsid w:val="00926DFB"/>
    <w:rsid w:val="009272B9"/>
    <w:rsid w:val="0092730D"/>
    <w:rsid w:val="0092731B"/>
    <w:rsid w:val="0092748E"/>
    <w:rsid w:val="009274E6"/>
    <w:rsid w:val="009278C6"/>
    <w:rsid w:val="009279B6"/>
    <w:rsid w:val="009279CD"/>
    <w:rsid w:val="00927B29"/>
    <w:rsid w:val="00927B65"/>
    <w:rsid w:val="00927CD6"/>
    <w:rsid w:val="00927D83"/>
    <w:rsid w:val="00927E1F"/>
    <w:rsid w:val="0093002A"/>
    <w:rsid w:val="0093007B"/>
    <w:rsid w:val="009301A2"/>
    <w:rsid w:val="0093037B"/>
    <w:rsid w:val="0093076C"/>
    <w:rsid w:val="00930A3A"/>
    <w:rsid w:val="00930C7B"/>
    <w:rsid w:val="00930D76"/>
    <w:rsid w:val="00930E81"/>
    <w:rsid w:val="00930F83"/>
    <w:rsid w:val="00930FE3"/>
    <w:rsid w:val="009311D5"/>
    <w:rsid w:val="0093127A"/>
    <w:rsid w:val="00931647"/>
    <w:rsid w:val="00931671"/>
    <w:rsid w:val="009319C1"/>
    <w:rsid w:val="00931B06"/>
    <w:rsid w:val="00931C87"/>
    <w:rsid w:val="0093204E"/>
    <w:rsid w:val="009320A1"/>
    <w:rsid w:val="009320E1"/>
    <w:rsid w:val="0093216A"/>
    <w:rsid w:val="009322AF"/>
    <w:rsid w:val="00932361"/>
    <w:rsid w:val="00932456"/>
    <w:rsid w:val="009324B1"/>
    <w:rsid w:val="0093270A"/>
    <w:rsid w:val="00932A4A"/>
    <w:rsid w:val="00932CC2"/>
    <w:rsid w:val="00932DCA"/>
    <w:rsid w:val="00932F56"/>
    <w:rsid w:val="0093324D"/>
    <w:rsid w:val="00933288"/>
    <w:rsid w:val="0093341E"/>
    <w:rsid w:val="0093347E"/>
    <w:rsid w:val="00933481"/>
    <w:rsid w:val="00933489"/>
    <w:rsid w:val="009335DC"/>
    <w:rsid w:val="0093363B"/>
    <w:rsid w:val="009336C7"/>
    <w:rsid w:val="009337B2"/>
    <w:rsid w:val="00933860"/>
    <w:rsid w:val="00933EA2"/>
    <w:rsid w:val="00933EED"/>
    <w:rsid w:val="009342D5"/>
    <w:rsid w:val="009344E7"/>
    <w:rsid w:val="0093460D"/>
    <w:rsid w:val="00934679"/>
    <w:rsid w:val="009346D2"/>
    <w:rsid w:val="00934837"/>
    <w:rsid w:val="009349C8"/>
    <w:rsid w:val="00934B6B"/>
    <w:rsid w:val="00934C95"/>
    <w:rsid w:val="009350E2"/>
    <w:rsid w:val="00935160"/>
    <w:rsid w:val="009351B4"/>
    <w:rsid w:val="009353C9"/>
    <w:rsid w:val="009354AB"/>
    <w:rsid w:val="00935525"/>
    <w:rsid w:val="009358D0"/>
    <w:rsid w:val="00935B1D"/>
    <w:rsid w:val="00935C6D"/>
    <w:rsid w:val="00936000"/>
    <w:rsid w:val="0093622A"/>
    <w:rsid w:val="0093633C"/>
    <w:rsid w:val="00936392"/>
    <w:rsid w:val="0093663A"/>
    <w:rsid w:val="00936640"/>
    <w:rsid w:val="00936A72"/>
    <w:rsid w:val="00936BAC"/>
    <w:rsid w:val="00936C9A"/>
    <w:rsid w:val="00936E60"/>
    <w:rsid w:val="009370E3"/>
    <w:rsid w:val="009372A1"/>
    <w:rsid w:val="0093777C"/>
    <w:rsid w:val="009377A9"/>
    <w:rsid w:val="00937897"/>
    <w:rsid w:val="0093BE99"/>
    <w:rsid w:val="0093EE0D"/>
    <w:rsid w:val="00940041"/>
    <w:rsid w:val="00940129"/>
    <w:rsid w:val="00940231"/>
    <w:rsid w:val="0094024B"/>
    <w:rsid w:val="0094028D"/>
    <w:rsid w:val="009402BA"/>
    <w:rsid w:val="009402F4"/>
    <w:rsid w:val="0094043D"/>
    <w:rsid w:val="009404B4"/>
    <w:rsid w:val="00940527"/>
    <w:rsid w:val="009405B0"/>
    <w:rsid w:val="009407F3"/>
    <w:rsid w:val="009409F1"/>
    <w:rsid w:val="00940D51"/>
    <w:rsid w:val="00941087"/>
    <w:rsid w:val="00941174"/>
    <w:rsid w:val="00941263"/>
    <w:rsid w:val="0094136A"/>
    <w:rsid w:val="00941538"/>
    <w:rsid w:val="00941CF3"/>
    <w:rsid w:val="009420C1"/>
    <w:rsid w:val="009425F3"/>
    <w:rsid w:val="009427B5"/>
    <w:rsid w:val="0094292E"/>
    <w:rsid w:val="00942B74"/>
    <w:rsid w:val="00942BD3"/>
    <w:rsid w:val="00942C06"/>
    <w:rsid w:val="00942D9D"/>
    <w:rsid w:val="00942DE7"/>
    <w:rsid w:val="00942E48"/>
    <w:rsid w:val="00942E9E"/>
    <w:rsid w:val="00942EE5"/>
    <w:rsid w:val="00942F71"/>
    <w:rsid w:val="00942F7B"/>
    <w:rsid w:val="0094310D"/>
    <w:rsid w:val="00943347"/>
    <w:rsid w:val="009436C2"/>
    <w:rsid w:val="00943802"/>
    <w:rsid w:val="00943856"/>
    <w:rsid w:val="00943ACB"/>
    <w:rsid w:val="00943AD2"/>
    <w:rsid w:val="00943C6D"/>
    <w:rsid w:val="00943DA7"/>
    <w:rsid w:val="00943F8A"/>
    <w:rsid w:val="00944049"/>
    <w:rsid w:val="00944068"/>
    <w:rsid w:val="00944228"/>
    <w:rsid w:val="0094430E"/>
    <w:rsid w:val="00944597"/>
    <w:rsid w:val="009445E3"/>
    <w:rsid w:val="00944607"/>
    <w:rsid w:val="0094464A"/>
    <w:rsid w:val="009446C6"/>
    <w:rsid w:val="009446C9"/>
    <w:rsid w:val="009446DA"/>
    <w:rsid w:val="0094491C"/>
    <w:rsid w:val="009449F3"/>
    <w:rsid w:val="00944AEF"/>
    <w:rsid w:val="00944B2B"/>
    <w:rsid w:val="00944B2C"/>
    <w:rsid w:val="00944D87"/>
    <w:rsid w:val="009453BC"/>
    <w:rsid w:val="009453E8"/>
    <w:rsid w:val="009453FA"/>
    <w:rsid w:val="009454D2"/>
    <w:rsid w:val="009455A8"/>
    <w:rsid w:val="009456E5"/>
    <w:rsid w:val="0094576C"/>
    <w:rsid w:val="00945A10"/>
    <w:rsid w:val="00945A3C"/>
    <w:rsid w:val="00945AF8"/>
    <w:rsid w:val="00945B0D"/>
    <w:rsid w:val="00945D0A"/>
    <w:rsid w:val="00945D82"/>
    <w:rsid w:val="00945E47"/>
    <w:rsid w:val="00945EA5"/>
    <w:rsid w:val="00945EBD"/>
    <w:rsid w:val="00945F21"/>
    <w:rsid w:val="00945FC6"/>
    <w:rsid w:val="00946191"/>
    <w:rsid w:val="00946643"/>
    <w:rsid w:val="0094667C"/>
    <w:rsid w:val="00946681"/>
    <w:rsid w:val="00946808"/>
    <w:rsid w:val="00946990"/>
    <w:rsid w:val="00946A0C"/>
    <w:rsid w:val="00946A46"/>
    <w:rsid w:val="00946B2A"/>
    <w:rsid w:val="00946F52"/>
    <w:rsid w:val="00946FCE"/>
    <w:rsid w:val="0094700D"/>
    <w:rsid w:val="009470E1"/>
    <w:rsid w:val="00947123"/>
    <w:rsid w:val="009472AC"/>
    <w:rsid w:val="00947412"/>
    <w:rsid w:val="00947452"/>
    <w:rsid w:val="0094754E"/>
    <w:rsid w:val="0094775A"/>
    <w:rsid w:val="00947BA5"/>
    <w:rsid w:val="00947EF0"/>
    <w:rsid w:val="00947FBC"/>
    <w:rsid w:val="0094D518"/>
    <w:rsid w:val="00950239"/>
    <w:rsid w:val="009505B4"/>
    <w:rsid w:val="009506BF"/>
    <w:rsid w:val="0095072F"/>
    <w:rsid w:val="00950927"/>
    <w:rsid w:val="00950D3B"/>
    <w:rsid w:val="00950F05"/>
    <w:rsid w:val="00950F39"/>
    <w:rsid w:val="00950F76"/>
    <w:rsid w:val="00950FC8"/>
    <w:rsid w:val="00951106"/>
    <w:rsid w:val="00951121"/>
    <w:rsid w:val="0095117D"/>
    <w:rsid w:val="009511C8"/>
    <w:rsid w:val="0095143C"/>
    <w:rsid w:val="009514BF"/>
    <w:rsid w:val="00951554"/>
    <w:rsid w:val="0095167C"/>
    <w:rsid w:val="00951706"/>
    <w:rsid w:val="00951758"/>
    <w:rsid w:val="009518EC"/>
    <w:rsid w:val="00951A07"/>
    <w:rsid w:val="00951B12"/>
    <w:rsid w:val="00951E4F"/>
    <w:rsid w:val="009520D7"/>
    <w:rsid w:val="0095234B"/>
    <w:rsid w:val="00952741"/>
    <w:rsid w:val="009527B4"/>
    <w:rsid w:val="00952C58"/>
    <w:rsid w:val="00952D74"/>
    <w:rsid w:val="00952FFB"/>
    <w:rsid w:val="009534D1"/>
    <w:rsid w:val="00953593"/>
    <w:rsid w:val="009538BC"/>
    <w:rsid w:val="009539E1"/>
    <w:rsid w:val="00953A61"/>
    <w:rsid w:val="00953B2E"/>
    <w:rsid w:val="00953E62"/>
    <w:rsid w:val="00953F15"/>
    <w:rsid w:val="0095414C"/>
    <w:rsid w:val="009543F7"/>
    <w:rsid w:val="00954731"/>
    <w:rsid w:val="00954945"/>
    <w:rsid w:val="009549CD"/>
    <w:rsid w:val="00954A50"/>
    <w:rsid w:val="00954C7B"/>
    <w:rsid w:val="00954D17"/>
    <w:rsid w:val="00954D74"/>
    <w:rsid w:val="00954DBC"/>
    <w:rsid w:val="00954EA8"/>
    <w:rsid w:val="00955146"/>
    <w:rsid w:val="009551EF"/>
    <w:rsid w:val="00955734"/>
    <w:rsid w:val="009557B6"/>
    <w:rsid w:val="009557D4"/>
    <w:rsid w:val="009557E5"/>
    <w:rsid w:val="00955B1B"/>
    <w:rsid w:val="00955B48"/>
    <w:rsid w:val="00955C78"/>
    <w:rsid w:val="00955CE7"/>
    <w:rsid w:val="00955E46"/>
    <w:rsid w:val="00955F44"/>
    <w:rsid w:val="009561D3"/>
    <w:rsid w:val="0095630C"/>
    <w:rsid w:val="009563CA"/>
    <w:rsid w:val="009566AC"/>
    <w:rsid w:val="00956764"/>
    <w:rsid w:val="00956863"/>
    <w:rsid w:val="009568F3"/>
    <w:rsid w:val="00956934"/>
    <w:rsid w:val="00956B45"/>
    <w:rsid w:val="00956CA5"/>
    <w:rsid w:val="00956EA7"/>
    <w:rsid w:val="00957006"/>
    <w:rsid w:val="009570CA"/>
    <w:rsid w:val="009570F3"/>
    <w:rsid w:val="0095756E"/>
    <w:rsid w:val="00957934"/>
    <w:rsid w:val="00957A1B"/>
    <w:rsid w:val="00957E21"/>
    <w:rsid w:val="00957E8E"/>
    <w:rsid w:val="00957EC1"/>
    <w:rsid w:val="00957F89"/>
    <w:rsid w:val="00960A19"/>
    <w:rsid w:val="00960AA3"/>
    <w:rsid w:val="00960AF6"/>
    <w:rsid w:val="00960BF6"/>
    <w:rsid w:val="00960CAE"/>
    <w:rsid w:val="00960D09"/>
    <w:rsid w:val="00960DED"/>
    <w:rsid w:val="00960EB1"/>
    <w:rsid w:val="00960F4A"/>
    <w:rsid w:val="00960FC9"/>
    <w:rsid w:val="00961014"/>
    <w:rsid w:val="0096118D"/>
    <w:rsid w:val="00961344"/>
    <w:rsid w:val="0096137E"/>
    <w:rsid w:val="009613B8"/>
    <w:rsid w:val="00961430"/>
    <w:rsid w:val="009615FD"/>
    <w:rsid w:val="0096170D"/>
    <w:rsid w:val="009617CB"/>
    <w:rsid w:val="009617EE"/>
    <w:rsid w:val="009619F5"/>
    <w:rsid w:val="00961B16"/>
    <w:rsid w:val="00961B43"/>
    <w:rsid w:val="00961BF5"/>
    <w:rsid w:val="00961E78"/>
    <w:rsid w:val="009623FC"/>
    <w:rsid w:val="009624ED"/>
    <w:rsid w:val="0096251C"/>
    <w:rsid w:val="00962809"/>
    <w:rsid w:val="00962C60"/>
    <w:rsid w:val="00963046"/>
    <w:rsid w:val="009630B0"/>
    <w:rsid w:val="00963190"/>
    <w:rsid w:val="009631BC"/>
    <w:rsid w:val="009631F5"/>
    <w:rsid w:val="009632D7"/>
    <w:rsid w:val="00963488"/>
    <w:rsid w:val="00963584"/>
    <w:rsid w:val="00963736"/>
    <w:rsid w:val="00963790"/>
    <w:rsid w:val="009638BB"/>
    <w:rsid w:val="00963B93"/>
    <w:rsid w:val="00963D4A"/>
    <w:rsid w:val="0096408B"/>
    <w:rsid w:val="00964292"/>
    <w:rsid w:val="00964512"/>
    <w:rsid w:val="00964517"/>
    <w:rsid w:val="00964946"/>
    <w:rsid w:val="009649BF"/>
    <w:rsid w:val="009649F1"/>
    <w:rsid w:val="00964ACB"/>
    <w:rsid w:val="00964B23"/>
    <w:rsid w:val="00964D35"/>
    <w:rsid w:val="00964EFC"/>
    <w:rsid w:val="00965017"/>
    <w:rsid w:val="0096532E"/>
    <w:rsid w:val="00965373"/>
    <w:rsid w:val="00965451"/>
    <w:rsid w:val="009655FF"/>
    <w:rsid w:val="00965664"/>
    <w:rsid w:val="00965AA2"/>
    <w:rsid w:val="00965B70"/>
    <w:rsid w:val="00965C9B"/>
    <w:rsid w:val="009661A1"/>
    <w:rsid w:val="009663C3"/>
    <w:rsid w:val="009663FD"/>
    <w:rsid w:val="00966567"/>
    <w:rsid w:val="009666A3"/>
    <w:rsid w:val="00966713"/>
    <w:rsid w:val="00966749"/>
    <w:rsid w:val="00966790"/>
    <w:rsid w:val="00966847"/>
    <w:rsid w:val="00966A55"/>
    <w:rsid w:val="00966AA8"/>
    <w:rsid w:val="00966F16"/>
    <w:rsid w:val="009672F4"/>
    <w:rsid w:val="0096738D"/>
    <w:rsid w:val="0096747D"/>
    <w:rsid w:val="00967528"/>
    <w:rsid w:val="0096757D"/>
    <w:rsid w:val="00967623"/>
    <w:rsid w:val="00967626"/>
    <w:rsid w:val="0096768C"/>
    <w:rsid w:val="009676AE"/>
    <w:rsid w:val="009676DD"/>
    <w:rsid w:val="00967876"/>
    <w:rsid w:val="009679D8"/>
    <w:rsid w:val="00967A37"/>
    <w:rsid w:val="00967E1B"/>
    <w:rsid w:val="00967E9F"/>
    <w:rsid w:val="0097013E"/>
    <w:rsid w:val="00970437"/>
    <w:rsid w:val="009704F2"/>
    <w:rsid w:val="00970774"/>
    <w:rsid w:val="00970C41"/>
    <w:rsid w:val="00970E16"/>
    <w:rsid w:val="00970E6B"/>
    <w:rsid w:val="00970F55"/>
    <w:rsid w:val="009710B3"/>
    <w:rsid w:val="00971154"/>
    <w:rsid w:val="009711D6"/>
    <w:rsid w:val="00971311"/>
    <w:rsid w:val="00971603"/>
    <w:rsid w:val="009716A2"/>
    <w:rsid w:val="009718AE"/>
    <w:rsid w:val="009718F9"/>
    <w:rsid w:val="00971901"/>
    <w:rsid w:val="00971C8B"/>
    <w:rsid w:val="00971DE6"/>
    <w:rsid w:val="00971DE8"/>
    <w:rsid w:val="00971E55"/>
    <w:rsid w:val="00972155"/>
    <w:rsid w:val="00972601"/>
    <w:rsid w:val="009727B5"/>
    <w:rsid w:val="009728FB"/>
    <w:rsid w:val="00972C3F"/>
    <w:rsid w:val="00972C69"/>
    <w:rsid w:val="00972CB1"/>
    <w:rsid w:val="00972E31"/>
    <w:rsid w:val="00972E66"/>
    <w:rsid w:val="00972E76"/>
    <w:rsid w:val="00972F3E"/>
    <w:rsid w:val="009730C0"/>
    <w:rsid w:val="0097319E"/>
    <w:rsid w:val="0097332F"/>
    <w:rsid w:val="009734AA"/>
    <w:rsid w:val="009734F4"/>
    <w:rsid w:val="0097356D"/>
    <w:rsid w:val="009735BD"/>
    <w:rsid w:val="0097368F"/>
    <w:rsid w:val="0097370C"/>
    <w:rsid w:val="00973919"/>
    <w:rsid w:val="0097391C"/>
    <w:rsid w:val="00973A3A"/>
    <w:rsid w:val="00973C6F"/>
    <w:rsid w:val="00974004"/>
    <w:rsid w:val="0097412F"/>
    <w:rsid w:val="0097494C"/>
    <w:rsid w:val="00974971"/>
    <w:rsid w:val="00974B08"/>
    <w:rsid w:val="00974BB2"/>
    <w:rsid w:val="00974BB6"/>
    <w:rsid w:val="00974C26"/>
    <w:rsid w:val="00974E9A"/>
    <w:rsid w:val="00974F63"/>
    <w:rsid w:val="0097551B"/>
    <w:rsid w:val="009755D9"/>
    <w:rsid w:val="009756FF"/>
    <w:rsid w:val="00975769"/>
    <w:rsid w:val="009757A7"/>
    <w:rsid w:val="009757F2"/>
    <w:rsid w:val="009759E2"/>
    <w:rsid w:val="00975BB9"/>
    <w:rsid w:val="00975C01"/>
    <w:rsid w:val="00975C2F"/>
    <w:rsid w:val="00975CE4"/>
    <w:rsid w:val="00975D1D"/>
    <w:rsid w:val="00975E4D"/>
    <w:rsid w:val="009764C7"/>
    <w:rsid w:val="0097668C"/>
    <w:rsid w:val="009766B0"/>
    <w:rsid w:val="009768BC"/>
    <w:rsid w:val="00976923"/>
    <w:rsid w:val="00976AAD"/>
    <w:rsid w:val="00976B77"/>
    <w:rsid w:val="00976D34"/>
    <w:rsid w:val="00976FDC"/>
    <w:rsid w:val="00977194"/>
    <w:rsid w:val="0097719B"/>
    <w:rsid w:val="00977294"/>
    <w:rsid w:val="009772D8"/>
    <w:rsid w:val="00977316"/>
    <w:rsid w:val="00977340"/>
    <w:rsid w:val="00977430"/>
    <w:rsid w:val="009776AC"/>
    <w:rsid w:val="00977866"/>
    <w:rsid w:val="0097793F"/>
    <w:rsid w:val="00977965"/>
    <w:rsid w:val="00977A6F"/>
    <w:rsid w:val="00977ABF"/>
    <w:rsid w:val="00977CF4"/>
    <w:rsid w:val="00977CFA"/>
    <w:rsid w:val="00977D0E"/>
    <w:rsid w:val="00977E99"/>
    <w:rsid w:val="00977EE5"/>
    <w:rsid w:val="00977F0D"/>
    <w:rsid w:val="00980153"/>
    <w:rsid w:val="009801E4"/>
    <w:rsid w:val="0098049E"/>
    <w:rsid w:val="00980681"/>
    <w:rsid w:val="0098069F"/>
    <w:rsid w:val="00980738"/>
    <w:rsid w:val="009807AD"/>
    <w:rsid w:val="00980924"/>
    <w:rsid w:val="00980B31"/>
    <w:rsid w:val="00980D1A"/>
    <w:rsid w:val="00981082"/>
    <w:rsid w:val="0098117F"/>
    <w:rsid w:val="0098123D"/>
    <w:rsid w:val="00981415"/>
    <w:rsid w:val="0098146D"/>
    <w:rsid w:val="0098149A"/>
    <w:rsid w:val="00981507"/>
    <w:rsid w:val="00981577"/>
    <w:rsid w:val="009815DF"/>
    <w:rsid w:val="00981B8A"/>
    <w:rsid w:val="00981C25"/>
    <w:rsid w:val="00981D5E"/>
    <w:rsid w:val="00981D67"/>
    <w:rsid w:val="00981E60"/>
    <w:rsid w:val="00981E94"/>
    <w:rsid w:val="00981E9A"/>
    <w:rsid w:val="00981EB4"/>
    <w:rsid w:val="00981EF8"/>
    <w:rsid w:val="00981F01"/>
    <w:rsid w:val="009822A2"/>
    <w:rsid w:val="00982591"/>
    <w:rsid w:val="009825FD"/>
    <w:rsid w:val="0098267D"/>
    <w:rsid w:val="0098270D"/>
    <w:rsid w:val="009829BA"/>
    <w:rsid w:val="00982BC5"/>
    <w:rsid w:val="00982C0B"/>
    <w:rsid w:val="00982D10"/>
    <w:rsid w:val="00982EB1"/>
    <w:rsid w:val="00982F07"/>
    <w:rsid w:val="0098303B"/>
    <w:rsid w:val="009830F5"/>
    <w:rsid w:val="00983211"/>
    <w:rsid w:val="0098342B"/>
    <w:rsid w:val="00983442"/>
    <w:rsid w:val="0098347C"/>
    <w:rsid w:val="009834A0"/>
    <w:rsid w:val="009835AE"/>
    <w:rsid w:val="009837D3"/>
    <w:rsid w:val="00983921"/>
    <w:rsid w:val="009839DC"/>
    <w:rsid w:val="00983ADC"/>
    <w:rsid w:val="00983BC1"/>
    <w:rsid w:val="00983BFC"/>
    <w:rsid w:val="00983C87"/>
    <w:rsid w:val="00983FB5"/>
    <w:rsid w:val="009841E5"/>
    <w:rsid w:val="009844C4"/>
    <w:rsid w:val="009844CB"/>
    <w:rsid w:val="00984722"/>
    <w:rsid w:val="00984760"/>
    <w:rsid w:val="00984798"/>
    <w:rsid w:val="009847E6"/>
    <w:rsid w:val="0098485D"/>
    <w:rsid w:val="00984892"/>
    <w:rsid w:val="0098489A"/>
    <w:rsid w:val="009849FC"/>
    <w:rsid w:val="00984B55"/>
    <w:rsid w:val="00984C78"/>
    <w:rsid w:val="00984CB6"/>
    <w:rsid w:val="00984E70"/>
    <w:rsid w:val="00984F20"/>
    <w:rsid w:val="00984F51"/>
    <w:rsid w:val="00984F88"/>
    <w:rsid w:val="009850FD"/>
    <w:rsid w:val="00985254"/>
    <w:rsid w:val="0098595A"/>
    <w:rsid w:val="00985A01"/>
    <w:rsid w:val="00985C42"/>
    <w:rsid w:val="00985CD9"/>
    <w:rsid w:val="00986215"/>
    <w:rsid w:val="0098645A"/>
    <w:rsid w:val="0098650B"/>
    <w:rsid w:val="009869DD"/>
    <w:rsid w:val="00986AAD"/>
    <w:rsid w:val="00986E0B"/>
    <w:rsid w:val="00986EA3"/>
    <w:rsid w:val="00986F48"/>
    <w:rsid w:val="0098701C"/>
    <w:rsid w:val="009871EC"/>
    <w:rsid w:val="00987594"/>
    <w:rsid w:val="009876DB"/>
    <w:rsid w:val="00987899"/>
    <w:rsid w:val="00987BC3"/>
    <w:rsid w:val="00987FCA"/>
    <w:rsid w:val="00990184"/>
    <w:rsid w:val="00990903"/>
    <w:rsid w:val="00990A91"/>
    <w:rsid w:val="00990C86"/>
    <w:rsid w:val="00990CFC"/>
    <w:rsid w:val="00990E20"/>
    <w:rsid w:val="00990F1A"/>
    <w:rsid w:val="00991599"/>
    <w:rsid w:val="0099178F"/>
    <w:rsid w:val="00991884"/>
    <w:rsid w:val="00991D3A"/>
    <w:rsid w:val="00991FF6"/>
    <w:rsid w:val="00992187"/>
    <w:rsid w:val="0099248B"/>
    <w:rsid w:val="009925D0"/>
    <w:rsid w:val="0099278E"/>
    <w:rsid w:val="009927EC"/>
    <w:rsid w:val="00992896"/>
    <w:rsid w:val="00992920"/>
    <w:rsid w:val="00992A19"/>
    <w:rsid w:val="00992A74"/>
    <w:rsid w:val="00992C3C"/>
    <w:rsid w:val="00992F27"/>
    <w:rsid w:val="0099305D"/>
    <w:rsid w:val="009931D9"/>
    <w:rsid w:val="00993380"/>
    <w:rsid w:val="00993647"/>
    <w:rsid w:val="00993663"/>
    <w:rsid w:val="00993876"/>
    <w:rsid w:val="009938B2"/>
    <w:rsid w:val="0099396C"/>
    <w:rsid w:val="00993A78"/>
    <w:rsid w:val="00993B76"/>
    <w:rsid w:val="00993C89"/>
    <w:rsid w:val="00993CB9"/>
    <w:rsid w:val="00993CCE"/>
    <w:rsid w:val="00994028"/>
    <w:rsid w:val="009942A5"/>
    <w:rsid w:val="00994570"/>
    <w:rsid w:val="009947D3"/>
    <w:rsid w:val="009948A5"/>
    <w:rsid w:val="00994910"/>
    <w:rsid w:val="00994A59"/>
    <w:rsid w:val="00994A69"/>
    <w:rsid w:val="00994A9B"/>
    <w:rsid w:val="00994B7D"/>
    <w:rsid w:val="00994D26"/>
    <w:rsid w:val="00994E4D"/>
    <w:rsid w:val="00994E70"/>
    <w:rsid w:val="00994F0F"/>
    <w:rsid w:val="00994F7D"/>
    <w:rsid w:val="009952AD"/>
    <w:rsid w:val="00995574"/>
    <w:rsid w:val="009956B4"/>
    <w:rsid w:val="00995719"/>
    <w:rsid w:val="0099574A"/>
    <w:rsid w:val="00995822"/>
    <w:rsid w:val="00995975"/>
    <w:rsid w:val="00995D52"/>
    <w:rsid w:val="00995DEA"/>
    <w:rsid w:val="00995F32"/>
    <w:rsid w:val="00995FC5"/>
    <w:rsid w:val="00995FC9"/>
    <w:rsid w:val="00996019"/>
    <w:rsid w:val="009963FA"/>
    <w:rsid w:val="009964CE"/>
    <w:rsid w:val="009965A0"/>
    <w:rsid w:val="0099660E"/>
    <w:rsid w:val="009966E6"/>
    <w:rsid w:val="0099672E"/>
    <w:rsid w:val="009967D2"/>
    <w:rsid w:val="009968EB"/>
    <w:rsid w:val="00996926"/>
    <w:rsid w:val="009969EF"/>
    <w:rsid w:val="00996AD0"/>
    <w:rsid w:val="00996BAA"/>
    <w:rsid w:val="00996BD8"/>
    <w:rsid w:val="00996CB0"/>
    <w:rsid w:val="00996DF7"/>
    <w:rsid w:val="00996EE8"/>
    <w:rsid w:val="009970CA"/>
    <w:rsid w:val="0099719A"/>
    <w:rsid w:val="009971C2"/>
    <w:rsid w:val="0099749B"/>
    <w:rsid w:val="0099756F"/>
    <w:rsid w:val="00997653"/>
    <w:rsid w:val="00997697"/>
    <w:rsid w:val="00997771"/>
    <w:rsid w:val="009977E5"/>
    <w:rsid w:val="009979B8"/>
    <w:rsid w:val="00997AC2"/>
    <w:rsid w:val="00997CD6"/>
    <w:rsid w:val="0099C409"/>
    <w:rsid w:val="009A0019"/>
    <w:rsid w:val="009A005F"/>
    <w:rsid w:val="009A00E4"/>
    <w:rsid w:val="009A02BF"/>
    <w:rsid w:val="009A09A4"/>
    <w:rsid w:val="009A0B98"/>
    <w:rsid w:val="009A0ED5"/>
    <w:rsid w:val="009A0ED7"/>
    <w:rsid w:val="009A0F2A"/>
    <w:rsid w:val="009A0FE5"/>
    <w:rsid w:val="009A123D"/>
    <w:rsid w:val="009A1401"/>
    <w:rsid w:val="009A186D"/>
    <w:rsid w:val="009A18DF"/>
    <w:rsid w:val="009A1917"/>
    <w:rsid w:val="009A199A"/>
    <w:rsid w:val="009A19AC"/>
    <w:rsid w:val="009A1A5B"/>
    <w:rsid w:val="009A1AD4"/>
    <w:rsid w:val="009A1FE1"/>
    <w:rsid w:val="009A2020"/>
    <w:rsid w:val="009A2097"/>
    <w:rsid w:val="009A20C3"/>
    <w:rsid w:val="009A21D8"/>
    <w:rsid w:val="009A2228"/>
    <w:rsid w:val="009A222B"/>
    <w:rsid w:val="009A226B"/>
    <w:rsid w:val="009A2439"/>
    <w:rsid w:val="009A246E"/>
    <w:rsid w:val="009A25EA"/>
    <w:rsid w:val="009A2706"/>
    <w:rsid w:val="009A2B35"/>
    <w:rsid w:val="009A2C28"/>
    <w:rsid w:val="009A30B8"/>
    <w:rsid w:val="009A31CC"/>
    <w:rsid w:val="009A32BB"/>
    <w:rsid w:val="009A337D"/>
    <w:rsid w:val="009A3428"/>
    <w:rsid w:val="009A3577"/>
    <w:rsid w:val="009A39C8"/>
    <w:rsid w:val="009A3A0E"/>
    <w:rsid w:val="009A3ADB"/>
    <w:rsid w:val="009A3B2F"/>
    <w:rsid w:val="009A3BED"/>
    <w:rsid w:val="009A3E35"/>
    <w:rsid w:val="009A426D"/>
    <w:rsid w:val="009A42E9"/>
    <w:rsid w:val="009A4394"/>
    <w:rsid w:val="009A4450"/>
    <w:rsid w:val="009A4685"/>
    <w:rsid w:val="009A4AB0"/>
    <w:rsid w:val="009A4CC1"/>
    <w:rsid w:val="009A4F6A"/>
    <w:rsid w:val="009A4F72"/>
    <w:rsid w:val="009A505F"/>
    <w:rsid w:val="009A52F3"/>
    <w:rsid w:val="009A52F4"/>
    <w:rsid w:val="009A530E"/>
    <w:rsid w:val="009A543C"/>
    <w:rsid w:val="009A54AE"/>
    <w:rsid w:val="009A55D2"/>
    <w:rsid w:val="009A55F7"/>
    <w:rsid w:val="009A5666"/>
    <w:rsid w:val="009A5798"/>
    <w:rsid w:val="009A5AA1"/>
    <w:rsid w:val="009A5D48"/>
    <w:rsid w:val="009A5D67"/>
    <w:rsid w:val="009A6160"/>
    <w:rsid w:val="009A62F5"/>
    <w:rsid w:val="009A6764"/>
    <w:rsid w:val="009A6844"/>
    <w:rsid w:val="009A688E"/>
    <w:rsid w:val="009A6A22"/>
    <w:rsid w:val="009A6AFA"/>
    <w:rsid w:val="009A6B95"/>
    <w:rsid w:val="009A700B"/>
    <w:rsid w:val="009A70D0"/>
    <w:rsid w:val="009A7111"/>
    <w:rsid w:val="009A7317"/>
    <w:rsid w:val="009A740F"/>
    <w:rsid w:val="009A741C"/>
    <w:rsid w:val="009A7578"/>
    <w:rsid w:val="009A7649"/>
    <w:rsid w:val="009A7707"/>
    <w:rsid w:val="009A7762"/>
    <w:rsid w:val="009A77AC"/>
    <w:rsid w:val="009A7807"/>
    <w:rsid w:val="009A7826"/>
    <w:rsid w:val="009A790A"/>
    <w:rsid w:val="009A7A6C"/>
    <w:rsid w:val="009A7CA7"/>
    <w:rsid w:val="009A7CBA"/>
    <w:rsid w:val="009A7D06"/>
    <w:rsid w:val="009A7D6F"/>
    <w:rsid w:val="009A7E57"/>
    <w:rsid w:val="009A7EBA"/>
    <w:rsid w:val="009B0286"/>
    <w:rsid w:val="009B04A5"/>
    <w:rsid w:val="009B06A0"/>
    <w:rsid w:val="009B06DF"/>
    <w:rsid w:val="009B075A"/>
    <w:rsid w:val="009B0856"/>
    <w:rsid w:val="009B088B"/>
    <w:rsid w:val="009B0894"/>
    <w:rsid w:val="009B0A35"/>
    <w:rsid w:val="009B0B3B"/>
    <w:rsid w:val="009B0CEC"/>
    <w:rsid w:val="009B0EA7"/>
    <w:rsid w:val="009B0F57"/>
    <w:rsid w:val="009B147B"/>
    <w:rsid w:val="009B15E4"/>
    <w:rsid w:val="009B16D1"/>
    <w:rsid w:val="009B1774"/>
    <w:rsid w:val="009B1839"/>
    <w:rsid w:val="009B1F7E"/>
    <w:rsid w:val="009B1FB4"/>
    <w:rsid w:val="009B240B"/>
    <w:rsid w:val="009B2426"/>
    <w:rsid w:val="009B24AB"/>
    <w:rsid w:val="009B24F4"/>
    <w:rsid w:val="009B28AA"/>
    <w:rsid w:val="009B2973"/>
    <w:rsid w:val="009B2A8A"/>
    <w:rsid w:val="009B2AFE"/>
    <w:rsid w:val="009B2B65"/>
    <w:rsid w:val="009B2EF1"/>
    <w:rsid w:val="009B3084"/>
    <w:rsid w:val="009B3099"/>
    <w:rsid w:val="009B32CF"/>
    <w:rsid w:val="009B3370"/>
    <w:rsid w:val="009B35A6"/>
    <w:rsid w:val="009B36A2"/>
    <w:rsid w:val="009B3B2A"/>
    <w:rsid w:val="009B3BC6"/>
    <w:rsid w:val="009B3E25"/>
    <w:rsid w:val="009B40CD"/>
    <w:rsid w:val="009B45D1"/>
    <w:rsid w:val="009B46D2"/>
    <w:rsid w:val="009B487E"/>
    <w:rsid w:val="009B4A9A"/>
    <w:rsid w:val="009B4BAD"/>
    <w:rsid w:val="009B4BBC"/>
    <w:rsid w:val="009B4CAF"/>
    <w:rsid w:val="009B4D6F"/>
    <w:rsid w:val="009B4D78"/>
    <w:rsid w:val="009B4E34"/>
    <w:rsid w:val="009B4FB6"/>
    <w:rsid w:val="009B5022"/>
    <w:rsid w:val="009B50EA"/>
    <w:rsid w:val="009B52BA"/>
    <w:rsid w:val="009B55A1"/>
    <w:rsid w:val="009B56B4"/>
    <w:rsid w:val="009B58B6"/>
    <w:rsid w:val="009B593C"/>
    <w:rsid w:val="009B5C27"/>
    <w:rsid w:val="009B5E6D"/>
    <w:rsid w:val="009B5FE8"/>
    <w:rsid w:val="009B6022"/>
    <w:rsid w:val="009B6056"/>
    <w:rsid w:val="009B6351"/>
    <w:rsid w:val="009B667F"/>
    <w:rsid w:val="009B66E4"/>
    <w:rsid w:val="009B67D6"/>
    <w:rsid w:val="009B697A"/>
    <w:rsid w:val="009B6C55"/>
    <w:rsid w:val="009B6D88"/>
    <w:rsid w:val="009B6E42"/>
    <w:rsid w:val="009B70DD"/>
    <w:rsid w:val="009B71BE"/>
    <w:rsid w:val="009B73EF"/>
    <w:rsid w:val="009B7437"/>
    <w:rsid w:val="009B7649"/>
    <w:rsid w:val="009B7699"/>
    <w:rsid w:val="009B77F1"/>
    <w:rsid w:val="009B784C"/>
    <w:rsid w:val="009B7923"/>
    <w:rsid w:val="009B7D35"/>
    <w:rsid w:val="009B7D79"/>
    <w:rsid w:val="009B7E97"/>
    <w:rsid w:val="009B7EEF"/>
    <w:rsid w:val="009B7FBD"/>
    <w:rsid w:val="009C005C"/>
    <w:rsid w:val="009C0281"/>
    <w:rsid w:val="009C028A"/>
    <w:rsid w:val="009C0356"/>
    <w:rsid w:val="009C0446"/>
    <w:rsid w:val="009C060E"/>
    <w:rsid w:val="009C0706"/>
    <w:rsid w:val="009C0866"/>
    <w:rsid w:val="009C090A"/>
    <w:rsid w:val="009C091D"/>
    <w:rsid w:val="009C0A0D"/>
    <w:rsid w:val="009C0A85"/>
    <w:rsid w:val="009C0A8C"/>
    <w:rsid w:val="009C0B46"/>
    <w:rsid w:val="009C0FB1"/>
    <w:rsid w:val="009C0FB9"/>
    <w:rsid w:val="009C10B7"/>
    <w:rsid w:val="009C116E"/>
    <w:rsid w:val="009C13F5"/>
    <w:rsid w:val="009C1404"/>
    <w:rsid w:val="009C1603"/>
    <w:rsid w:val="009C1808"/>
    <w:rsid w:val="009C18C6"/>
    <w:rsid w:val="009C1A56"/>
    <w:rsid w:val="009C1A97"/>
    <w:rsid w:val="009C1C7A"/>
    <w:rsid w:val="009C1D49"/>
    <w:rsid w:val="009C1E78"/>
    <w:rsid w:val="009C20B4"/>
    <w:rsid w:val="009C20BA"/>
    <w:rsid w:val="009C2103"/>
    <w:rsid w:val="009C23A9"/>
    <w:rsid w:val="009C2411"/>
    <w:rsid w:val="009C2476"/>
    <w:rsid w:val="009C25F7"/>
    <w:rsid w:val="009C26CF"/>
    <w:rsid w:val="009C2A2F"/>
    <w:rsid w:val="009C2AF7"/>
    <w:rsid w:val="009C2B92"/>
    <w:rsid w:val="009C2DE0"/>
    <w:rsid w:val="009C2DF3"/>
    <w:rsid w:val="009C2FBF"/>
    <w:rsid w:val="009C3279"/>
    <w:rsid w:val="009C32BD"/>
    <w:rsid w:val="009C32DA"/>
    <w:rsid w:val="009C3387"/>
    <w:rsid w:val="009C35B8"/>
    <w:rsid w:val="009C37FE"/>
    <w:rsid w:val="009C393B"/>
    <w:rsid w:val="009C3DB6"/>
    <w:rsid w:val="009C3DF9"/>
    <w:rsid w:val="009C3E79"/>
    <w:rsid w:val="009C4046"/>
    <w:rsid w:val="009C41AB"/>
    <w:rsid w:val="009C42F1"/>
    <w:rsid w:val="009C4310"/>
    <w:rsid w:val="009C43B3"/>
    <w:rsid w:val="009C455A"/>
    <w:rsid w:val="009C4728"/>
    <w:rsid w:val="009C49A9"/>
    <w:rsid w:val="009C4A74"/>
    <w:rsid w:val="009C4EFD"/>
    <w:rsid w:val="009C50CF"/>
    <w:rsid w:val="009C55C0"/>
    <w:rsid w:val="009C57AA"/>
    <w:rsid w:val="009C5A3A"/>
    <w:rsid w:val="009C5B23"/>
    <w:rsid w:val="009C5F6D"/>
    <w:rsid w:val="009C612A"/>
    <w:rsid w:val="009C6209"/>
    <w:rsid w:val="009C6219"/>
    <w:rsid w:val="009C645E"/>
    <w:rsid w:val="009C6605"/>
    <w:rsid w:val="009C67BD"/>
    <w:rsid w:val="009C6955"/>
    <w:rsid w:val="009C6AEC"/>
    <w:rsid w:val="009C6B1A"/>
    <w:rsid w:val="009C6B2A"/>
    <w:rsid w:val="009C6F91"/>
    <w:rsid w:val="009C702F"/>
    <w:rsid w:val="009C7100"/>
    <w:rsid w:val="009C7194"/>
    <w:rsid w:val="009C71FF"/>
    <w:rsid w:val="009C74D3"/>
    <w:rsid w:val="009C7658"/>
    <w:rsid w:val="009C773E"/>
    <w:rsid w:val="009C7770"/>
    <w:rsid w:val="009C7853"/>
    <w:rsid w:val="009C78BD"/>
    <w:rsid w:val="009C7A3C"/>
    <w:rsid w:val="009C7A7A"/>
    <w:rsid w:val="009C7C02"/>
    <w:rsid w:val="009C7CA8"/>
    <w:rsid w:val="009C7CBE"/>
    <w:rsid w:val="009C7F53"/>
    <w:rsid w:val="009C7F78"/>
    <w:rsid w:val="009C7FF9"/>
    <w:rsid w:val="009CC8BE"/>
    <w:rsid w:val="009D0362"/>
    <w:rsid w:val="009D0709"/>
    <w:rsid w:val="009D07C1"/>
    <w:rsid w:val="009D0BF3"/>
    <w:rsid w:val="009D0CCD"/>
    <w:rsid w:val="009D0CF5"/>
    <w:rsid w:val="009D1028"/>
    <w:rsid w:val="009D10C2"/>
    <w:rsid w:val="009D1839"/>
    <w:rsid w:val="009D1A56"/>
    <w:rsid w:val="009D1E83"/>
    <w:rsid w:val="009D1FF3"/>
    <w:rsid w:val="009D2129"/>
    <w:rsid w:val="009D222B"/>
    <w:rsid w:val="009D2427"/>
    <w:rsid w:val="009D24C7"/>
    <w:rsid w:val="009D2661"/>
    <w:rsid w:val="009D26A6"/>
    <w:rsid w:val="009D276C"/>
    <w:rsid w:val="009D28B2"/>
    <w:rsid w:val="009D2D1A"/>
    <w:rsid w:val="009D2DD7"/>
    <w:rsid w:val="009D2E79"/>
    <w:rsid w:val="009D3036"/>
    <w:rsid w:val="009D303F"/>
    <w:rsid w:val="009D3114"/>
    <w:rsid w:val="009D317A"/>
    <w:rsid w:val="009D32BE"/>
    <w:rsid w:val="009D32F5"/>
    <w:rsid w:val="009D379B"/>
    <w:rsid w:val="009D3814"/>
    <w:rsid w:val="009D39E2"/>
    <w:rsid w:val="009D3B08"/>
    <w:rsid w:val="009D3DFA"/>
    <w:rsid w:val="009D4060"/>
    <w:rsid w:val="009D4106"/>
    <w:rsid w:val="009D4483"/>
    <w:rsid w:val="009D4508"/>
    <w:rsid w:val="009D455A"/>
    <w:rsid w:val="009D45F7"/>
    <w:rsid w:val="009D463C"/>
    <w:rsid w:val="009D4640"/>
    <w:rsid w:val="009D46D0"/>
    <w:rsid w:val="009D47C0"/>
    <w:rsid w:val="009D4814"/>
    <w:rsid w:val="009D488F"/>
    <w:rsid w:val="009D4A37"/>
    <w:rsid w:val="009D4B54"/>
    <w:rsid w:val="009D4C15"/>
    <w:rsid w:val="009D4C73"/>
    <w:rsid w:val="009D4E2D"/>
    <w:rsid w:val="009D4E36"/>
    <w:rsid w:val="009D4FA0"/>
    <w:rsid w:val="009D518C"/>
    <w:rsid w:val="009D51A9"/>
    <w:rsid w:val="009D5245"/>
    <w:rsid w:val="009D5263"/>
    <w:rsid w:val="009D53F8"/>
    <w:rsid w:val="009D54B5"/>
    <w:rsid w:val="009D55F8"/>
    <w:rsid w:val="009D5669"/>
    <w:rsid w:val="009D56B2"/>
    <w:rsid w:val="009D5865"/>
    <w:rsid w:val="009D58C6"/>
    <w:rsid w:val="009D5FCC"/>
    <w:rsid w:val="009D6040"/>
    <w:rsid w:val="009D619D"/>
    <w:rsid w:val="009D636C"/>
    <w:rsid w:val="009D641A"/>
    <w:rsid w:val="009D645D"/>
    <w:rsid w:val="009D64F6"/>
    <w:rsid w:val="009D681E"/>
    <w:rsid w:val="009D6883"/>
    <w:rsid w:val="009D68E4"/>
    <w:rsid w:val="009D6F54"/>
    <w:rsid w:val="009D7261"/>
    <w:rsid w:val="009D76CD"/>
    <w:rsid w:val="009D7A0C"/>
    <w:rsid w:val="009D7ABA"/>
    <w:rsid w:val="009D7ADA"/>
    <w:rsid w:val="009D7B67"/>
    <w:rsid w:val="009DC0E4"/>
    <w:rsid w:val="009DCA9D"/>
    <w:rsid w:val="009E004C"/>
    <w:rsid w:val="009E01A8"/>
    <w:rsid w:val="009E0216"/>
    <w:rsid w:val="009E0220"/>
    <w:rsid w:val="009E035B"/>
    <w:rsid w:val="009E06E1"/>
    <w:rsid w:val="009E06EB"/>
    <w:rsid w:val="009E078F"/>
    <w:rsid w:val="009E095F"/>
    <w:rsid w:val="009E0CFC"/>
    <w:rsid w:val="009E0D00"/>
    <w:rsid w:val="009E0E7C"/>
    <w:rsid w:val="009E0F74"/>
    <w:rsid w:val="009E110A"/>
    <w:rsid w:val="009E110E"/>
    <w:rsid w:val="009E1490"/>
    <w:rsid w:val="009E1603"/>
    <w:rsid w:val="009E1723"/>
    <w:rsid w:val="009E1984"/>
    <w:rsid w:val="009E1A76"/>
    <w:rsid w:val="009E1C1C"/>
    <w:rsid w:val="009E2041"/>
    <w:rsid w:val="009E20A3"/>
    <w:rsid w:val="009E21B5"/>
    <w:rsid w:val="009E286E"/>
    <w:rsid w:val="009E29F8"/>
    <w:rsid w:val="009E2CD9"/>
    <w:rsid w:val="009E2F56"/>
    <w:rsid w:val="009E3116"/>
    <w:rsid w:val="009E34A8"/>
    <w:rsid w:val="009E353E"/>
    <w:rsid w:val="009E38E4"/>
    <w:rsid w:val="009E39A5"/>
    <w:rsid w:val="009E3AA6"/>
    <w:rsid w:val="009E3AEB"/>
    <w:rsid w:val="009E3B13"/>
    <w:rsid w:val="009E3B4F"/>
    <w:rsid w:val="009E3D4A"/>
    <w:rsid w:val="009E3DD8"/>
    <w:rsid w:val="009E3F5E"/>
    <w:rsid w:val="009E3F71"/>
    <w:rsid w:val="009E4094"/>
    <w:rsid w:val="009E40EC"/>
    <w:rsid w:val="009E41C4"/>
    <w:rsid w:val="009E4533"/>
    <w:rsid w:val="009E4562"/>
    <w:rsid w:val="009E4B35"/>
    <w:rsid w:val="009E4F0F"/>
    <w:rsid w:val="009E5120"/>
    <w:rsid w:val="009E5273"/>
    <w:rsid w:val="009E52D9"/>
    <w:rsid w:val="009E5500"/>
    <w:rsid w:val="009E5541"/>
    <w:rsid w:val="009E5810"/>
    <w:rsid w:val="009E58C9"/>
    <w:rsid w:val="009E5A5A"/>
    <w:rsid w:val="009E5C44"/>
    <w:rsid w:val="009E5C5B"/>
    <w:rsid w:val="009E5F1E"/>
    <w:rsid w:val="009E6094"/>
    <w:rsid w:val="009E6173"/>
    <w:rsid w:val="009E6235"/>
    <w:rsid w:val="009E6280"/>
    <w:rsid w:val="009E6620"/>
    <w:rsid w:val="009E664A"/>
    <w:rsid w:val="009E6695"/>
    <w:rsid w:val="009E6753"/>
    <w:rsid w:val="009E678F"/>
    <w:rsid w:val="009E692A"/>
    <w:rsid w:val="009E6B76"/>
    <w:rsid w:val="009E6B7A"/>
    <w:rsid w:val="009E6D75"/>
    <w:rsid w:val="009E74D8"/>
    <w:rsid w:val="009E75B4"/>
    <w:rsid w:val="009E7717"/>
    <w:rsid w:val="009E7783"/>
    <w:rsid w:val="009E78CD"/>
    <w:rsid w:val="009E7B79"/>
    <w:rsid w:val="009E7CD2"/>
    <w:rsid w:val="009F02C3"/>
    <w:rsid w:val="009F059A"/>
    <w:rsid w:val="009F0720"/>
    <w:rsid w:val="009F0784"/>
    <w:rsid w:val="009F080F"/>
    <w:rsid w:val="009F0856"/>
    <w:rsid w:val="009F0B30"/>
    <w:rsid w:val="009F0EEC"/>
    <w:rsid w:val="009F0FD8"/>
    <w:rsid w:val="009F1005"/>
    <w:rsid w:val="009F102D"/>
    <w:rsid w:val="009F105A"/>
    <w:rsid w:val="009F119B"/>
    <w:rsid w:val="009F1427"/>
    <w:rsid w:val="009F1433"/>
    <w:rsid w:val="009F14BE"/>
    <w:rsid w:val="009F181A"/>
    <w:rsid w:val="009F1950"/>
    <w:rsid w:val="009F1AB1"/>
    <w:rsid w:val="009F1B05"/>
    <w:rsid w:val="009F1B9B"/>
    <w:rsid w:val="009F1F6E"/>
    <w:rsid w:val="009F2098"/>
    <w:rsid w:val="009F2229"/>
    <w:rsid w:val="009F223B"/>
    <w:rsid w:val="009F2273"/>
    <w:rsid w:val="009F22F6"/>
    <w:rsid w:val="009F23D8"/>
    <w:rsid w:val="009F24FF"/>
    <w:rsid w:val="009F2657"/>
    <w:rsid w:val="009F269A"/>
    <w:rsid w:val="009F27BB"/>
    <w:rsid w:val="009F290A"/>
    <w:rsid w:val="009F29F6"/>
    <w:rsid w:val="009F2CE0"/>
    <w:rsid w:val="009F310E"/>
    <w:rsid w:val="009F33A0"/>
    <w:rsid w:val="009F3414"/>
    <w:rsid w:val="009F355F"/>
    <w:rsid w:val="009F3580"/>
    <w:rsid w:val="009F38F8"/>
    <w:rsid w:val="009F3E63"/>
    <w:rsid w:val="009F3FB6"/>
    <w:rsid w:val="009F3FB9"/>
    <w:rsid w:val="009F4085"/>
    <w:rsid w:val="009F4339"/>
    <w:rsid w:val="009F4448"/>
    <w:rsid w:val="009F4493"/>
    <w:rsid w:val="009F44AA"/>
    <w:rsid w:val="009F4580"/>
    <w:rsid w:val="009F4643"/>
    <w:rsid w:val="009F4674"/>
    <w:rsid w:val="009F4843"/>
    <w:rsid w:val="009F48D3"/>
    <w:rsid w:val="009F4952"/>
    <w:rsid w:val="009F4AFE"/>
    <w:rsid w:val="009F4F9C"/>
    <w:rsid w:val="009F51A0"/>
    <w:rsid w:val="009F56B4"/>
    <w:rsid w:val="009F5899"/>
    <w:rsid w:val="009F58DC"/>
    <w:rsid w:val="009F5C56"/>
    <w:rsid w:val="009F5CD8"/>
    <w:rsid w:val="009F5D3A"/>
    <w:rsid w:val="009F5D9E"/>
    <w:rsid w:val="009F60E8"/>
    <w:rsid w:val="009F6105"/>
    <w:rsid w:val="009F628E"/>
    <w:rsid w:val="009F63AF"/>
    <w:rsid w:val="009F643A"/>
    <w:rsid w:val="009F6447"/>
    <w:rsid w:val="009F65B0"/>
    <w:rsid w:val="009F663E"/>
    <w:rsid w:val="009F6A16"/>
    <w:rsid w:val="009F6B9B"/>
    <w:rsid w:val="009F6BD3"/>
    <w:rsid w:val="009F6F31"/>
    <w:rsid w:val="009F6F7B"/>
    <w:rsid w:val="009F71EC"/>
    <w:rsid w:val="009F7454"/>
    <w:rsid w:val="009F77F9"/>
    <w:rsid w:val="009F7A0E"/>
    <w:rsid w:val="009F7ACC"/>
    <w:rsid w:val="009F7BCB"/>
    <w:rsid w:val="009F7E09"/>
    <w:rsid w:val="009F7EBF"/>
    <w:rsid w:val="00A00081"/>
    <w:rsid w:val="00A00177"/>
    <w:rsid w:val="00A00336"/>
    <w:rsid w:val="00A0038D"/>
    <w:rsid w:val="00A003AC"/>
    <w:rsid w:val="00A006C7"/>
    <w:rsid w:val="00A00721"/>
    <w:rsid w:val="00A007F8"/>
    <w:rsid w:val="00A0093B"/>
    <w:rsid w:val="00A009B6"/>
    <w:rsid w:val="00A00B80"/>
    <w:rsid w:val="00A00BE5"/>
    <w:rsid w:val="00A00C6E"/>
    <w:rsid w:val="00A00EEF"/>
    <w:rsid w:val="00A01258"/>
    <w:rsid w:val="00A01646"/>
    <w:rsid w:val="00A01687"/>
    <w:rsid w:val="00A01710"/>
    <w:rsid w:val="00A01744"/>
    <w:rsid w:val="00A017D0"/>
    <w:rsid w:val="00A01856"/>
    <w:rsid w:val="00A01B18"/>
    <w:rsid w:val="00A01CAC"/>
    <w:rsid w:val="00A01F63"/>
    <w:rsid w:val="00A02041"/>
    <w:rsid w:val="00A02200"/>
    <w:rsid w:val="00A0249C"/>
    <w:rsid w:val="00A024A8"/>
    <w:rsid w:val="00A024EA"/>
    <w:rsid w:val="00A024F7"/>
    <w:rsid w:val="00A025F9"/>
    <w:rsid w:val="00A02654"/>
    <w:rsid w:val="00A02692"/>
    <w:rsid w:val="00A02733"/>
    <w:rsid w:val="00A029FB"/>
    <w:rsid w:val="00A02A7D"/>
    <w:rsid w:val="00A02AEE"/>
    <w:rsid w:val="00A02C38"/>
    <w:rsid w:val="00A02CBE"/>
    <w:rsid w:val="00A033CB"/>
    <w:rsid w:val="00A03485"/>
    <w:rsid w:val="00A0360D"/>
    <w:rsid w:val="00A038E0"/>
    <w:rsid w:val="00A03AE5"/>
    <w:rsid w:val="00A03BAC"/>
    <w:rsid w:val="00A03F11"/>
    <w:rsid w:val="00A043CC"/>
    <w:rsid w:val="00A045D0"/>
    <w:rsid w:val="00A046A6"/>
    <w:rsid w:val="00A04A4C"/>
    <w:rsid w:val="00A04ADD"/>
    <w:rsid w:val="00A04B34"/>
    <w:rsid w:val="00A04C9F"/>
    <w:rsid w:val="00A04E1E"/>
    <w:rsid w:val="00A04E9E"/>
    <w:rsid w:val="00A04F04"/>
    <w:rsid w:val="00A04F22"/>
    <w:rsid w:val="00A04FF0"/>
    <w:rsid w:val="00A05291"/>
    <w:rsid w:val="00A056A1"/>
    <w:rsid w:val="00A0583B"/>
    <w:rsid w:val="00A05BC7"/>
    <w:rsid w:val="00A05BF4"/>
    <w:rsid w:val="00A05DC0"/>
    <w:rsid w:val="00A05DD9"/>
    <w:rsid w:val="00A05F36"/>
    <w:rsid w:val="00A06228"/>
    <w:rsid w:val="00A06354"/>
    <w:rsid w:val="00A06383"/>
    <w:rsid w:val="00A064BF"/>
    <w:rsid w:val="00A06545"/>
    <w:rsid w:val="00A06775"/>
    <w:rsid w:val="00A068E2"/>
    <w:rsid w:val="00A06A6C"/>
    <w:rsid w:val="00A06A95"/>
    <w:rsid w:val="00A06AF6"/>
    <w:rsid w:val="00A06B25"/>
    <w:rsid w:val="00A06C09"/>
    <w:rsid w:val="00A07371"/>
    <w:rsid w:val="00A07494"/>
    <w:rsid w:val="00A074A7"/>
    <w:rsid w:val="00A07694"/>
    <w:rsid w:val="00A078D5"/>
    <w:rsid w:val="00A078F6"/>
    <w:rsid w:val="00A0790B"/>
    <w:rsid w:val="00A07992"/>
    <w:rsid w:val="00A07B52"/>
    <w:rsid w:val="00A07CC7"/>
    <w:rsid w:val="00A07D7B"/>
    <w:rsid w:val="00A07E1E"/>
    <w:rsid w:val="00A0947E"/>
    <w:rsid w:val="00A1029D"/>
    <w:rsid w:val="00A10324"/>
    <w:rsid w:val="00A10407"/>
    <w:rsid w:val="00A1042F"/>
    <w:rsid w:val="00A106D7"/>
    <w:rsid w:val="00A10991"/>
    <w:rsid w:val="00A10C01"/>
    <w:rsid w:val="00A10D96"/>
    <w:rsid w:val="00A10DC8"/>
    <w:rsid w:val="00A1102C"/>
    <w:rsid w:val="00A11277"/>
    <w:rsid w:val="00A11B49"/>
    <w:rsid w:val="00A11C57"/>
    <w:rsid w:val="00A11DD9"/>
    <w:rsid w:val="00A11E0D"/>
    <w:rsid w:val="00A11FE6"/>
    <w:rsid w:val="00A12033"/>
    <w:rsid w:val="00A12250"/>
    <w:rsid w:val="00A126C7"/>
    <w:rsid w:val="00A127E8"/>
    <w:rsid w:val="00A128E1"/>
    <w:rsid w:val="00A128F0"/>
    <w:rsid w:val="00A12A74"/>
    <w:rsid w:val="00A12D17"/>
    <w:rsid w:val="00A12D90"/>
    <w:rsid w:val="00A131B8"/>
    <w:rsid w:val="00A131BD"/>
    <w:rsid w:val="00A135EE"/>
    <w:rsid w:val="00A13651"/>
    <w:rsid w:val="00A13880"/>
    <w:rsid w:val="00A13BE9"/>
    <w:rsid w:val="00A13C3D"/>
    <w:rsid w:val="00A13DA4"/>
    <w:rsid w:val="00A13DAF"/>
    <w:rsid w:val="00A13E1F"/>
    <w:rsid w:val="00A13E43"/>
    <w:rsid w:val="00A13EBF"/>
    <w:rsid w:val="00A13EC6"/>
    <w:rsid w:val="00A13ED7"/>
    <w:rsid w:val="00A13F52"/>
    <w:rsid w:val="00A13F5D"/>
    <w:rsid w:val="00A1415D"/>
    <w:rsid w:val="00A141B1"/>
    <w:rsid w:val="00A14214"/>
    <w:rsid w:val="00A14252"/>
    <w:rsid w:val="00A144B6"/>
    <w:rsid w:val="00A144B9"/>
    <w:rsid w:val="00A144C9"/>
    <w:rsid w:val="00A14573"/>
    <w:rsid w:val="00A14AED"/>
    <w:rsid w:val="00A14B3A"/>
    <w:rsid w:val="00A14B76"/>
    <w:rsid w:val="00A14C58"/>
    <w:rsid w:val="00A15341"/>
    <w:rsid w:val="00A15587"/>
    <w:rsid w:val="00A1561E"/>
    <w:rsid w:val="00A15792"/>
    <w:rsid w:val="00A15929"/>
    <w:rsid w:val="00A15991"/>
    <w:rsid w:val="00A15A5E"/>
    <w:rsid w:val="00A15BE4"/>
    <w:rsid w:val="00A15C81"/>
    <w:rsid w:val="00A15D49"/>
    <w:rsid w:val="00A15E6E"/>
    <w:rsid w:val="00A160A4"/>
    <w:rsid w:val="00A160FF"/>
    <w:rsid w:val="00A164C9"/>
    <w:rsid w:val="00A164EE"/>
    <w:rsid w:val="00A165E6"/>
    <w:rsid w:val="00A16936"/>
    <w:rsid w:val="00A1694A"/>
    <w:rsid w:val="00A16B29"/>
    <w:rsid w:val="00A16C12"/>
    <w:rsid w:val="00A16D66"/>
    <w:rsid w:val="00A16FA7"/>
    <w:rsid w:val="00A17004"/>
    <w:rsid w:val="00A17020"/>
    <w:rsid w:val="00A17066"/>
    <w:rsid w:val="00A171B2"/>
    <w:rsid w:val="00A1725B"/>
    <w:rsid w:val="00A1741B"/>
    <w:rsid w:val="00A17478"/>
    <w:rsid w:val="00A17546"/>
    <w:rsid w:val="00A175AF"/>
    <w:rsid w:val="00A177F5"/>
    <w:rsid w:val="00A17B96"/>
    <w:rsid w:val="00A17C01"/>
    <w:rsid w:val="00A17D31"/>
    <w:rsid w:val="00A17D33"/>
    <w:rsid w:val="00A17EB3"/>
    <w:rsid w:val="00A1A452"/>
    <w:rsid w:val="00A1C2C6"/>
    <w:rsid w:val="00A20339"/>
    <w:rsid w:val="00A20377"/>
    <w:rsid w:val="00A20529"/>
    <w:rsid w:val="00A205AB"/>
    <w:rsid w:val="00A2064D"/>
    <w:rsid w:val="00A2069C"/>
    <w:rsid w:val="00A20762"/>
    <w:rsid w:val="00A20895"/>
    <w:rsid w:val="00A20AAD"/>
    <w:rsid w:val="00A20AAE"/>
    <w:rsid w:val="00A20B46"/>
    <w:rsid w:val="00A20D06"/>
    <w:rsid w:val="00A20D15"/>
    <w:rsid w:val="00A20D74"/>
    <w:rsid w:val="00A20DD2"/>
    <w:rsid w:val="00A20E15"/>
    <w:rsid w:val="00A20FB4"/>
    <w:rsid w:val="00A20FFA"/>
    <w:rsid w:val="00A211D5"/>
    <w:rsid w:val="00A211F5"/>
    <w:rsid w:val="00A213E9"/>
    <w:rsid w:val="00A216A1"/>
    <w:rsid w:val="00A21742"/>
    <w:rsid w:val="00A2175A"/>
    <w:rsid w:val="00A2185C"/>
    <w:rsid w:val="00A21C42"/>
    <w:rsid w:val="00A21C6F"/>
    <w:rsid w:val="00A21CB3"/>
    <w:rsid w:val="00A21DD2"/>
    <w:rsid w:val="00A22050"/>
    <w:rsid w:val="00A22124"/>
    <w:rsid w:val="00A22212"/>
    <w:rsid w:val="00A224CA"/>
    <w:rsid w:val="00A2254B"/>
    <w:rsid w:val="00A2255D"/>
    <w:rsid w:val="00A22651"/>
    <w:rsid w:val="00A226F0"/>
    <w:rsid w:val="00A22A4D"/>
    <w:rsid w:val="00A22C75"/>
    <w:rsid w:val="00A22CC6"/>
    <w:rsid w:val="00A22CDA"/>
    <w:rsid w:val="00A22CFF"/>
    <w:rsid w:val="00A22DBF"/>
    <w:rsid w:val="00A236D7"/>
    <w:rsid w:val="00A23799"/>
    <w:rsid w:val="00A23AAB"/>
    <w:rsid w:val="00A23B1D"/>
    <w:rsid w:val="00A23C7E"/>
    <w:rsid w:val="00A23DA0"/>
    <w:rsid w:val="00A23ED3"/>
    <w:rsid w:val="00A23F39"/>
    <w:rsid w:val="00A23F59"/>
    <w:rsid w:val="00A24116"/>
    <w:rsid w:val="00A24497"/>
    <w:rsid w:val="00A2463A"/>
    <w:rsid w:val="00A24774"/>
    <w:rsid w:val="00A247B1"/>
    <w:rsid w:val="00A24837"/>
    <w:rsid w:val="00A24979"/>
    <w:rsid w:val="00A2500D"/>
    <w:rsid w:val="00A2528C"/>
    <w:rsid w:val="00A254C2"/>
    <w:rsid w:val="00A25546"/>
    <w:rsid w:val="00A2586E"/>
    <w:rsid w:val="00A2588C"/>
    <w:rsid w:val="00A25918"/>
    <w:rsid w:val="00A25A86"/>
    <w:rsid w:val="00A25ABE"/>
    <w:rsid w:val="00A25DC3"/>
    <w:rsid w:val="00A25E5B"/>
    <w:rsid w:val="00A2606A"/>
    <w:rsid w:val="00A26405"/>
    <w:rsid w:val="00A26424"/>
    <w:rsid w:val="00A2688F"/>
    <w:rsid w:val="00A268DF"/>
    <w:rsid w:val="00A2698C"/>
    <w:rsid w:val="00A26EA5"/>
    <w:rsid w:val="00A2727F"/>
    <w:rsid w:val="00A27280"/>
    <w:rsid w:val="00A272C6"/>
    <w:rsid w:val="00A273B7"/>
    <w:rsid w:val="00A2756C"/>
    <w:rsid w:val="00A2765A"/>
    <w:rsid w:val="00A27692"/>
    <w:rsid w:val="00A27733"/>
    <w:rsid w:val="00A27BDA"/>
    <w:rsid w:val="00A27C0F"/>
    <w:rsid w:val="00A27C3E"/>
    <w:rsid w:val="00A27C6C"/>
    <w:rsid w:val="00A27D14"/>
    <w:rsid w:val="00A27D4D"/>
    <w:rsid w:val="00A27D69"/>
    <w:rsid w:val="00A27E7B"/>
    <w:rsid w:val="00A30047"/>
    <w:rsid w:val="00A30158"/>
    <w:rsid w:val="00A302A7"/>
    <w:rsid w:val="00A307E5"/>
    <w:rsid w:val="00A30831"/>
    <w:rsid w:val="00A30849"/>
    <w:rsid w:val="00A30B2F"/>
    <w:rsid w:val="00A30B8D"/>
    <w:rsid w:val="00A30D30"/>
    <w:rsid w:val="00A30ED3"/>
    <w:rsid w:val="00A30FC3"/>
    <w:rsid w:val="00A310AE"/>
    <w:rsid w:val="00A310B5"/>
    <w:rsid w:val="00A3117C"/>
    <w:rsid w:val="00A312C4"/>
    <w:rsid w:val="00A31339"/>
    <w:rsid w:val="00A315F6"/>
    <w:rsid w:val="00A31681"/>
    <w:rsid w:val="00A31687"/>
    <w:rsid w:val="00A317D8"/>
    <w:rsid w:val="00A31A20"/>
    <w:rsid w:val="00A31A5E"/>
    <w:rsid w:val="00A32094"/>
    <w:rsid w:val="00A32373"/>
    <w:rsid w:val="00A32436"/>
    <w:rsid w:val="00A3245F"/>
    <w:rsid w:val="00A325B3"/>
    <w:rsid w:val="00A325F9"/>
    <w:rsid w:val="00A32659"/>
    <w:rsid w:val="00A326EA"/>
    <w:rsid w:val="00A3275C"/>
    <w:rsid w:val="00A32863"/>
    <w:rsid w:val="00A32A19"/>
    <w:rsid w:val="00A32A30"/>
    <w:rsid w:val="00A32A3B"/>
    <w:rsid w:val="00A32B5F"/>
    <w:rsid w:val="00A32C00"/>
    <w:rsid w:val="00A32DCE"/>
    <w:rsid w:val="00A33031"/>
    <w:rsid w:val="00A33099"/>
    <w:rsid w:val="00A331B0"/>
    <w:rsid w:val="00A333AA"/>
    <w:rsid w:val="00A33490"/>
    <w:rsid w:val="00A334AC"/>
    <w:rsid w:val="00A33534"/>
    <w:rsid w:val="00A335C2"/>
    <w:rsid w:val="00A33606"/>
    <w:rsid w:val="00A33790"/>
    <w:rsid w:val="00A337BE"/>
    <w:rsid w:val="00A33AEF"/>
    <w:rsid w:val="00A33E07"/>
    <w:rsid w:val="00A33E8D"/>
    <w:rsid w:val="00A34301"/>
    <w:rsid w:val="00A345B0"/>
    <w:rsid w:val="00A346AF"/>
    <w:rsid w:val="00A34738"/>
    <w:rsid w:val="00A34782"/>
    <w:rsid w:val="00A348BD"/>
    <w:rsid w:val="00A348D5"/>
    <w:rsid w:val="00A3495F"/>
    <w:rsid w:val="00A34AB3"/>
    <w:rsid w:val="00A34B3F"/>
    <w:rsid w:val="00A34D4B"/>
    <w:rsid w:val="00A34EC9"/>
    <w:rsid w:val="00A34F35"/>
    <w:rsid w:val="00A34F3E"/>
    <w:rsid w:val="00A350CF"/>
    <w:rsid w:val="00A351E3"/>
    <w:rsid w:val="00A355C6"/>
    <w:rsid w:val="00A355D6"/>
    <w:rsid w:val="00A3562A"/>
    <w:rsid w:val="00A3562E"/>
    <w:rsid w:val="00A35718"/>
    <w:rsid w:val="00A357F1"/>
    <w:rsid w:val="00A35828"/>
    <w:rsid w:val="00A35A6F"/>
    <w:rsid w:val="00A35BA1"/>
    <w:rsid w:val="00A35C8A"/>
    <w:rsid w:val="00A35C91"/>
    <w:rsid w:val="00A35D97"/>
    <w:rsid w:val="00A35E99"/>
    <w:rsid w:val="00A36184"/>
    <w:rsid w:val="00A3649E"/>
    <w:rsid w:val="00A364CC"/>
    <w:rsid w:val="00A36652"/>
    <w:rsid w:val="00A36695"/>
    <w:rsid w:val="00A366E7"/>
    <w:rsid w:val="00A368F1"/>
    <w:rsid w:val="00A36988"/>
    <w:rsid w:val="00A36B31"/>
    <w:rsid w:val="00A36E6D"/>
    <w:rsid w:val="00A36F0D"/>
    <w:rsid w:val="00A372E7"/>
    <w:rsid w:val="00A375DF"/>
    <w:rsid w:val="00A37C2E"/>
    <w:rsid w:val="00A37E64"/>
    <w:rsid w:val="00A37E6F"/>
    <w:rsid w:val="00A37F11"/>
    <w:rsid w:val="00A37F4F"/>
    <w:rsid w:val="00A400AF"/>
    <w:rsid w:val="00A400DB"/>
    <w:rsid w:val="00A40123"/>
    <w:rsid w:val="00A40211"/>
    <w:rsid w:val="00A4028A"/>
    <w:rsid w:val="00A40666"/>
    <w:rsid w:val="00A4085D"/>
    <w:rsid w:val="00A40874"/>
    <w:rsid w:val="00A40974"/>
    <w:rsid w:val="00A40BE6"/>
    <w:rsid w:val="00A40BE8"/>
    <w:rsid w:val="00A40D00"/>
    <w:rsid w:val="00A40D5B"/>
    <w:rsid w:val="00A40F1C"/>
    <w:rsid w:val="00A41025"/>
    <w:rsid w:val="00A4109B"/>
    <w:rsid w:val="00A410FF"/>
    <w:rsid w:val="00A41419"/>
    <w:rsid w:val="00A4159A"/>
    <w:rsid w:val="00A41693"/>
    <w:rsid w:val="00A416E8"/>
    <w:rsid w:val="00A41739"/>
    <w:rsid w:val="00A41A5C"/>
    <w:rsid w:val="00A41AEA"/>
    <w:rsid w:val="00A41C20"/>
    <w:rsid w:val="00A41C96"/>
    <w:rsid w:val="00A41D6E"/>
    <w:rsid w:val="00A41D92"/>
    <w:rsid w:val="00A42036"/>
    <w:rsid w:val="00A4220E"/>
    <w:rsid w:val="00A4239D"/>
    <w:rsid w:val="00A424DE"/>
    <w:rsid w:val="00A424EF"/>
    <w:rsid w:val="00A4255E"/>
    <w:rsid w:val="00A42735"/>
    <w:rsid w:val="00A42826"/>
    <w:rsid w:val="00A42841"/>
    <w:rsid w:val="00A42973"/>
    <w:rsid w:val="00A42B6A"/>
    <w:rsid w:val="00A42C50"/>
    <w:rsid w:val="00A42EE4"/>
    <w:rsid w:val="00A4306E"/>
    <w:rsid w:val="00A4318E"/>
    <w:rsid w:val="00A4332D"/>
    <w:rsid w:val="00A433FD"/>
    <w:rsid w:val="00A436A0"/>
    <w:rsid w:val="00A4373E"/>
    <w:rsid w:val="00A43AE1"/>
    <w:rsid w:val="00A43D95"/>
    <w:rsid w:val="00A43F50"/>
    <w:rsid w:val="00A43F6F"/>
    <w:rsid w:val="00A43FE8"/>
    <w:rsid w:val="00A44030"/>
    <w:rsid w:val="00A44127"/>
    <w:rsid w:val="00A44130"/>
    <w:rsid w:val="00A4414F"/>
    <w:rsid w:val="00A441AB"/>
    <w:rsid w:val="00A446F4"/>
    <w:rsid w:val="00A449EF"/>
    <w:rsid w:val="00A44BF4"/>
    <w:rsid w:val="00A44CE4"/>
    <w:rsid w:val="00A44D24"/>
    <w:rsid w:val="00A44E12"/>
    <w:rsid w:val="00A44F54"/>
    <w:rsid w:val="00A44F5C"/>
    <w:rsid w:val="00A44FBC"/>
    <w:rsid w:val="00A451F0"/>
    <w:rsid w:val="00A45204"/>
    <w:rsid w:val="00A453E0"/>
    <w:rsid w:val="00A45475"/>
    <w:rsid w:val="00A4549C"/>
    <w:rsid w:val="00A458E4"/>
    <w:rsid w:val="00A45957"/>
    <w:rsid w:val="00A459C8"/>
    <w:rsid w:val="00A459DA"/>
    <w:rsid w:val="00A45A1F"/>
    <w:rsid w:val="00A45C93"/>
    <w:rsid w:val="00A45D83"/>
    <w:rsid w:val="00A45F0D"/>
    <w:rsid w:val="00A4624A"/>
    <w:rsid w:val="00A46816"/>
    <w:rsid w:val="00A46842"/>
    <w:rsid w:val="00A46A3D"/>
    <w:rsid w:val="00A46A58"/>
    <w:rsid w:val="00A46CBE"/>
    <w:rsid w:val="00A46D28"/>
    <w:rsid w:val="00A46D5F"/>
    <w:rsid w:val="00A46E04"/>
    <w:rsid w:val="00A46E3E"/>
    <w:rsid w:val="00A46F60"/>
    <w:rsid w:val="00A46FD5"/>
    <w:rsid w:val="00A47268"/>
    <w:rsid w:val="00A4755D"/>
    <w:rsid w:val="00A47680"/>
    <w:rsid w:val="00A4786E"/>
    <w:rsid w:val="00A4796B"/>
    <w:rsid w:val="00A4797E"/>
    <w:rsid w:val="00A479C6"/>
    <w:rsid w:val="00A47FC9"/>
    <w:rsid w:val="00A50099"/>
    <w:rsid w:val="00A500FC"/>
    <w:rsid w:val="00A502FB"/>
    <w:rsid w:val="00A50381"/>
    <w:rsid w:val="00A50426"/>
    <w:rsid w:val="00A5070A"/>
    <w:rsid w:val="00A509F4"/>
    <w:rsid w:val="00A50A1F"/>
    <w:rsid w:val="00A50A7C"/>
    <w:rsid w:val="00A50B85"/>
    <w:rsid w:val="00A50C48"/>
    <w:rsid w:val="00A5135C"/>
    <w:rsid w:val="00A5140F"/>
    <w:rsid w:val="00A518B4"/>
    <w:rsid w:val="00A51F91"/>
    <w:rsid w:val="00A520D1"/>
    <w:rsid w:val="00A5218B"/>
    <w:rsid w:val="00A5224D"/>
    <w:rsid w:val="00A522D1"/>
    <w:rsid w:val="00A52365"/>
    <w:rsid w:val="00A52484"/>
    <w:rsid w:val="00A5257B"/>
    <w:rsid w:val="00A52758"/>
    <w:rsid w:val="00A5286E"/>
    <w:rsid w:val="00A5297C"/>
    <w:rsid w:val="00A52AB7"/>
    <w:rsid w:val="00A52D80"/>
    <w:rsid w:val="00A52D90"/>
    <w:rsid w:val="00A52E85"/>
    <w:rsid w:val="00A52F75"/>
    <w:rsid w:val="00A5319D"/>
    <w:rsid w:val="00A531A2"/>
    <w:rsid w:val="00A531C5"/>
    <w:rsid w:val="00A53497"/>
    <w:rsid w:val="00A53581"/>
    <w:rsid w:val="00A5382A"/>
    <w:rsid w:val="00A53869"/>
    <w:rsid w:val="00A53BE8"/>
    <w:rsid w:val="00A53CD1"/>
    <w:rsid w:val="00A53E3F"/>
    <w:rsid w:val="00A53ED8"/>
    <w:rsid w:val="00A53F90"/>
    <w:rsid w:val="00A54043"/>
    <w:rsid w:val="00A541C5"/>
    <w:rsid w:val="00A54242"/>
    <w:rsid w:val="00A543CB"/>
    <w:rsid w:val="00A54498"/>
    <w:rsid w:val="00A54661"/>
    <w:rsid w:val="00A54713"/>
    <w:rsid w:val="00A547D3"/>
    <w:rsid w:val="00A54802"/>
    <w:rsid w:val="00A54A44"/>
    <w:rsid w:val="00A54AA9"/>
    <w:rsid w:val="00A54FB5"/>
    <w:rsid w:val="00A54FF7"/>
    <w:rsid w:val="00A55168"/>
    <w:rsid w:val="00A552F1"/>
    <w:rsid w:val="00A55368"/>
    <w:rsid w:val="00A5539B"/>
    <w:rsid w:val="00A5547E"/>
    <w:rsid w:val="00A55539"/>
    <w:rsid w:val="00A55966"/>
    <w:rsid w:val="00A55A2C"/>
    <w:rsid w:val="00A55A71"/>
    <w:rsid w:val="00A55A7C"/>
    <w:rsid w:val="00A55A90"/>
    <w:rsid w:val="00A55CF6"/>
    <w:rsid w:val="00A55D07"/>
    <w:rsid w:val="00A55E8A"/>
    <w:rsid w:val="00A55EB1"/>
    <w:rsid w:val="00A55F14"/>
    <w:rsid w:val="00A55F8F"/>
    <w:rsid w:val="00A560AE"/>
    <w:rsid w:val="00A5627C"/>
    <w:rsid w:val="00A5655B"/>
    <w:rsid w:val="00A565C5"/>
    <w:rsid w:val="00A565DB"/>
    <w:rsid w:val="00A56A30"/>
    <w:rsid w:val="00A56B89"/>
    <w:rsid w:val="00A56C3D"/>
    <w:rsid w:val="00A56E3A"/>
    <w:rsid w:val="00A56EC3"/>
    <w:rsid w:val="00A56F31"/>
    <w:rsid w:val="00A56F95"/>
    <w:rsid w:val="00A56FE7"/>
    <w:rsid w:val="00A570BA"/>
    <w:rsid w:val="00A570EB"/>
    <w:rsid w:val="00A571FC"/>
    <w:rsid w:val="00A57281"/>
    <w:rsid w:val="00A5730C"/>
    <w:rsid w:val="00A5731A"/>
    <w:rsid w:val="00A57414"/>
    <w:rsid w:val="00A57624"/>
    <w:rsid w:val="00A57AC4"/>
    <w:rsid w:val="00A57D22"/>
    <w:rsid w:val="00A57F67"/>
    <w:rsid w:val="00A6029C"/>
    <w:rsid w:val="00A606AF"/>
    <w:rsid w:val="00A60769"/>
    <w:rsid w:val="00A60940"/>
    <w:rsid w:val="00A60968"/>
    <w:rsid w:val="00A60AEC"/>
    <w:rsid w:val="00A60BBB"/>
    <w:rsid w:val="00A60C52"/>
    <w:rsid w:val="00A60C58"/>
    <w:rsid w:val="00A60CF2"/>
    <w:rsid w:val="00A60F62"/>
    <w:rsid w:val="00A61439"/>
    <w:rsid w:val="00A614BF"/>
    <w:rsid w:val="00A61730"/>
    <w:rsid w:val="00A617D8"/>
    <w:rsid w:val="00A619A8"/>
    <w:rsid w:val="00A61A0A"/>
    <w:rsid w:val="00A61B73"/>
    <w:rsid w:val="00A61CA9"/>
    <w:rsid w:val="00A61D3B"/>
    <w:rsid w:val="00A6211D"/>
    <w:rsid w:val="00A621D2"/>
    <w:rsid w:val="00A624C6"/>
    <w:rsid w:val="00A625DB"/>
    <w:rsid w:val="00A6263D"/>
    <w:rsid w:val="00A6283B"/>
    <w:rsid w:val="00A62AFB"/>
    <w:rsid w:val="00A62D56"/>
    <w:rsid w:val="00A62E4A"/>
    <w:rsid w:val="00A62FE4"/>
    <w:rsid w:val="00A62FFA"/>
    <w:rsid w:val="00A6320C"/>
    <w:rsid w:val="00A6332B"/>
    <w:rsid w:val="00A6375E"/>
    <w:rsid w:val="00A637BC"/>
    <w:rsid w:val="00A63BD5"/>
    <w:rsid w:val="00A63CAE"/>
    <w:rsid w:val="00A64110"/>
    <w:rsid w:val="00A64166"/>
    <w:rsid w:val="00A6419A"/>
    <w:rsid w:val="00A64244"/>
    <w:rsid w:val="00A642D6"/>
    <w:rsid w:val="00A64A7E"/>
    <w:rsid w:val="00A64BC6"/>
    <w:rsid w:val="00A64FBC"/>
    <w:rsid w:val="00A65091"/>
    <w:rsid w:val="00A6512A"/>
    <w:rsid w:val="00A652AF"/>
    <w:rsid w:val="00A65696"/>
    <w:rsid w:val="00A6587E"/>
    <w:rsid w:val="00A659A2"/>
    <w:rsid w:val="00A65A4B"/>
    <w:rsid w:val="00A65C9D"/>
    <w:rsid w:val="00A65FEE"/>
    <w:rsid w:val="00A6628A"/>
    <w:rsid w:val="00A66360"/>
    <w:rsid w:val="00A6645A"/>
    <w:rsid w:val="00A664C8"/>
    <w:rsid w:val="00A66566"/>
    <w:rsid w:val="00A666AC"/>
    <w:rsid w:val="00A668D9"/>
    <w:rsid w:val="00A6691F"/>
    <w:rsid w:val="00A669B0"/>
    <w:rsid w:val="00A66C90"/>
    <w:rsid w:val="00A66DD1"/>
    <w:rsid w:val="00A66DD5"/>
    <w:rsid w:val="00A66E04"/>
    <w:rsid w:val="00A66E6B"/>
    <w:rsid w:val="00A66FFA"/>
    <w:rsid w:val="00A671E7"/>
    <w:rsid w:val="00A67240"/>
    <w:rsid w:val="00A6726B"/>
    <w:rsid w:val="00A67458"/>
    <w:rsid w:val="00A67512"/>
    <w:rsid w:val="00A67675"/>
    <w:rsid w:val="00A67728"/>
    <w:rsid w:val="00A6779F"/>
    <w:rsid w:val="00A678F9"/>
    <w:rsid w:val="00A67988"/>
    <w:rsid w:val="00A67BF6"/>
    <w:rsid w:val="00A67FAD"/>
    <w:rsid w:val="00A700C4"/>
    <w:rsid w:val="00A70178"/>
    <w:rsid w:val="00A701CC"/>
    <w:rsid w:val="00A7072F"/>
    <w:rsid w:val="00A70792"/>
    <w:rsid w:val="00A709F5"/>
    <w:rsid w:val="00A70A45"/>
    <w:rsid w:val="00A70BE0"/>
    <w:rsid w:val="00A70D8F"/>
    <w:rsid w:val="00A70E64"/>
    <w:rsid w:val="00A70ED3"/>
    <w:rsid w:val="00A70F1F"/>
    <w:rsid w:val="00A70F78"/>
    <w:rsid w:val="00A71194"/>
    <w:rsid w:val="00A7129B"/>
    <w:rsid w:val="00A7174F"/>
    <w:rsid w:val="00A71790"/>
    <w:rsid w:val="00A71CA3"/>
    <w:rsid w:val="00A71DD8"/>
    <w:rsid w:val="00A71F43"/>
    <w:rsid w:val="00A71FBE"/>
    <w:rsid w:val="00A71FFA"/>
    <w:rsid w:val="00A7205F"/>
    <w:rsid w:val="00A7206C"/>
    <w:rsid w:val="00A7206E"/>
    <w:rsid w:val="00A7268A"/>
    <w:rsid w:val="00A72A02"/>
    <w:rsid w:val="00A72A6B"/>
    <w:rsid w:val="00A72A8A"/>
    <w:rsid w:val="00A72B47"/>
    <w:rsid w:val="00A72E25"/>
    <w:rsid w:val="00A72ED7"/>
    <w:rsid w:val="00A7305A"/>
    <w:rsid w:val="00A732E0"/>
    <w:rsid w:val="00A7343E"/>
    <w:rsid w:val="00A73602"/>
    <w:rsid w:val="00A7375B"/>
    <w:rsid w:val="00A73921"/>
    <w:rsid w:val="00A73AAE"/>
    <w:rsid w:val="00A73E60"/>
    <w:rsid w:val="00A742BC"/>
    <w:rsid w:val="00A74434"/>
    <w:rsid w:val="00A745AF"/>
    <w:rsid w:val="00A74634"/>
    <w:rsid w:val="00A74664"/>
    <w:rsid w:val="00A7484E"/>
    <w:rsid w:val="00A74B80"/>
    <w:rsid w:val="00A74BE9"/>
    <w:rsid w:val="00A74C7C"/>
    <w:rsid w:val="00A74DA4"/>
    <w:rsid w:val="00A74E9A"/>
    <w:rsid w:val="00A74EBC"/>
    <w:rsid w:val="00A74EFB"/>
    <w:rsid w:val="00A74F6F"/>
    <w:rsid w:val="00A75074"/>
    <w:rsid w:val="00A7512A"/>
    <w:rsid w:val="00A7522B"/>
    <w:rsid w:val="00A7548C"/>
    <w:rsid w:val="00A755E7"/>
    <w:rsid w:val="00A756AF"/>
    <w:rsid w:val="00A756D1"/>
    <w:rsid w:val="00A75AF9"/>
    <w:rsid w:val="00A75C68"/>
    <w:rsid w:val="00A75F80"/>
    <w:rsid w:val="00A75FB8"/>
    <w:rsid w:val="00A76471"/>
    <w:rsid w:val="00A76473"/>
    <w:rsid w:val="00A76544"/>
    <w:rsid w:val="00A765E4"/>
    <w:rsid w:val="00A766C1"/>
    <w:rsid w:val="00A7686E"/>
    <w:rsid w:val="00A769E1"/>
    <w:rsid w:val="00A76A56"/>
    <w:rsid w:val="00A76B14"/>
    <w:rsid w:val="00A76E21"/>
    <w:rsid w:val="00A76EB7"/>
    <w:rsid w:val="00A77191"/>
    <w:rsid w:val="00A7742A"/>
    <w:rsid w:val="00A77D66"/>
    <w:rsid w:val="00A77E8C"/>
    <w:rsid w:val="00A80162"/>
    <w:rsid w:val="00A802BC"/>
    <w:rsid w:val="00A80337"/>
    <w:rsid w:val="00A8075E"/>
    <w:rsid w:val="00A80813"/>
    <w:rsid w:val="00A80AF6"/>
    <w:rsid w:val="00A80BA1"/>
    <w:rsid w:val="00A80D46"/>
    <w:rsid w:val="00A80EF4"/>
    <w:rsid w:val="00A80EFC"/>
    <w:rsid w:val="00A80F33"/>
    <w:rsid w:val="00A81102"/>
    <w:rsid w:val="00A81184"/>
    <w:rsid w:val="00A812E5"/>
    <w:rsid w:val="00A81A65"/>
    <w:rsid w:val="00A81A9D"/>
    <w:rsid w:val="00A81B92"/>
    <w:rsid w:val="00A81C2C"/>
    <w:rsid w:val="00A81DB0"/>
    <w:rsid w:val="00A81FC5"/>
    <w:rsid w:val="00A82041"/>
    <w:rsid w:val="00A82204"/>
    <w:rsid w:val="00A823D3"/>
    <w:rsid w:val="00A8272E"/>
    <w:rsid w:val="00A82B77"/>
    <w:rsid w:val="00A82C3B"/>
    <w:rsid w:val="00A82CDB"/>
    <w:rsid w:val="00A82D89"/>
    <w:rsid w:val="00A82E79"/>
    <w:rsid w:val="00A82E8E"/>
    <w:rsid w:val="00A82EBF"/>
    <w:rsid w:val="00A82EFC"/>
    <w:rsid w:val="00A8302C"/>
    <w:rsid w:val="00A830AA"/>
    <w:rsid w:val="00A83109"/>
    <w:rsid w:val="00A83134"/>
    <w:rsid w:val="00A83189"/>
    <w:rsid w:val="00A83895"/>
    <w:rsid w:val="00A8389C"/>
    <w:rsid w:val="00A83AFC"/>
    <w:rsid w:val="00A83B0C"/>
    <w:rsid w:val="00A83E38"/>
    <w:rsid w:val="00A841CC"/>
    <w:rsid w:val="00A841D6"/>
    <w:rsid w:val="00A8437C"/>
    <w:rsid w:val="00A844E0"/>
    <w:rsid w:val="00A8479A"/>
    <w:rsid w:val="00A84A20"/>
    <w:rsid w:val="00A84A61"/>
    <w:rsid w:val="00A84A6E"/>
    <w:rsid w:val="00A84A9E"/>
    <w:rsid w:val="00A84B23"/>
    <w:rsid w:val="00A84C56"/>
    <w:rsid w:val="00A84D4A"/>
    <w:rsid w:val="00A84E1F"/>
    <w:rsid w:val="00A84E52"/>
    <w:rsid w:val="00A84F83"/>
    <w:rsid w:val="00A850B7"/>
    <w:rsid w:val="00A8526A"/>
    <w:rsid w:val="00A8532C"/>
    <w:rsid w:val="00A8542E"/>
    <w:rsid w:val="00A85457"/>
    <w:rsid w:val="00A8562A"/>
    <w:rsid w:val="00A85752"/>
    <w:rsid w:val="00A85BFA"/>
    <w:rsid w:val="00A85ED7"/>
    <w:rsid w:val="00A86100"/>
    <w:rsid w:val="00A867BF"/>
    <w:rsid w:val="00A868D8"/>
    <w:rsid w:val="00A86984"/>
    <w:rsid w:val="00A86C05"/>
    <w:rsid w:val="00A86C52"/>
    <w:rsid w:val="00A8715C"/>
    <w:rsid w:val="00A87308"/>
    <w:rsid w:val="00A87319"/>
    <w:rsid w:val="00A874E1"/>
    <w:rsid w:val="00A8754A"/>
    <w:rsid w:val="00A8757A"/>
    <w:rsid w:val="00A87586"/>
    <w:rsid w:val="00A876CD"/>
    <w:rsid w:val="00A8776B"/>
    <w:rsid w:val="00A87815"/>
    <w:rsid w:val="00A8782F"/>
    <w:rsid w:val="00A87905"/>
    <w:rsid w:val="00A87A14"/>
    <w:rsid w:val="00A87A19"/>
    <w:rsid w:val="00A87B0E"/>
    <w:rsid w:val="00A87B39"/>
    <w:rsid w:val="00A87BCF"/>
    <w:rsid w:val="00A87C2B"/>
    <w:rsid w:val="00A87CF8"/>
    <w:rsid w:val="00A87DEE"/>
    <w:rsid w:val="00A87E0D"/>
    <w:rsid w:val="00A87EFD"/>
    <w:rsid w:val="00A87F51"/>
    <w:rsid w:val="00A9071C"/>
    <w:rsid w:val="00A90927"/>
    <w:rsid w:val="00A90E34"/>
    <w:rsid w:val="00A90E87"/>
    <w:rsid w:val="00A9104B"/>
    <w:rsid w:val="00A91121"/>
    <w:rsid w:val="00A9112A"/>
    <w:rsid w:val="00A911F5"/>
    <w:rsid w:val="00A912C9"/>
    <w:rsid w:val="00A91469"/>
    <w:rsid w:val="00A915E9"/>
    <w:rsid w:val="00A917DA"/>
    <w:rsid w:val="00A91909"/>
    <w:rsid w:val="00A9194E"/>
    <w:rsid w:val="00A91980"/>
    <w:rsid w:val="00A91AFB"/>
    <w:rsid w:val="00A91B08"/>
    <w:rsid w:val="00A91B30"/>
    <w:rsid w:val="00A91B6C"/>
    <w:rsid w:val="00A91CAA"/>
    <w:rsid w:val="00A92148"/>
    <w:rsid w:val="00A922D7"/>
    <w:rsid w:val="00A9234A"/>
    <w:rsid w:val="00A9234B"/>
    <w:rsid w:val="00A9253E"/>
    <w:rsid w:val="00A926A3"/>
    <w:rsid w:val="00A92747"/>
    <w:rsid w:val="00A92937"/>
    <w:rsid w:val="00A9296B"/>
    <w:rsid w:val="00A92C2A"/>
    <w:rsid w:val="00A92CB8"/>
    <w:rsid w:val="00A9331D"/>
    <w:rsid w:val="00A933CA"/>
    <w:rsid w:val="00A93470"/>
    <w:rsid w:val="00A9348F"/>
    <w:rsid w:val="00A9350C"/>
    <w:rsid w:val="00A93755"/>
    <w:rsid w:val="00A93773"/>
    <w:rsid w:val="00A938CC"/>
    <w:rsid w:val="00A938D9"/>
    <w:rsid w:val="00A93C36"/>
    <w:rsid w:val="00A93D8D"/>
    <w:rsid w:val="00A93EF8"/>
    <w:rsid w:val="00A93FB9"/>
    <w:rsid w:val="00A94052"/>
    <w:rsid w:val="00A940BF"/>
    <w:rsid w:val="00A940F1"/>
    <w:rsid w:val="00A9441A"/>
    <w:rsid w:val="00A9449E"/>
    <w:rsid w:val="00A9474A"/>
    <w:rsid w:val="00A94777"/>
    <w:rsid w:val="00A94A9B"/>
    <w:rsid w:val="00A94CEE"/>
    <w:rsid w:val="00A94DD4"/>
    <w:rsid w:val="00A9500A"/>
    <w:rsid w:val="00A954D0"/>
    <w:rsid w:val="00A95648"/>
    <w:rsid w:val="00A958B3"/>
    <w:rsid w:val="00A959F9"/>
    <w:rsid w:val="00A95A04"/>
    <w:rsid w:val="00A95CBE"/>
    <w:rsid w:val="00A95CE2"/>
    <w:rsid w:val="00A9601D"/>
    <w:rsid w:val="00A96194"/>
    <w:rsid w:val="00A9628B"/>
    <w:rsid w:val="00A96694"/>
    <w:rsid w:val="00A967DF"/>
    <w:rsid w:val="00A9681E"/>
    <w:rsid w:val="00A96876"/>
    <w:rsid w:val="00A96962"/>
    <w:rsid w:val="00A96AB2"/>
    <w:rsid w:val="00A96B08"/>
    <w:rsid w:val="00A96C6E"/>
    <w:rsid w:val="00A96E1B"/>
    <w:rsid w:val="00A9701A"/>
    <w:rsid w:val="00A97272"/>
    <w:rsid w:val="00A974F1"/>
    <w:rsid w:val="00A97616"/>
    <w:rsid w:val="00A976FC"/>
    <w:rsid w:val="00A978C6"/>
    <w:rsid w:val="00A97BDC"/>
    <w:rsid w:val="00A97CF4"/>
    <w:rsid w:val="00A97F04"/>
    <w:rsid w:val="00AA0034"/>
    <w:rsid w:val="00AA025C"/>
    <w:rsid w:val="00AA0281"/>
    <w:rsid w:val="00AA03DA"/>
    <w:rsid w:val="00AA04CC"/>
    <w:rsid w:val="00AA0681"/>
    <w:rsid w:val="00AA0797"/>
    <w:rsid w:val="00AA087C"/>
    <w:rsid w:val="00AA08A5"/>
    <w:rsid w:val="00AA08BF"/>
    <w:rsid w:val="00AA08D3"/>
    <w:rsid w:val="00AA090A"/>
    <w:rsid w:val="00AA09C3"/>
    <w:rsid w:val="00AA09F6"/>
    <w:rsid w:val="00AA0ADA"/>
    <w:rsid w:val="00AA0AEE"/>
    <w:rsid w:val="00AA0AF5"/>
    <w:rsid w:val="00AA0B52"/>
    <w:rsid w:val="00AA0C73"/>
    <w:rsid w:val="00AA0E42"/>
    <w:rsid w:val="00AA0E4A"/>
    <w:rsid w:val="00AA0E9C"/>
    <w:rsid w:val="00AA112B"/>
    <w:rsid w:val="00AA1478"/>
    <w:rsid w:val="00AA14CD"/>
    <w:rsid w:val="00AA1754"/>
    <w:rsid w:val="00AA180E"/>
    <w:rsid w:val="00AA183E"/>
    <w:rsid w:val="00AA1B06"/>
    <w:rsid w:val="00AA1B36"/>
    <w:rsid w:val="00AA1BD0"/>
    <w:rsid w:val="00AA1C3F"/>
    <w:rsid w:val="00AA1E64"/>
    <w:rsid w:val="00AA222B"/>
    <w:rsid w:val="00AA225E"/>
    <w:rsid w:val="00AA2A4A"/>
    <w:rsid w:val="00AA2B94"/>
    <w:rsid w:val="00AA2C03"/>
    <w:rsid w:val="00AA2DB4"/>
    <w:rsid w:val="00AA31DE"/>
    <w:rsid w:val="00AA33CB"/>
    <w:rsid w:val="00AA34E0"/>
    <w:rsid w:val="00AA35E5"/>
    <w:rsid w:val="00AA36AD"/>
    <w:rsid w:val="00AA38FB"/>
    <w:rsid w:val="00AA399E"/>
    <w:rsid w:val="00AA3B02"/>
    <w:rsid w:val="00AA3D14"/>
    <w:rsid w:val="00AA3D90"/>
    <w:rsid w:val="00AA3E2D"/>
    <w:rsid w:val="00AA3FCB"/>
    <w:rsid w:val="00AA4055"/>
    <w:rsid w:val="00AA4079"/>
    <w:rsid w:val="00AA41BE"/>
    <w:rsid w:val="00AA45A4"/>
    <w:rsid w:val="00AA489F"/>
    <w:rsid w:val="00AA48E7"/>
    <w:rsid w:val="00AA4AFF"/>
    <w:rsid w:val="00AA4B08"/>
    <w:rsid w:val="00AA4C2E"/>
    <w:rsid w:val="00AA4D5F"/>
    <w:rsid w:val="00AA5633"/>
    <w:rsid w:val="00AA5812"/>
    <w:rsid w:val="00AA5869"/>
    <w:rsid w:val="00AA5979"/>
    <w:rsid w:val="00AA5A05"/>
    <w:rsid w:val="00AA5C1F"/>
    <w:rsid w:val="00AA609B"/>
    <w:rsid w:val="00AA609E"/>
    <w:rsid w:val="00AA6144"/>
    <w:rsid w:val="00AA6333"/>
    <w:rsid w:val="00AA63CC"/>
    <w:rsid w:val="00AA64B7"/>
    <w:rsid w:val="00AA65F3"/>
    <w:rsid w:val="00AA6677"/>
    <w:rsid w:val="00AA6867"/>
    <w:rsid w:val="00AA6871"/>
    <w:rsid w:val="00AA6C59"/>
    <w:rsid w:val="00AA747B"/>
    <w:rsid w:val="00AA76D3"/>
    <w:rsid w:val="00AA77BA"/>
    <w:rsid w:val="00AA78E0"/>
    <w:rsid w:val="00AA799B"/>
    <w:rsid w:val="00AA79EC"/>
    <w:rsid w:val="00AA7B11"/>
    <w:rsid w:val="00AA7D98"/>
    <w:rsid w:val="00AA7DDE"/>
    <w:rsid w:val="00AA7E4A"/>
    <w:rsid w:val="00AB0015"/>
    <w:rsid w:val="00AB00C9"/>
    <w:rsid w:val="00AB0234"/>
    <w:rsid w:val="00AB04C9"/>
    <w:rsid w:val="00AB06E6"/>
    <w:rsid w:val="00AB07FD"/>
    <w:rsid w:val="00AB0923"/>
    <w:rsid w:val="00AB0946"/>
    <w:rsid w:val="00AB0A60"/>
    <w:rsid w:val="00AB0A72"/>
    <w:rsid w:val="00AB0ACC"/>
    <w:rsid w:val="00AB0C3D"/>
    <w:rsid w:val="00AB0E9A"/>
    <w:rsid w:val="00AB0F24"/>
    <w:rsid w:val="00AB0F40"/>
    <w:rsid w:val="00AB0F5C"/>
    <w:rsid w:val="00AB1165"/>
    <w:rsid w:val="00AB12F0"/>
    <w:rsid w:val="00AB13FE"/>
    <w:rsid w:val="00AB1705"/>
    <w:rsid w:val="00AB18F8"/>
    <w:rsid w:val="00AB18FA"/>
    <w:rsid w:val="00AB19DB"/>
    <w:rsid w:val="00AB1A68"/>
    <w:rsid w:val="00AB1A98"/>
    <w:rsid w:val="00AB1ACC"/>
    <w:rsid w:val="00AB2012"/>
    <w:rsid w:val="00AB2239"/>
    <w:rsid w:val="00AB232B"/>
    <w:rsid w:val="00AB23AD"/>
    <w:rsid w:val="00AB247E"/>
    <w:rsid w:val="00AB24A6"/>
    <w:rsid w:val="00AB26F8"/>
    <w:rsid w:val="00AB2876"/>
    <w:rsid w:val="00AB2DDB"/>
    <w:rsid w:val="00AB3065"/>
    <w:rsid w:val="00AB3111"/>
    <w:rsid w:val="00AB3184"/>
    <w:rsid w:val="00AB334D"/>
    <w:rsid w:val="00AB3456"/>
    <w:rsid w:val="00AB3504"/>
    <w:rsid w:val="00AB37F1"/>
    <w:rsid w:val="00AB39CE"/>
    <w:rsid w:val="00AB39E4"/>
    <w:rsid w:val="00AB3B6B"/>
    <w:rsid w:val="00AB3B8B"/>
    <w:rsid w:val="00AB3D1E"/>
    <w:rsid w:val="00AB3DF9"/>
    <w:rsid w:val="00AB3FBF"/>
    <w:rsid w:val="00AB402D"/>
    <w:rsid w:val="00AB4305"/>
    <w:rsid w:val="00AB437F"/>
    <w:rsid w:val="00AB45C5"/>
    <w:rsid w:val="00AB4960"/>
    <w:rsid w:val="00AB4A46"/>
    <w:rsid w:val="00AB4AAF"/>
    <w:rsid w:val="00AB4B1D"/>
    <w:rsid w:val="00AB4D7A"/>
    <w:rsid w:val="00AB4DB0"/>
    <w:rsid w:val="00AB4EDF"/>
    <w:rsid w:val="00AB4F49"/>
    <w:rsid w:val="00AB4FD6"/>
    <w:rsid w:val="00AB500F"/>
    <w:rsid w:val="00AB545E"/>
    <w:rsid w:val="00AB55DC"/>
    <w:rsid w:val="00AB5678"/>
    <w:rsid w:val="00AB585F"/>
    <w:rsid w:val="00AB586E"/>
    <w:rsid w:val="00AB588F"/>
    <w:rsid w:val="00AB59DF"/>
    <w:rsid w:val="00AB5BBB"/>
    <w:rsid w:val="00AB61D4"/>
    <w:rsid w:val="00AB61E3"/>
    <w:rsid w:val="00AB62C9"/>
    <w:rsid w:val="00AB6488"/>
    <w:rsid w:val="00AB661A"/>
    <w:rsid w:val="00AB6625"/>
    <w:rsid w:val="00AB6882"/>
    <w:rsid w:val="00AB6BD4"/>
    <w:rsid w:val="00AB6C4D"/>
    <w:rsid w:val="00AB6E1C"/>
    <w:rsid w:val="00AB6E55"/>
    <w:rsid w:val="00AB6F47"/>
    <w:rsid w:val="00AB6FF6"/>
    <w:rsid w:val="00AB70AB"/>
    <w:rsid w:val="00AB7384"/>
    <w:rsid w:val="00AB74FE"/>
    <w:rsid w:val="00AB76D3"/>
    <w:rsid w:val="00AB77FE"/>
    <w:rsid w:val="00AB78C9"/>
    <w:rsid w:val="00AB7A29"/>
    <w:rsid w:val="00AB7B2A"/>
    <w:rsid w:val="00AB7B78"/>
    <w:rsid w:val="00AB7CA5"/>
    <w:rsid w:val="00AB7E7C"/>
    <w:rsid w:val="00ABA9C4"/>
    <w:rsid w:val="00AC0073"/>
    <w:rsid w:val="00AC019C"/>
    <w:rsid w:val="00AC0271"/>
    <w:rsid w:val="00AC0415"/>
    <w:rsid w:val="00AC05FA"/>
    <w:rsid w:val="00AC0698"/>
    <w:rsid w:val="00AC06A5"/>
    <w:rsid w:val="00AC0921"/>
    <w:rsid w:val="00AC0A38"/>
    <w:rsid w:val="00AC0B0F"/>
    <w:rsid w:val="00AC0C7A"/>
    <w:rsid w:val="00AC0C91"/>
    <w:rsid w:val="00AC0D27"/>
    <w:rsid w:val="00AC0DDE"/>
    <w:rsid w:val="00AC0E6C"/>
    <w:rsid w:val="00AC0E84"/>
    <w:rsid w:val="00AC0EA5"/>
    <w:rsid w:val="00AC1096"/>
    <w:rsid w:val="00AC12B3"/>
    <w:rsid w:val="00AC12E6"/>
    <w:rsid w:val="00AC1387"/>
    <w:rsid w:val="00AC161E"/>
    <w:rsid w:val="00AC1A3B"/>
    <w:rsid w:val="00AC1B74"/>
    <w:rsid w:val="00AC1CC8"/>
    <w:rsid w:val="00AC20CA"/>
    <w:rsid w:val="00AC20FF"/>
    <w:rsid w:val="00AC21AB"/>
    <w:rsid w:val="00AC2329"/>
    <w:rsid w:val="00AC2442"/>
    <w:rsid w:val="00AC2481"/>
    <w:rsid w:val="00AC2563"/>
    <w:rsid w:val="00AC259A"/>
    <w:rsid w:val="00AC27C9"/>
    <w:rsid w:val="00AC2836"/>
    <w:rsid w:val="00AC2909"/>
    <w:rsid w:val="00AC298B"/>
    <w:rsid w:val="00AC2A48"/>
    <w:rsid w:val="00AC2D18"/>
    <w:rsid w:val="00AC2DBC"/>
    <w:rsid w:val="00AC2DF4"/>
    <w:rsid w:val="00AC2F7C"/>
    <w:rsid w:val="00AC3475"/>
    <w:rsid w:val="00AC368E"/>
    <w:rsid w:val="00AC373B"/>
    <w:rsid w:val="00AC385A"/>
    <w:rsid w:val="00AC38A0"/>
    <w:rsid w:val="00AC38EF"/>
    <w:rsid w:val="00AC3A25"/>
    <w:rsid w:val="00AC3A5D"/>
    <w:rsid w:val="00AC3AB4"/>
    <w:rsid w:val="00AC3B2A"/>
    <w:rsid w:val="00AC3C74"/>
    <w:rsid w:val="00AC3D02"/>
    <w:rsid w:val="00AC3D63"/>
    <w:rsid w:val="00AC4195"/>
    <w:rsid w:val="00AC4518"/>
    <w:rsid w:val="00AC45F3"/>
    <w:rsid w:val="00AC4673"/>
    <w:rsid w:val="00AC485D"/>
    <w:rsid w:val="00AC49E7"/>
    <w:rsid w:val="00AC4B23"/>
    <w:rsid w:val="00AC4D9B"/>
    <w:rsid w:val="00AC4E03"/>
    <w:rsid w:val="00AC4E6C"/>
    <w:rsid w:val="00AC4FF0"/>
    <w:rsid w:val="00AC4FFC"/>
    <w:rsid w:val="00AC50A4"/>
    <w:rsid w:val="00AC5114"/>
    <w:rsid w:val="00AC53F1"/>
    <w:rsid w:val="00AC55E0"/>
    <w:rsid w:val="00AC55FB"/>
    <w:rsid w:val="00AC563C"/>
    <w:rsid w:val="00AC56BB"/>
    <w:rsid w:val="00AC59F5"/>
    <w:rsid w:val="00AC5A1E"/>
    <w:rsid w:val="00AC5AE6"/>
    <w:rsid w:val="00AC5BB1"/>
    <w:rsid w:val="00AC5D2A"/>
    <w:rsid w:val="00AC5DB4"/>
    <w:rsid w:val="00AC5DC0"/>
    <w:rsid w:val="00AC5F1C"/>
    <w:rsid w:val="00AC5F8E"/>
    <w:rsid w:val="00AC5FF3"/>
    <w:rsid w:val="00AC604A"/>
    <w:rsid w:val="00AC631D"/>
    <w:rsid w:val="00AC63A8"/>
    <w:rsid w:val="00AC63CE"/>
    <w:rsid w:val="00AC6439"/>
    <w:rsid w:val="00AC659D"/>
    <w:rsid w:val="00AC684A"/>
    <w:rsid w:val="00AC6D40"/>
    <w:rsid w:val="00AC6E0F"/>
    <w:rsid w:val="00AC6E94"/>
    <w:rsid w:val="00AC7432"/>
    <w:rsid w:val="00AC7A21"/>
    <w:rsid w:val="00AC7A5A"/>
    <w:rsid w:val="00AC7B36"/>
    <w:rsid w:val="00AC7B88"/>
    <w:rsid w:val="00AC7DDA"/>
    <w:rsid w:val="00AC7E26"/>
    <w:rsid w:val="00AD0302"/>
    <w:rsid w:val="00AD046A"/>
    <w:rsid w:val="00AD075E"/>
    <w:rsid w:val="00AD0915"/>
    <w:rsid w:val="00AD0B12"/>
    <w:rsid w:val="00AD0B9F"/>
    <w:rsid w:val="00AD0BEB"/>
    <w:rsid w:val="00AD0E71"/>
    <w:rsid w:val="00AD10BC"/>
    <w:rsid w:val="00AD1148"/>
    <w:rsid w:val="00AD11B4"/>
    <w:rsid w:val="00AD11D5"/>
    <w:rsid w:val="00AD1629"/>
    <w:rsid w:val="00AD172C"/>
    <w:rsid w:val="00AD19AE"/>
    <w:rsid w:val="00AD1A82"/>
    <w:rsid w:val="00AD1C20"/>
    <w:rsid w:val="00AD1EAE"/>
    <w:rsid w:val="00AD2118"/>
    <w:rsid w:val="00AD221F"/>
    <w:rsid w:val="00AD244C"/>
    <w:rsid w:val="00AD2489"/>
    <w:rsid w:val="00AD2491"/>
    <w:rsid w:val="00AD250E"/>
    <w:rsid w:val="00AD26A5"/>
    <w:rsid w:val="00AD26B5"/>
    <w:rsid w:val="00AD26FA"/>
    <w:rsid w:val="00AD2763"/>
    <w:rsid w:val="00AD2836"/>
    <w:rsid w:val="00AD29FA"/>
    <w:rsid w:val="00AD2CDB"/>
    <w:rsid w:val="00AD2D14"/>
    <w:rsid w:val="00AD326A"/>
    <w:rsid w:val="00AD36FB"/>
    <w:rsid w:val="00AD3720"/>
    <w:rsid w:val="00AD3DE4"/>
    <w:rsid w:val="00AD40D5"/>
    <w:rsid w:val="00AD422F"/>
    <w:rsid w:val="00AD4370"/>
    <w:rsid w:val="00AD4611"/>
    <w:rsid w:val="00AD484B"/>
    <w:rsid w:val="00AD4A46"/>
    <w:rsid w:val="00AD4B1A"/>
    <w:rsid w:val="00AD4D13"/>
    <w:rsid w:val="00AD4D1D"/>
    <w:rsid w:val="00AD506D"/>
    <w:rsid w:val="00AD509C"/>
    <w:rsid w:val="00AD51D6"/>
    <w:rsid w:val="00AD52A2"/>
    <w:rsid w:val="00AD531A"/>
    <w:rsid w:val="00AD5499"/>
    <w:rsid w:val="00AD54E7"/>
    <w:rsid w:val="00AD561C"/>
    <w:rsid w:val="00AD5793"/>
    <w:rsid w:val="00AD57C8"/>
    <w:rsid w:val="00AD5A0C"/>
    <w:rsid w:val="00AD5AC2"/>
    <w:rsid w:val="00AD5D73"/>
    <w:rsid w:val="00AD5E4A"/>
    <w:rsid w:val="00AD619C"/>
    <w:rsid w:val="00AD61E5"/>
    <w:rsid w:val="00AD6205"/>
    <w:rsid w:val="00AD62ED"/>
    <w:rsid w:val="00AD6562"/>
    <w:rsid w:val="00AD677E"/>
    <w:rsid w:val="00AD679C"/>
    <w:rsid w:val="00AD686F"/>
    <w:rsid w:val="00AD68D8"/>
    <w:rsid w:val="00AD6B50"/>
    <w:rsid w:val="00AD6BBB"/>
    <w:rsid w:val="00AD6D1B"/>
    <w:rsid w:val="00AD6E80"/>
    <w:rsid w:val="00AD718F"/>
    <w:rsid w:val="00AD7206"/>
    <w:rsid w:val="00AD73A2"/>
    <w:rsid w:val="00AD73F9"/>
    <w:rsid w:val="00AD75F3"/>
    <w:rsid w:val="00AD7637"/>
    <w:rsid w:val="00AD775E"/>
    <w:rsid w:val="00AD7856"/>
    <w:rsid w:val="00AD7A6B"/>
    <w:rsid w:val="00AD7B93"/>
    <w:rsid w:val="00AD7C0C"/>
    <w:rsid w:val="00AD7E0D"/>
    <w:rsid w:val="00AD7EDA"/>
    <w:rsid w:val="00AD7F7A"/>
    <w:rsid w:val="00AE001B"/>
    <w:rsid w:val="00AE00BF"/>
    <w:rsid w:val="00AE0333"/>
    <w:rsid w:val="00AE0527"/>
    <w:rsid w:val="00AE0756"/>
    <w:rsid w:val="00AE07D3"/>
    <w:rsid w:val="00AE0933"/>
    <w:rsid w:val="00AE0972"/>
    <w:rsid w:val="00AE0CA8"/>
    <w:rsid w:val="00AE0E50"/>
    <w:rsid w:val="00AE0E7C"/>
    <w:rsid w:val="00AE1183"/>
    <w:rsid w:val="00AE12EE"/>
    <w:rsid w:val="00AE149F"/>
    <w:rsid w:val="00AE1767"/>
    <w:rsid w:val="00AE1864"/>
    <w:rsid w:val="00AE1AC2"/>
    <w:rsid w:val="00AE1BDD"/>
    <w:rsid w:val="00AE1F23"/>
    <w:rsid w:val="00AE209D"/>
    <w:rsid w:val="00AE2153"/>
    <w:rsid w:val="00AE21D5"/>
    <w:rsid w:val="00AE226A"/>
    <w:rsid w:val="00AE22A8"/>
    <w:rsid w:val="00AE292C"/>
    <w:rsid w:val="00AE2AF9"/>
    <w:rsid w:val="00AE2B0D"/>
    <w:rsid w:val="00AE304A"/>
    <w:rsid w:val="00AE3271"/>
    <w:rsid w:val="00AE3383"/>
    <w:rsid w:val="00AE3588"/>
    <w:rsid w:val="00AE3620"/>
    <w:rsid w:val="00AE3731"/>
    <w:rsid w:val="00AE3816"/>
    <w:rsid w:val="00AE392C"/>
    <w:rsid w:val="00AE3947"/>
    <w:rsid w:val="00AE3E37"/>
    <w:rsid w:val="00AE405D"/>
    <w:rsid w:val="00AE429A"/>
    <w:rsid w:val="00AE43C9"/>
    <w:rsid w:val="00AE45DE"/>
    <w:rsid w:val="00AE4848"/>
    <w:rsid w:val="00AE48A6"/>
    <w:rsid w:val="00AE4A00"/>
    <w:rsid w:val="00AE4ABE"/>
    <w:rsid w:val="00AE4B69"/>
    <w:rsid w:val="00AE4D2C"/>
    <w:rsid w:val="00AE4F31"/>
    <w:rsid w:val="00AE5198"/>
    <w:rsid w:val="00AE5269"/>
    <w:rsid w:val="00AE534F"/>
    <w:rsid w:val="00AE55BF"/>
    <w:rsid w:val="00AE55C8"/>
    <w:rsid w:val="00AE572A"/>
    <w:rsid w:val="00AE57C0"/>
    <w:rsid w:val="00AE57D0"/>
    <w:rsid w:val="00AE582A"/>
    <w:rsid w:val="00AE5830"/>
    <w:rsid w:val="00AE5854"/>
    <w:rsid w:val="00AE5C2F"/>
    <w:rsid w:val="00AE5DB5"/>
    <w:rsid w:val="00AE6095"/>
    <w:rsid w:val="00AE6193"/>
    <w:rsid w:val="00AE62B3"/>
    <w:rsid w:val="00AE63E3"/>
    <w:rsid w:val="00AE64DA"/>
    <w:rsid w:val="00AE65AB"/>
    <w:rsid w:val="00AE6600"/>
    <w:rsid w:val="00AE6819"/>
    <w:rsid w:val="00AE68A8"/>
    <w:rsid w:val="00AE6935"/>
    <w:rsid w:val="00AE69DC"/>
    <w:rsid w:val="00AE6A5B"/>
    <w:rsid w:val="00AE6CF5"/>
    <w:rsid w:val="00AE6EC4"/>
    <w:rsid w:val="00AE719D"/>
    <w:rsid w:val="00AE7457"/>
    <w:rsid w:val="00AE746B"/>
    <w:rsid w:val="00AE74BB"/>
    <w:rsid w:val="00AE7659"/>
    <w:rsid w:val="00AE7676"/>
    <w:rsid w:val="00AE76B4"/>
    <w:rsid w:val="00AE77B4"/>
    <w:rsid w:val="00AE7996"/>
    <w:rsid w:val="00AE7A7B"/>
    <w:rsid w:val="00AE7B16"/>
    <w:rsid w:val="00AE7D78"/>
    <w:rsid w:val="00AF0088"/>
    <w:rsid w:val="00AF0649"/>
    <w:rsid w:val="00AF0955"/>
    <w:rsid w:val="00AF0DA0"/>
    <w:rsid w:val="00AF0DC1"/>
    <w:rsid w:val="00AF0E2C"/>
    <w:rsid w:val="00AF0F22"/>
    <w:rsid w:val="00AF1098"/>
    <w:rsid w:val="00AF111A"/>
    <w:rsid w:val="00AF1381"/>
    <w:rsid w:val="00AF13CE"/>
    <w:rsid w:val="00AF140E"/>
    <w:rsid w:val="00AF1464"/>
    <w:rsid w:val="00AF17EE"/>
    <w:rsid w:val="00AF1873"/>
    <w:rsid w:val="00AF1A57"/>
    <w:rsid w:val="00AF1FA0"/>
    <w:rsid w:val="00AF21E6"/>
    <w:rsid w:val="00AF231E"/>
    <w:rsid w:val="00AF23BC"/>
    <w:rsid w:val="00AF25A3"/>
    <w:rsid w:val="00AF25E9"/>
    <w:rsid w:val="00AF260C"/>
    <w:rsid w:val="00AF27CA"/>
    <w:rsid w:val="00AF2941"/>
    <w:rsid w:val="00AF297F"/>
    <w:rsid w:val="00AF2E55"/>
    <w:rsid w:val="00AF2E5C"/>
    <w:rsid w:val="00AF2F26"/>
    <w:rsid w:val="00AF2F8A"/>
    <w:rsid w:val="00AF3096"/>
    <w:rsid w:val="00AF3190"/>
    <w:rsid w:val="00AF31E3"/>
    <w:rsid w:val="00AF32D1"/>
    <w:rsid w:val="00AF33E7"/>
    <w:rsid w:val="00AF3472"/>
    <w:rsid w:val="00AF366C"/>
    <w:rsid w:val="00AF376A"/>
    <w:rsid w:val="00AF3857"/>
    <w:rsid w:val="00AF3895"/>
    <w:rsid w:val="00AF38F6"/>
    <w:rsid w:val="00AF3B12"/>
    <w:rsid w:val="00AF3B8E"/>
    <w:rsid w:val="00AF3EAA"/>
    <w:rsid w:val="00AF409F"/>
    <w:rsid w:val="00AF422C"/>
    <w:rsid w:val="00AF4356"/>
    <w:rsid w:val="00AF4509"/>
    <w:rsid w:val="00AF4595"/>
    <w:rsid w:val="00AF4794"/>
    <w:rsid w:val="00AF4952"/>
    <w:rsid w:val="00AF4A40"/>
    <w:rsid w:val="00AF4AD8"/>
    <w:rsid w:val="00AF4BD6"/>
    <w:rsid w:val="00AF4C9A"/>
    <w:rsid w:val="00AF4CB5"/>
    <w:rsid w:val="00AF4D52"/>
    <w:rsid w:val="00AF54D7"/>
    <w:rsid w:val="00AF556E"/>
    <w:rsid w:val="00AF5944"/>
    <w:rsid w:val="00AF5A58"/>
    <w:rsid w:val="00AF5A92"/>
    <w:rsid w:val="00AF5B09"/>
    <w:rsid w:val="00AF5BBA"/>
    <w:rsid w:val="00AF5C56"/>
    <w:rsid w:val="00AF5CFE"/>
    <w:rsid w:val="00AF5E5E"/>
    <w:rsid w:val="00AF604A"/>
    <w:rsid w:val="00AF6123"/>
    <w:rsid w:val="00AF61F5"/>
    <w:rsid w:val="00AF62D6"/>
    <w:rsid w:val="00AF6488"/>
    <w:rsid w:val="00AF6671"/>
    <w:rsid w:val="00AF6682"/>
    <w:rsid w:val="00AF68D8"/>
    <w:rsid w:val="00AF694D"/>
    <w:rsid w:val="00AF6A2F"/>
    <w:rsid w:val="00AF6B1A"/>
    <w:rsid w:val="00AF7062"/>
    <w:rsid w:val="00AF71AB"/>
    <w:rsid w:val="00AF722B"/>
    <w:rsid w:val="00AF728D"/>
    <w:rsid w:val="00AF73F8"/>
    <w:rsid w:val="00AF741B"/>
    <w:rsid w:val="00AF744B"/>
    <w:rsid w:val="00AF7462"/>
    <w:rsid w:val="00AF76F2"/>
    <w:rsid w:val="00AF7740"/>
    <w:rsid w:val="00AF7805"/>
    <w:rsid w:val="00AF785C"/>
    <w:rsid w:val="00AF7A1B"/>
    <w:rsid w:val="00AF7CF8"/>
    <w:rsid w:val="00AF7D2E"/>
    <w:rsid w:val="00AF7DCB"/>
    <w:rsid w:val="00AF7ECA"/>
    <w:rsid w:val="00AF7F39"/>
    <w:rsid w:val="00AF7F5A"/>
    <w:rsid w:val="00B00097"/>
    <w:rsid w:val="00B001AC"/>
    <w:rsid w:val="00B002E8"/>
    <w:rsid w:val="00B003F5"/>
    <w:rsid w:val="00B00611"/>
    <w:rsid w:val="00B00689"/>
    <w:rsid w:val="00B006CD"/>
    <w:rsid w:val="00B00C63"/>
    <w:rsid w:val="00B00C6A"/>
    <w:rsid w:val="00B00D41"/>
    <w:rsid w:val="00B00E55"/>
    <w:rsid w:val="00B00E72"/>
    <w:rsid w:val="00B00FAD"/>
    <w:rsid w:val="00B01143"/>
    <w:rsid w:val="00B0139A"/>
    <w:rsid w:val="00B013A3"/>
    <w:rsid w:val="00B014D0"/>
    <w:rsid w:val="00B015C5"/>
    <w:rsid w:val="00B015EF"/>
    <w:rsid w:val="00B018EE"/>
    <w:rsid w:val="00B0198C"/>
    <w:rsid w:val="00B01AAE"/>
    <w:rsid w:val="00B01B5D"/>
    <w:rsid w:val="00B01B8D"/>
    <w:rsid w:val="00B01BEB"/>
    <w:rsid w:val="00B01DB4"/>
    <w:rsid w:val="00B01F55"/>
    <w:rsid w:val="00B01F60"/>
    <w:rsid w:val="00B01FF5"/>
    <w:rsid w:val="00B02164"/>
    <w:rsid w:val="00B021D0"/>
    <w:rsid w:val="00B02248"/>
    <w:rsid w:val="00B0224B"/>
    <w:rsid w:val="00B023B3"/>
    <w:rsid w:val="00B02B23"/>
    <w:rsid w:val="00B02BCC"/>
    <w:rsid w:val="00B02DBA"/>
    <w:rsid w:val="00B0310B"/>
    <w:rsid w:val="00B03202"/>
    <w:rsid w:val="00B03227"/>
    <w:rsid w:val="00B03350"/>
    <w:rsid w:val="00B0378B"/>
    <w:rsid w:val="00B03862"/>
    <w:rsid w:val="00B03A1A"/>
    <w:rsid w:val="00B03A85"/>
    <w:rsid w:val="00B03BCD"/>
    <w:rsid w:val="00B040D6"/>
    <w:rsid w:val="00B0416A"/>
    <w:rsid w:val="00B0432B"/>
    <w:rsid w:val="00B04488"/>
    <w:rsid w:val="00B04540"/>
    <w:rsid w:val="00B04633"/>
    <w:rsid w:val="00B04748"/>
    <w:rsid w:val="00B04854"/>
    <w:rsid w:val="00B04CA9"/>
    <w:rsid w:val="00B04D49"/>
    <w:rsid w:val="00B04E87"/>
    <w:rsid w:val="00B05271"/>
    <w:rsid w:val="00B055A1"/>
    <w:rsid w:val="00B055F3"/>
    <w:rsid w:val="00B0588C"/>
    <w:rsid w:val="00B05935"/>
    <w:rsid w:val="00B05984"/>
    <w:rsid w:val="00B05B18"/>
    <w:rsid w:val="00B05F66"/>
    <w:rsid w:val="00B0629B"/>
    <w:rsid w:val="00B063BA"/>
    <w:rsid w:val="00B0645F"/>
    <w:rsid w:val="00B06537"/>
    <w:rsid w:val="00B066C2"/>
    <w:rsid w:val="00B069ED"/>
    <w:rsid w:val="00B06A18"/>
    <w:rsid w:val="00B06A75"/>
    <w:rsid w:val="00B06F6A"/>
    <w:rsid w:val="00B0756D"/>
    <w:rsid w:val="00B077B0"/>
    <w:rsid w:val="00B079FD"/>
    <w:rsid w:val="00B07A34"/>
    <w:rsid w:val="00B07B33"/>
    <w:rsid w:val="00B07D4D"/>
    <w:rsid w:val="00B07E62"/>
    <w:rsid w:val="00B100F1"/>
    <w:rsid w:val="00B1010E"/>
    <w:rsid w:val="00B1033A"/>
    <w:rsid w:val="00B10646"/>
    <w:rsid w:val="00B10865"/>
    <w:rsid w:val="00B108BF"/>
    <w:rsid w:val="00B10923"/>
    <w:rsid w:val="00B10A09"/>
    <w:rsid w:val="00B10B54"/>
    <w:rsid w:val="00B10C9A"/>
    <w:rsid w:val="00B10CDD"/>
    <w:rsid w:val="00B10F77"/>
    <w:rsid w:val="00B10FF4"/>
    <w:rsid w:val="00B1100F"/>
    <w:rsid w:val="00B1111B"/>
    <w:rsid w:val="00B1142D"/>
    <w:rsid w:val="00B1176B"/>
    <w:rsid w:val="00B1185E"/>
    <w:rsid w:val="00B11910"/>
    <w:rsid w:val="00B11962"/>
    <w:rsid w:val="00B11BCE"/>
    <w:rsid w:val="00B11BF6"/>
    <w:rsid w:val="00B11D96"/>
    <w:rsid w:val="00B11F6D"/>
    <w:rsid w:val="00B11FDD"/>
    <w:rsid w:val="00B125AE"/>
    <w:rsid w:val="00B12963"/>
    <w:rsid w:val="00B12D55"/>
    <w:rsid w:val="00B12E2C"/>
    <w:rsid w:val="00B12E47"/>
    <w:rsid w:val="00B1318B"/>
    <w:rsid w:val="00B1350A"/>
    <w:rsid w:val="00B13576"/>
    <w:rsid w:val="00B136BD"/>
    <w:rsid w:val="00B13772"/>
    <w:rsid w:val="00B13B75"/>
    <w:rsid w:val="00B13C57"/>
    <w:rsid w:val="00B13C8C"/>
    <w:rsid w:val="00B13EFB"/>
    <w:rsid w:val="00B13F01"/>
    <w:rsid w:val="00B13F3B"/>
    <w:rsid w:val="00B13FBE"/>
    <w:rsid w:val="00B1412B"/>
    <w:rsid w:val="00B14394"/>
    <w:rsid w:val="00B144F7"/>
    <w:rsid w:val="00B14879"/>
    <w:rsid w:val="00B14AB7"/>
    <w:rsid w:val="00B14AD2"/>
    <w:rsid w:val="00B14CE5"/>
    <w:rsid w:val="00B14DC0"/>
    <w:rsid w:val="00B14F7B"/>
    <w:rsid w:val="00B14F8F"/>
    <w:rsid w:val="00B154F9"/>
    <w:rsid w:val="00B15660"/>
    <w:rsid w:val="00B15877"/>
    <w:rsid w:val="00B159D6"/>
    <w:rsid w:val="00B159F9"/>
    <w:rsid w:val="00B15A37"/>
    <w:rsid w:val="00B15D19"/>
    <w:rsid w:val="00B15D1C"/>
    <w:rsid w:val="00B16234"/>
    <w:rsid w:val="00B163FF"/>
    <w:rsid w:val="00B16463"/>
    <w:rsid w:val="00B1670B"/>
    <w:rsid w:val="00B1686D"/>
    <w:rsid w:val="00B16878"/>
    <w:rsid w:val="00B168A4"/>
    <w:rsid w:val="00B1694D"/>
    <w:rsid w:val="00B16A48"/>
    <w:rsid w:val="00B16A9A"/>
    <w:rsid w:val="00B16C9E"/>
    <w:rsid w:val="00B16E90"/>
    <w:rsid w:val="00B16EC3"/>
    <w:rsid w:val="00B1749A"/>
    <w:rsid w:val="00B1765A"/>
    <w:rsid w:val="00B17900"/>
    <w:rsid w:val="00B17998"/>
    <w:rsid w:val="00B17B69"/>
    <w:rsid w:val="00B17B83"/>
    <w:rsid w:val="00B17E72"/>
    <w:rsid w:val="00B17F63"/>
    <w:rsid w:val="00B20055"/>
    <w:rsid w:val="00B2016C"/>
    <w:rsid w:val="00B20226"/>
    <w:rsid w:val="00B202A9"/>
    <w:rsid w:val="00B2058D"/>
    <w:rsid w:val="00B20637"/>
    <w:rsid w:val="00B20755"/>
    <w:rsid w:val="00B2077C"/>
    <w:rsid w:val="00B207D0"/>
    <w:rsid w:val="00B20919"/>
    <w:rsid w:val="00B20B4B"/>
    <w:rsid w:val="00B20B54"/>
    <w:rsid w:val="00B20CA6"/>
    <w:rsid w:val="00B20CDD"/>
    <w:rsid w:val="00B2129C"/>
    <w:rsid w:val="00B2131D"/>
    <w:rsid w:val="00B214EC"/>
    <w:rsid w:val="00B21517"/>
    <w:rsid w:val="00B215BD"/>
    <w:rsid w:val="00B216BA"/>
    <w:rsid w:val="00B21809"/>
    <w:rsid w:val="00B21861"/>
    <w:rsid w:val="00B2193A"/>
    <w:rsid w:val="00B21A4E"/>
    <w:rsid w:val="00B21D6B"/>
    <w:rsid w:val="00B21DE7"/>
    <w:rsid w:val="00B21F39"/>
    <w:rsid w:val="00B22504"/>
    <w:rsid w:val="00B228AB"/>
    <w:rsid w:val="00B22915"/>
    <w:rsid w:val="00B22B8B"/>
    <w:rsid w:val="00B22B99"/>
    <w:rsid w:val="00B22D0F"/>
    <w:rsid w:val="00B23059"/>
    <w:rsid w:val="00B2309B"/>
    <w:rsid w:val="00B235F3"/>
    <w:rsid w:val="00B2364A"/>
    <w:rsid w:val="00B2376E"/>
    <w:rsid w:val="00B23AA9"/>
    <w:rsid w:val="00B23CA2"/>
    <w:rsid w:val="00B23D99"/>
    <w:rsid w:val="00B23E07"/>
    <w:rsid w:val="00B241C6"/>
    <w:rsid w:val="00B24692"/>
    <w:rsid w:val="00B246C5"/>
    <w:rsid w:val="00B24823"/>
    <w:rsid w:val="00B248FE"/>
    <w:rsid w:val="00B24A76"/>
    <w:rsid w:val="00B24A96"/>
    <w:rsid w:val="00B24AD7"/>
    <w:rsid w:val="00B24B86"/>
    <w:rsid w:val="00B24CD6"/>
    <w:rsid w:val="00B24E4C"/>
    <w:rsid w:val="00B25453"/>
    <w:rsid w:val="00B25AE8"/>
    <w:rsid w:val="00B25BC1"/>
    <w:rsid w:val="00B25C81"/>
    <w:rsid w:val="00B25F83"/>
    <w:rsid w:val="00B260D5"/>
    <w:rsid w:val="00B26169"/>
    <w:rsid w:val="00B2629A"/>
    <w:rsid w:val="00B262AF"/>
    <w:rsid w:val="00B26393"/>
    <w:rsid w:val="00B263FE"/>
    <w:rsid w:val="00B26461"/>
    <w:rsid w:val="00B2654C"/>
    <w:rsid w:val="00B26572"/>
    <w:rsid w:val="00B265A0"/>
    <w:rsid w:val="00B265CF"/>
    <w:rsid w:val="00B2672D"/>
    <w:rsid w:val="00B268FE"/>
    <w:rsid w:val="00B2698A"/>
    <w:rsid w:val="00B269BA"/>
    <w:rsid w:val="00B26AF9"/>
    <w:rsid w:val="00B26BFB"/>
    <w:rsid w:val="00B26C8D"/>
    <w:rsid w:val="00B26DDD"/>
    <w:rsid w:val="00B26F62"/>
    <w:rsid w:val="00B26F84"/>
    <w:rsid w:val="00B274E1"/>
    <w:rsid w:val="00B27670"/>
    <w:rsid w:val="00B27819"/>
    <w:rsid w:val="00B27820"/>
    <w:rsid w:val="00B27857"/>
    <w:rsid w:val="00B27B3F"/>
    <w:rsid w:val="00B27B69"/>
    <w:rsid w:val="00B27D8E"/>
    <w:rsid w:val="00B27DE8"/>
    <w:rsid w:val="00B27F60"/>
    <w:rsid w:val="00B303D4"/>
    <w:rsid w:val="00B3042B"/>
    <w:rsid w:val="00B305BA"/>
    <w:rsid w:val="00B30682"/>
    <w:rsid w:val="00B30808"/>
    <w:rsid w:val="00B30899"/>
    <w:rsid w:val="00B30B16"/>
    <w:rsid w:val="00B30B7B"/>
    <w:rsid w:val="00B30D00"/>
    <w:rsid w:val="00B30D8A"/>
    <w:rsid w:val="00B30DCD"/>
    <w:rsid w:val="00B30FC8"/>
    <w:rsid w:val="00B3119D"/>
    <w:rsid w:val="00B311AF"/>
    <w:rsid w:val="00B31373"/>
    <w:rsid w:val="00B31436"/>
    <w:rsid w:val="00B316CA"/>
    <w:rsid w:val="00B317EC"/>
    <w:rsid w:val="00B3185A"/>
    <w:rsid w:val="00B31B74"/>
    <w:rsid w:val="00B31C35"/>
    <w:rsid w:val="00B31F62"/>
    <w:rsid w:val="00B32194"/>
    <w:rsid w:val="00B321C9"/>
    <w:rsid w:val="00B322B2"/>
    <w:rsid w:val="00B3264D"/>
    <w:rsid w:val="00B32755"/>
    <w:rsid w:val="00B32ACA"/>
    <w:rsid w:val="00B32BB6"/>
    <w:rsid w:val="00B32BDB"/>
    <w:rsid w:val="00B32FA0"/>
    <w:rsid w:val="00B330CA"/>
    <w:rsid w:val="00B3316F"/>
    <w:rsid w:val="00B33225"/>
    <w:rsid w:val="00B333B7"/>
    <w:rsid w:val="00B335FE"/>
    <w:rsid w:val="00B337FB"/>
    <w:rsid w:val="00B33D0F"/>
    <w:rsid w:val="00B33DD9"/>
    <w:rsid w:val="00B340F0"/>
    <w:rsid w:val="00B3459F"/>
    <w:rsid w:val="00B345AA"/>
    <w:rsid w:val="00B34630"/>
    <w:rsid w:val="00B346B7"/>
    <w:rsid w:val="00B3477B"/>
    <w:rsid w:val="00B34ABA"/>
    <w:rsid w:val="00B34B33"/>
    <w:rsid w:val="00B34BDF"/>
    <w:rsid w:val="00B34D27"/>
    <w:rsid w:val="00B34DB7"/>
    <w:rsid w:val="00B34E00"/>
    <w:rsid w:val="00B34E34"/>
    <w:rsid w:val="00B34FC3"/>
    <w:rsid w:val="00B350C8"/>
    <w:rsid w:val="00B35109"/>
    <w:rsid w:val="00B3511E"/>
    <w:rsid w:val="00B351A9"/>
    <w:rsid w:val="00B35281"/>
    <w:rsid w:val="00B3543A"/>
    <w:rsid w:val="00B354F6"/>
    <w:rsid w:val="00B356DF"/>
    <w:rsid w:val="00B356EF"/>
    <w:rsid w:val="00B35829"/>
    <w:rsid w:val="00B35831"/>
    <w:rsid w:val="00B358C1"/>
    <w:rsid w:val="00B358FE"/>
    <w:rsid w:val="00B35A13"/>
    <w:rsid w:val="00B35FE2"/>
    <w:rsid w:val="00B360A9"/>
    <w:rsid w:val="00B360AB"/>
    <w:rsid w:val="00B36711"/>
    <w:rsid w:val="00B367D0"/>
    <w:rsid w:val="00B36D3B"/>
    <w:rsid w:val="00B36FDE"/>
    <w:rsid w:val="00B37002"/>
    <w:rsid w:val="00B37434"/>
    <w:rsid w:val="00B37628"/>
    <w:rsid w:val="00B37641"/>
    <w:rsid w:val="00B37845"/>
    <w:rsid w:val="00B378A1"/>
    <w:rsid w:val="00B37967"/>
    <w:rsid w:val="00B379A0"/>
    <w:rsid w:val="00B37B02"/>
    <w:rsid w:val="00B37BB1"/>
    <w:rsid w:val="00B37C91"/>
    <w:rsid w:val="00B37CCB"/>
    <w:rsid w:val="00B37D41"/>
    <w:rsid w:val="00B37D64"/>
    <w:rsid w:val="00B37F52"/>
    <w:rsid w:val="00B4002C"/>
    <w:rsid w:val="00B40250"/>
    <w:rsid w:val="00B4033C"/>
    <w:rsid w:val="00B40520"/>
    <w:rsid w:val="00B40536"/>
    <w:rsid w:val="00B409BC"/>
    <w:rsid w:val="00B409CB"/>
    <w:rsid w:val="00B40EEA"/>
    <w:rsid w:val="00B40FA0"/>
    <w:rsid w:val="00B41022"/>
    <w:rsid w:val="00B41196"/>
    <w:rsid w:val="00B4126E"/>
    <w:rsid w:val="00B41383"/>
    <w:rsid w:val="00B415A2"/>
    <w:rsid w:val="00B41769"/>
    <w:rsid w:val="00B418E0"/>
    <w:rsid w:val="00B41AC5"/>
    <w:rsid w:val="00B41BFF"/>
    <w:rsid w:val="00B41DAD"/>
    <w:rsid w:val="00B41E86"/>
    <w:rsid w:val="00B423FE"/>
    <w:rsid w:val="00B42675"/>
    <w:rsid w:val="00B427DF"/>
    <w:rsid w:val="00B42952"/>
    <w:rsid w:val="00B42967"/>
    <w:rsid w:val="00B42D10"/>
    <w:rsid w:val="00B42EB1"/>
    <w:rsid w:val="00B43103"/>
    <w:rsid w:val="00B432A3"/>
    <w:rsid w:val="00B435D2"/>
    <w:rsid w:val="00B43624"/>
    <w:rsid w:val="00B43680"/>
    <w:rsid w:val="00B436EC"/>
    <w:rsid w:val="00B43816"/>
    <w:rsid w:val="00B4385B"/>
    <w:rsid w:val="00B43C35"/>
    <w:rsid w:val="00B43D41"/>
    <w:rsid w:val="00B4400C"/>
    <w:rsid w:val="00B44163"/>
    <w:rsid w:val="00B443B7"/>
    <w:rsid w:val="00B44440"/>
    <w:rsid w:val="00B44688"/>
    <w:rsid w:val="00B4487C"/>
    <w:rsid w:val="00B448D5"/>
    <w:rsid w:val="00B44995"/>
    <w:rsid w:val="00B44B9F"/>
    <w:rsid w:val="00B44C48"/>
    <w:rsid w:val="00B44FC5"/>
    <w:rsid w:val="00B450C5"/>
    <w:rsid w:val="00B451C9"/>
    <w:rsid w:val="00B451DB"/>
    <w:rsid w:val="00B4522D"/>
    <w:rsid w:val="00B4527B"/>
    <w:rsid w:val="00B454D6"/>
    <w:rsid w:val="00B45505"/>
    <w:rsid w:val="00B45669"/>
    <w:rsid w:val="00B458C6"/>
    <w:rsid w:val="00B4599F"/>
    <w:rsid w:val="00B45AD8"/>
    <w:rsid w:val="00B45AEA"/>
    <w:rsid w:val="00B45B79"/>
    <w:rsid w:val="00B45FCD"/>
    <w:rsid w:val="00B460F7"/>
    <w:rsid w:val="00B4614A"/>
    <w:rsid w:val="00B46697"/>
    <w:rsid w:val="00B467F7"/>
    <w:rsid w:val="00B4686C"/>
    <w:rsid w:val="00B468F0"/>
    <w:rsid w:val="00B46C2F"/>
    <w:rsid w:val="00B46D88"/>
    <w:rsid w:val="00B46E05"/>
    <w:rsid w:val="00B46E3F"/>
    <w:rsid w:val="00B46F5A"/>
    <w:rsid w:val="00B470F2"/>
    <w:rsid w:val="00B470FA"/>
    <w:rsid w:val="00B47223"/>
    <w:rsid w:val="00B4739E"/>
    <w:rsid w:val="00B4756F"/>
    <w:rsid w:val="00B47645"/>
    <w:rsid w:val="00B47900"/>
    <w:rsid w:val="00B47963"/>
    <w:rsid w:val="00B47A03"/>
    <w:rsid w:val="00B47AA6"/>
    <w:rsid w:val="00B47B1D"/>
    <w:rsid w:val="00B47B62"/>
    <w:rsid w:val="00B47CDF"/>
    <w:rsid w:val="00B47D06"/>
    <w:rsid w:val="00B47DDD"/>
    <w:rsid w:val="00B47E31"/>
    <w:rsid w:val="00B47E62"/>
    <w:rsid w:val="00B498D0"/>
    <w:rsid w:val="00B5012D"/>
    <w:rsid w:val="00B5042E"/>
    <w:rsid w:val="00B50520"/>
    <w:rsid w:val="00B50BA1"/>
    <w:rsid w:val="00B50C01"/>
    <w:rsid w:val="00B50EC2"/>
    <w:rsid w:val="00B50F82"/>
    <w:rsid w:val="00B5101E"/>
    <w:rsid w:val="00B51083"/>
    <w:rsid w:val="00B510C0"/>
    <w:rsid w:val="00B51122"/>
    <w:rsid w:val="00B5126F"/>
    <w:rsid w:val="00B5129F"/>
    <w:rsid w:val="00B512DE"/>
    <w:rsid w:val="00B5141E"/>
    <w:rsid w:val="00B51430"/>
    <w:rsid w:val="00B514D7"/>
    <w:rsid w:val="00B51841"/>
    <w:rsid w:val="00B51901"/>
    <w:rsid w:val="00B51C01"/>
    <w:rsid w:val="00B51E9E"/>
    <w:rsid w:val="00B5201A"/>
    <w:rsid w:val="00B52052"/>
    <w:rsid w:val="00B521E6"/>
    <w:rsid w:val="00B52420"/>
    <w:rsid w:val="00B52555"/>
    <w:rsid w:val="00B52975"/>
    <w:rsid w:val="00B529C1"/>
    <w:rsid w:val="00B52C21"/>
    <w:rsid w:val="00B52D1C"/>
    <w:rsid w:val="00B52DB2"/>
    <w:rsid w:val="00B52F73"/>
    <w:rsid w:val="00B5300B"/>
    <w:rsid w:val="00B530EC"/>
    <w:rsid w:val="00B531D9"/>
    <w:rsid w:val="00B53305"/>
    <w:rsid w:val="00B53311"/>
    <w:rsid w:val="00B53357"/>
    <w:rsid w:val="00B533FA"/>
    <w:rsid w:val="00B5341B"/>
    <w:rsid w:val="00B534C1"/>
    <w:rsid w:val="00B53506"/>
    <w:rsid w:val="00B5354D"/>
    <w:rsid w:val="00B535D3"/>
    <w:rsid w:val="00B535DF"/>
    <w:rsid w:val="00B53735"/>
    <w:rsid w:val="00B5397F"/>
    <w:rsid w:val="00B53C19"/>
    <w:rsid w:val="00B53C97"/>
    <w:rsid w:val="00B53FEA"/>
    <w:rsid w:val="00B5420F"/>
    <w:rsid w:val="00B542AD"/>
    <w:rsid w:val="00B5443A"/>
    <w:rsid w:val="00B545B7"/>
    <w:rsid w:val="00B545BB"/>
    <w:rsid w:val="00B54B05"/>
    <w:rsid w:val="00B54B1E"/>
    <w:rsid w:val="00B54B8C"/>
    <w:rsid w:val="00B54BB2"/>
    <w:rsid w:val="00B54E2D"/>
    <w:rsid w:val="00B54EB6"/>
    <w:rsid w:val="00B550DB"/>
    <w:rsid w:val="00B551A9"/>
    <w:rsid w:val="00B5522F"/>
    <w:rsid w:val="00B552E2"/>
    <w:rsid w:val="00B55306"/>
    <w:rsid w:val="00B55539"/>
    <w:rsid w:val="00B5561B"/>
    <w:rsid w:val="00B55650"/>
    <w:rsid w:val="00B55735"/>
    <w:rsid w:val="00B557D5"/>
    <w:rsid w:val="00B55856"/>
    <w:rsid w:val="00B55889"/>
    <w:rsid w:val="00B558C9"/>
    <w:rsid w:val="00B55A7A"/>
    <w:rsid w:val="00B55BB1"/>
    <w:rsid w:val="00B55CF8"/>
    <w:rsid w:val="00B55EDF"/>
    <w:rsid w:val="00B55EE1"/>
    <w:rsid w:val="00B55F74"/>
    <w:rsid w:val="00B56079"/>
    <w:rsid w:val="00B56351"/>
    <w:rsid w:val="00B563DF"/>
    <w:rsid w:val="00B565BE"/>
    <w:rsid w:val="00B5662E"/>
    <w:rsid w:val="00B56A91"/>
    <w:rsid w:val="00B56AF6"/>
    <w:rsid w:val="00B56BBD"/>
    <w:rsid w:val="00B56C92"/>
    <w:rsid w:val="00B56DCF"/>
    <w:rsid w:val="00B56F2E"/>
    <w:rsid w:val="00B57008"/>
    <w:rsid w:val="00B571AC"/>
    <w:rsid w:val="00B57505"/>
    <w:rsid w:val="00B57575"/>
    <w:rsid w:val="00B575CD"/>
    <w:rsid w:val="00B57A80"/>
    <w:rsid w:val="00B57AD2"/>
    <w:rsid w:val="00B57B63"/>
    <w:rsid w:val="00B57B78"/>
    <w:rsid w:val="00B57B79"/>
    <w:rsid w:val="00B57B92"/>
    <w:rsid w:val="00B57FAA"/>
    <w:rsid w:val="00B57FC8"/>
    <w:rsid w:val="00B60232"/>
    <w:rsid w:val="00B605C8"/>
    <w:rsid w:val="00B6067D"/>
    <w:rsid w:val="00B606F5"/>
    <w:rsid w:val="00B60747"/>
    <w:rsid w:val="00B60994"/>
    <w:rsid w:val="00B60BE7"/>
    <w:rsid w:val="00B60C57"/>
    <w:rsid w:val="00B60C5C"/>
    <w:rsid w:val="00B60D5D"/>
    <w:rsid w:val="00B60D8A"/>
    <w:rsid w:val="00B60EE3"/>
    <w:rsid w:val="00B60F7E"/>
    <w:rsid w:val="00B6123B"/>
    <w:rsid w:val="00B61E5D"/>
    <w:rsid w:val="00B62221"/>
    <w:rsid w:val="00B6232F"/>
    <w:rsid w:val="00B6239E"/>
    <w:rsid w:val="00B628A2"/>
    <w:rsid w:val="00B62A56"/>
    <w:rsid w:val="00B62B9B"/>
    <w:rsid w:val="00B62BC8"/>
    <w:rsid w:val="00B62C19"/>
    <w:rsid w:val="00B62E96"/>
    <w:rsid w:val="00B62EC9"/>
    <w:rsid w:val="00B62EEA"/>
    <w:rsid w:val="00B631EA"/>
    <w:rsid w:val="00B63297"/>
    <w:rsid w:val="00B63512"/>
    <w:rsid w:val="00B6354F"/>
    <w:rsid w:val="00B63AC8"/>
    <w:rsid w:val="00B63B7E"/>
    <w:rsid w:val="00B63C21"/>
    <w:rsid w:val="00B63EE3"/>
    <w:rsid w:val="00B63F41"/>
    <w:rsid w:val="00B64600"/>
    <w:rsid w:val="00B64940"/>
    <w:rsid w:val="00B64AAD"/>
    <w:rsid w:val="00B64B71"/>
    <w:rsid w:val="00B64E3B"/>
    <w:rsid w:val="00B64E6A"/>
    <w:rsid w:val="00B64F4C"/>
    <w:rsid w:val="00B64F55"/>
    <w:rsid w:val="00B65034"/>
    <w:rsid w:val="00B65257"/>
    <w:rsid w:val="00B65342"/>
    <w:rsid w:val="00B65349"/>
    <w:rsid w:val="00B65355"/>
    <w:rsid w:val="00B65A60"/>
    <w:rsid w:val="00B65A68"/>
    <w:rsid w:val="00B65A6F"/>
    <w:rsid w:val="00B65AD1"/>
    <w:rsid w:val="00B65B5B"/>
    <w:rsid w:val="00B65E51"/>
    <w:rsid w:val="00B65E52"/>
    <w:rsid w:val="00B660A3"/>
    <w:rsid w:val="00B6612F"/>
    <w:rsid w:val="00B66215"/>
    <w:rsid w:val="00B6661E"/>
    <w:rsid w:val="00B66646"/>
    <w:rsid w:val="00B6677B"/>
    <w:rsid w:val="00B6680B"/>
    <w:rsid w:val="00B66829"/>
    <w:rsid w:val="00B668AC"/>
    <w:rsid w:val="00B6694F"/>
    <w:rsid w:val="00B6695F"/>
    <w:rsid w:val="00B66A19"/>
    <w:rsid w:val="00B66A67"/>
    <w:rsid w:val="00B66A9E"/>
    <w:rsid w:val="00B66DB7"/>
    <w:rsid w:val="00B66E05"/>
    <w:rsid w:val="00B66E20"/>
    <w:rsid w:val="00B66F8E"/>
    <w:rsid w:val="00B67000"/>
    <w:rsid w:val="00B671E7"/>
    <w:rsid w:val="00B67463"/>
    <w:rsid w:val="00B6767A"/>
    <w:rsid w:val="00B6771A"/>
    <w:rsid w:val="00B67765"/>
    <w:rsid w:val="00B679C9"/>
    <w:rsid w:val="00B67A4B"/>
    <w:rsid w:val="00B67AE2"/>
    <w:rsid w:val="00B67CB2"/>
    <w:rsid w:val="00B67D76"/>
    <w:rsid w:val="00B67D96"/>
    <w:rsid w:val="00B67E94"/>
    <w:rsid w:val="00B67F02"/>
    <w:rsid w:val="00B67F3C"/>
    <w:rsid w:val="00B700B4"/>
    <w:rsid w:val="00B701F2"/>
    <w:rsid w:val="00B7020A"/>
    <w:rsid w:val="00B7034D"/>
    <w:rsid w:val="00B70425"/>
    <w:rsid w:val="00B706F9"/>
    <w:rsid w:val="00B7078B"/>
    <w:rsid w:val="00B708E7"/>
    <w:rsid w:val="00B70A48"/>
    <w:rsid w:val="00B70AAD"/>
    <w:rsid w:val="00B70D44"/>
    <w:rsid w:val="00B70DC3"/>
    <w:rsid w:val="00B70EBA"/>
    <w:rsid w:val="00B70EF7"/>
    <w:rsid w:val="00B7115E"/>
    <w:rsid w:val="00B71399"/>
    <w:rsid w:val="00B715AF"/>
    <w:rsid w:val="00B716FB"/>
    <w:rsid w:val="00B7194B"/>
    <w:rsid w:val="00B71C24"/>
    <w:rsid w:val="00B71C32"/>
    <w:rsid w:val="00B71DE8"/>
    <w:rsid w:val="00B71E3F"/>
    <w:rsid w:val="00B71EE1"/>
    <w:rsid w:val="00B71F55"/>
    <w:rsid w:val="00B71F72"/>
    <w:rsid w:val="00B72049"/>
    <w:rsid w:val="00B72069"/>
    <w:rsid w:val="00B7206F"/>
    <w:rsid w:val="00B724A0"/>
    <w:rsid w:val="00B7253A"/>
    <w:rsid w:val="00B727C5"/>
    <w:rsid w:val="00B727E1"/>
    <w:rsid w:val="00B727F3"/>
    <w:rsid w:val="00B728EF"/>
    <w:rsid w:val="00B7293F"/>
    <w:rsid w:val="00B7296B"/>
    <w:rsid w:val="00B72A27"/>
    <w:rsid w:val="00B72C5B"/>
    <w:rsid w:val="00B731CB"/>
    <w:rsid w:val="00B73226"/>
    <w:rsid w:val="00B733AE"/>
    <w:rsid w:val="00B734E9"/>
    <w:rsid w:val="00B73522"/>
    <w:rsid w:val="00B735D2"/>
    <w:rsid w:val="00B73684"/>
    <w:rsid w:val="00B7377E"/>
    <w:rsid w:val="00B73817"/>
    <w:rsid w:val="00B738D6"/>
    <w:rsid w:val="00B73A76"/>
    <w:rsid w:val="00B73C2B"/>
    <w:rsid w:val="00B73C6B"/>
    <w:rsid w:val="00B73CA1"/>
    <w:rsid w:val="00B73D33"/>
    <w:rsid w:val="00B73DE7"/>
    <w:rsid w:val="00B74121"/>
    <w:rsid w:val="00B7428C"/>
    <w:rsid w:val="00B742BA"/>
    <w:rsid w:val="00B74346"/>
    <w:rsid w:val="00B747B3"/>
    <w:rsid w:val="00B74B24"/>
    <w:rsid w:val="00B74BB9"/>
    <w:rsid w:val="00B74C96"/>
    <w:rsid w:val="00B74CE1"/>
    <w:rsid w:val="00B74CFD"/>
    <w:rsid w:val="00B74DD7"/>
    <w:rsid w:val="00B74EF4"/>
    <w:rsid w:val="00B751F6"/>
    <w:rsid w:val="00B7544C"/>
    <w:rsid w:val="00B754C5"/>
    <w:rsid w:val="00B75598"/>
    <w:rsid w:val="00B75672"/>
    <w:rsid w:val="00B7570E"/>
    <w:rsid w:val="00B75796"/>
    <w:rsid w:val="00B757DD"/>
    <w:rsid w:val="00B75850"/>
    <w:rsid w:val="00B75938"/>
    <w:rsid w:val="00B75B67"/>
    <w:rsid w:val="00B75C67"/>
    <w:rsid w:val="00B75EFF"/>
    <w:rsid w:val="00B75F75"/>
    <w:rsid w:val="00B76186"/>
    <w:rsid w:val="00B76227"/>
    <w:rsid w:val="00B76382"/>
    <w:rsid w:val="00B76580"/>
    <w:rsid w:val="00B76630"/>
    <w:rsid w:val="00B7668A"/>
    <w:rsid w:val="00B76CD4"/>
    <w:rsid w:val="00B76D27"/>
    <w:rsid w:val="00B76D8E"/>
    <w:rsid w:val="00B76DEF"/>
    <w:rsid w:val="00B76EDE"/>
    <w:rsid w:val="00B77012"/>
    <w:rsid w:val="00B77060"/>
    <w:rsid w:val="00B770B3"/>
    <w:rsid w:val="00B7722E"/>
    <w:rsid w:val="00B77417"/>
    <w:rsid w:val="00B7783C"/>
    <w:rsid w:val="00B77878"/>
    <w:rsid w:val="00B77926"/>
    <w:rsid w:val="00B7797C"/>
    <w:rsid w:val="00B7799D"/>
    <w:rsid w:val="00B77BD2"/>
    <w:rsid w:val="00B77CAA"/>
    <w:rsid w:val="00B77D02"/>
    <w:rsid w:val="00B77DBC"/>
    <w:rsid w:val="00B77DDB"/>
    <w:rsid w:val="00B77F2D"/>
    <w:rsid w:val="00B80213"/>
    <w:rsid w:val="00B8033F"/>
    <w:rsid w:val="00B805FE"/>
    <w:rsid w:val="00B80744"/>
    <w:rsid w:val="00B807E1"/>
    <w:rsid w:val="00B807EB"/>
    <w:rsid w:val="00B8083D"/>
    <w:rsid w:val="00B808E0"/>
    <w:rsid w:val="00B80961"/>
    <w:rsid w:val="00B809BB"/>
    <w:rsid w:val="00B80BED"/>
    <w:rsid w:val="00B80C33"/>
    <w:rsid w:val="00B80ED8"/>
    <w:rsid w:val="00B8111C"/>
    <w:rsid w:val="00B8118D"/>
    <w:rsid w:val="00B812CB"/>
    <w:rsid w:val="00B81386"/>
    <w:rsid w:val="00B8140C"/>
    <w:rsid w:val="00B81662"/>
    <w:rsid w:val="00B8176B"/>
    <w:rsid w:val="00B8179F"/>
    <w:rsid w:val="00B817CE"/>
    <w:rsid w:val="00B8186F"/>
    <w:rsid w:val="00B818BF"/>
    <w:rsid w:val="00B81BDC"/>
    <w:rsid w:val="00B81C27"/>
    <w:rsid w:val="00B81CBE"/>
    <w:rsid w:val="00B81FB0"/>
    <w:rsid w:val="00B81FE5"/>
    <w:rsid w:val="00B82201"/>
    <w:rsid w:val="00B82343"/>
    <w:rsid w:val="00B82B5B"/>
    <w:rsid w:val="00B82C91"/>
    <w:rsid w:val="00B82E6E"/>
    <w:rsid w:val="00B830FD"/>
    <w:rsid w:val="00B83238"/>
    <w:rsid w:val="00B832E0"/>
    <w:rsid w:val="00B83305"/>
    <w:rsid w:val="00B83465"/>
    <w:rsid w:val="00B836AE"/>
    <w:rsid w:val="00B83953"/>
    <w:rsid w:val="00B83A57"/>
    <w:rsid w:val="00B83AB8"/>
    <w:rsid w:val="00B83C2C"/>
    <w:rsid w:val="00B83E44"/>
    <w:rsid w:val="00B83FC4"/>
    <w:rsid w:val="00B8423E"/>
    <w:rsid w:val="00B84342"/>
    <w:rsid w:val="00B84904"/>
    <w:rsid w:val="00B8491D"/>
    <w:rsid w:val="00B84A9C"/>
    <w:rsid w:val="00B84BB8"/>
    <w:rsid w:val="00B84BBE"/>
    <w:rsid w:val="00B84CF5"/>
    <w:rsid w:val="00B84DB7"/>
    <w:rsid w:val="00B84E0C"/>
    <w:rsid w:val="00B85060"/>
    <w:rsid w:val="00B850AE"/>
    <w:rsid w:val="00B85287"/>
    <w:rsid w:val="00B852A9"/>
    <w:rsid w:val="00B8565D"/>
    <w:rsid w:val="00B856CD"/>
    <w:rsid w:val="00B85A00"/>
    <w:rsid w:val="00B85B62"/>
    <w:rsid w:val="00B85C6F"/>
    <w:rsid w:val="00B85DBE"/>
    <w:rsid w:val="00B85DFA"/>
    <w:rsid w:val="00B85E43"/>
    <w:rsid w:val="00B85E68"/>
    <w:rsid w:val="00B85FE6"/>
    <w:rsid w:val="00B860CF"/>
    <w:rsid w:val="00B861BA"/>
    <w:rsid w:val="00B8622B"/>
    <w:rsid w:val="00B86390"/>
    <w:rsid w:val="00B865F6"/>
    <w:rsid w:val="00B868CD"/>
    <w:rsid w:val="00B8691B"/>
    <w:rsid w:val="00B86BB6"/>
    <w:rsid w:val="00B86C25"/>
    <w:rsid w:val="00B86CB0"/>
    <w:rsid w:val="00B86DFE"/>
    <w:rsid w:val="00B87011"/>
    <w:rsid w:val="00B8718E"/>
    <w:rsid w:val="00B871A0"/>
    <w:rsid w:val="00B874C9"/>
    <w:rsid w:val="00B87560"/>
    <w:rsid w:val="00B877C5"/>
    <w:rsid w:val="00B879FA"/>
    <w:rsid w:val="00B87D68"/>
    <w:rsid w:val="00B87E29"/>
    <w:rsid w:val="00B90022"/>
    <w:rsid w:val="00B900D5"/>
    <w:rsid w:val="00B90225"/>
    <w:rsid w:val="00B90330"/>
    <w:rsid w:val="00B907AE"/>
    <w:rsid w:val="00B90A50"/>
    <w:rsid w:val="00B90A5C"/>
    <w:rsid w:val="00B90AF0"/>
    <w:rsid w:val="00B90B8D"/>
    <w:rsid w:val="00B90CD0"/>
    <w:rsid w:val="00B90CDC"/>
    <w:rsid w:val="00B90D29"/>
    <w:rsid w:val="00B90E5B"/>
    <w:rsid w:val="00B90FBD"/>
    <w:rsid w:val="00B910A7"/>
    <w:rsid w:val="00B91192"/>
    <w:rsid w:val="00B91437"/>
    <w:rsid w:val="00B91583"/>
    <w:rsid w:val="00B91662"/>
    <w:rsid w:val="00B9175E"/>
    <w:rsid w:val="00B918D2"/>
    <w:rsid w:val="00B918FB"/>
    <w:rsid w:val="00B91AF8"/>
    <w:rsid w:val="00B91B5D"/>
    <w:rsid w:val="00B91EC8"/>
    <w:rsid w:val="00B9200F"/>
    <w:rsid w:val="00B92125"/>
    <w:rsid w:val="00B9222D"/>
    <w:rsid w:val="00B9238D"/>
    <w:rsid w:val="00B923D9"/>
    <w:rsid w:val="00B92761"/>
    <w:rsid w:val="00B9280B"/>
    <w:rsid w:val="00B928AC"/>
    <w:rsid w:val="00B92B4C"/>
    <w:rsid w:val="00B92D00"/>
    <w:rsid w:val="00B92D77"/>
    <w:rsid w:val="00B9308F"/>
    <w:rsid w:val="00B9334D"/>
    <w:rsid w:val="00B93386"/>
    <w:rsid w:val="00B9360A"/>
    <w:rsid w:val="00B937ED"/>
    <w:rsid w:val="00B93829"/>
    <w:rsid w:val="00B93B14"/>
    <w:rsid w:val="00B93C21"/>
    <w:rsid w:val="00B9424B"/>
    <w:rsid w:val="00B942D4"/>
    <w:rsid w:val="00B94652"/>
    <w:rsid w:val="00B94910"/>
    <w:rsid w:val="00B94A2B"/>
    <w:rsid w:val="00B94A5C"/>
    <w:rsid w:val="00B94FC8"/>
    <w:rsid w:val="00B95268"/>
    <w:rsid w:val="00B953E1"/>
    <w:rsid w:val="00B953FC"/>
    <w:rsid w:val="00B95556"/>
    <w:rsid w:val="00B95584"/>
    <w:rsid w:val="00B95895"/>
    <w:rsid w:val="00B95B1B"/>
    <w:rsid w:val="00B95CA6"/>
    <w:rsid w:val="00B95CCF"/>
    <w:rsid w:val="00B95F70"/>
    <w:rsid w:val="00B95FC1"/>
    <w:rsid w:val="00B96256"/>
    <w:rsid w:val="00B962FD"/>
    <w:rsid w:val="00B962FE"/>
    <w:rsid w:val="00B9638B"/>
    <w:rsid w:val="00B963E1"/>
    <w:rsid w:val="00B96827"/>
    <w:rsid w:val="00B96A59"/>
    <w:rsid w:val="00B96CB7"/>
    <w:rsid w:val="00B96FA5"/>
    <w:rsid w:val="00B97047"/>
    <w:rsid w:val="00B971EF"/>
    <w:rsid w:val="00B976F8"/>
    <w:rsid w:val="00B9773E"/>
    <w:rsid w:val="00B978F7"/>
    <w:rsid w:val="00B979B4"/>
    <w:rsid w:val="00B97A12"/>
    <w:rsid w:val="00BA01B0"/>
    <w:rsid w:val="00BA0206"/>
    <w:rsid w:val="00BA03DD"/>
    <w:rsid w:val="00BA0402"/>
    <w:rsid w:val="00BA0478"/>
    <w:rsid w:val="00BA04BB"/>
    <w:rsid w:val="00BA069C"/>
    <w:rsid w:val="00BA097A"/>
    <w:rsid w:val="00BA0BA3"/>
    <w:rsid w:val="00BA0F25"/>
    <w:rsid w:val="00BA10F3"/>
    <w:rsid w:val="00BA13BA"/>
    <w:rsid w:val="00BA1451"/>
    <w:rsid w:val="00BA146D"/>
    <w:rsid w:val="00BA182F"/>
    <w:rsid w:val="00BA1939"/>
    <w:rsid w:val="00BA1AD5"/>
    <w:rsid w:val="00BA1CFA"/>
    <w:rsid w:val="00BA1DE6"/>
    <w:rsid w:val="00BA1F16"/>
    <w:rsid w:val="00BA204F"/>
    <w:rsid w:val="00BA207C"/>
    <w:rsid w:val="00BA2455"/>
    <w:rsid w:val="00BA2692"/>
    <w:rsid w:val="00BA2745"/>
    <w:rsid w:val="00BA27AA"/>
    <w:rsid w:val="00BA2869"/>
    <w:rsid w:val="00BA289F"/>
    <w:rsid w:val="00BA29D4"/>
    <w:rsid w:val="00BA2B21"/>
    <w:rsid w:val="00BA2E6F"/>
    <w:rsid w:val="00BA314C"/>
    <w:rsid w:val="00BA334F"/>
    <w:rsid w:val="00BA3492"/>
    <w:rsid w:val="00BA376E"/>
    <w:rsid w:val="00BA382E"/>
    <w:rsid w:val="00BA3E3B"/>
    <w:rsid w:val="00BA4008"/>
    <w:rsid w:val="00BA4394"/>
    <w:rsid w:val="00BA4444"/>
    <w:rsid w:val="00BA47DF"/>
    <w:rsid w:val="00BA4829"/>
    <w:rsid w:val="00BA48ED"/>
    <w:rsid w:val="00BA49C6"/>
    <w:rsid w:val="00BA4A22"/>
    <w:rsid w:val="00BA4AC4"/>
    <w:rsid w:val="00BA4DB0"/>
    <w:rsid w:val="00BA4E24"/>
    <w:rsid w:val="00BA4E95"/>
    <w:rsid w:val="00BA5134"/>
    <w:rsid w:val="00BA51FE"/>
    <w:rsid w:val="00BA52AB"/>
    <w:rsid w:val="00BA5300"/>
    <w:rsid w:val="00BA5306"/>
    <w:rsid w:val="00BA53F2"/>
    <w:rsid w:val="00BA53F4"/>
    <w:rsid w:val="00BA55B9"/>
    <w:rsid w:val="00BA5720"/>
    <w:rsid w:val="00BA578C"/>
    <w:rsid w:val="00BA58AF"/>
    <w:rsid w:val="00BA5997"/>
    <w:rsid w:val="00BA5A84"/>
    <w:rsid w:val="00BA5AB5"/>
    <w:rsid w:val="00BA6377"/>
    <w:rsid w:val="00BA6571"/>
    <w:rsid w:val="00BA6629"/>
    <w:rsid w:val="00BA6630"/>
    <w:rsid w:val="00BA6A0E"/>
    <w:rsid w:val="00BA6BDE"/>
    <w:rsid w:val="00BA6FE5"/>
    <w:rsid w:val="00BA7093"/>
    <w:rsid w:val="00BA73C8"/>
    <w:rsid w:val="00BA74B7"/>
    <w:rsid w:val="00BA7566"/>
    <w:rsid w:val="00BA75ED"/>
    <w:rsid w:val="00BA7706"/>
    <w:rsid w:val="00BA7C7C"/>
    <w:rsid w:val="00BA7C8D"/>
    <w:rsid w:val="00BA7CFE"/>
    <w:rsid w:val="00BA7DCD"/>
    <w:rsid w:val="00BA7E88"/>
    <w:rsid w:val="00BB0036"/>
    <w:rsid w:val="00BB019A"/>
    <w:rsid w:val="00BB02C4"/>
    <w:rsid w:val="00BB05A2"/>
    <w:rsid w:val="00BB0731"/>
    <w:rsid w:val="00BB0893"/>
    <w:rsid w:val="00BB091A"/>
    <w:rsid w:val="00BB092B"/>
    <w:rsid w:val="00BB0952"/>
    <w:rsid w:val="00BB09ED"/>
    <w:rsid w:val="00BB0AFA"/>
    <w:rsid w:val="00BB0BFC"/>
    <w:rsid w:val="00BB0E02"/>
    <w:rsid w:val="00BB0F6F"/>
    <w:rsid w:val="00BB1961"/>
    <w:rsid w:val="00BB1C6B"/>
    <w:rsid w:val="00BB1CC6"/>
    <w:rsid w:val="00BB1D8A"/>
    <w:rsid w:val="00BB2507"/>
    <w:rsid w:val="00BB258F"/>
    <w:rsid w:val="00BB2746"/>
    <w:rsid w:val="00BB28F5"/>
    <w:rsid w:val="00BB2956"/>
    <w:rsid w:val="00BB29E1"/>
    <w:rsid w:val="00BB2B11"/>
    <w:rsid w:val="00BB2BD8"/>
    <w:rsid w:val="00BB2C31"/>
    <w:rsid w:val="00BB2CE0"/>
    <w:rsid w:val="00BB2D55"/>
    <w:rsid w:val="00BB2FF3"/>
    <w:rsid w:val="00BB3009"/>
    <w:rsid w:val="00BB3478"/>
    <w:rsid w:val="00BB34DF"/>
    <w:rsid w:val="00BB3591"/>
    <w:rsid w:val="00BB35C3"/>
    <w:rsid w:val="00BB398C"/>
    <w:rsid w:val="00BB3DDD"/>
    <w:rsid w:val="00BB3E0B"/>
    <w:rsid w:val="00BB3FBB"/>
    <w:rsid w:val="00BB4067"/>
    <w:rsid w:val="00BB40A9"/>
    <w:rsid w:val="00BB40AE"/>
    <w:rsid w:val="00BB426D"/>
    <w:rsid w:val="00BB49A9"/>
    <w:rsid w:val="00BB4AFA"/>
    <w:rsid w:val="00BB4B6A"/>
    <w:rsid w:val="00BB4BD7"/>
    <w:rsid w:val="00BB4CD9"/>
    <w:rsid w:val="00BB4E96"/>
    <w:rsid w:val="00BB4EF1"/>
    <w:rsid w:val="00BB4F5A"/>
    <w:rsid w:val="00BB5332"/>
    <w:rsid w:val="00BB5475"/>
    <w:rsid w:val="00BB5590"/>
    <w:rsid w:val="00BB55E3"/>
    <w:rsid w:val="00BB56CB"/>
    <w:rsid w:val="00BB56F9"/>
    <w:rsid w:val="00BB591C"/>
    <w:rsid w:val="00BB59E5"/>
    <w:rsid w:val="00BB5AEF"/>
    <w:rsid w:val="00BB5AFC"/>
    <w:rsid w:val="00BB5B9B"/>
    <w:rsid w:val="00BB5BAC"/>
    <w:rsid w:val="00BB5C08"/>
    <w:rsid w:val="00BB5D3D"/>
    <w:rsid w:val="00BB5DC7"/>
    <w:rsid w:val="00BB60A4"/>
    <w:rsid w:val="00BB6231"/>
    <w:rsid w:val="00BB638D"/>
    <w:rsid w:val="00BB649D"/>
    <w:rsid w:val="00BB6575"/>
    <w:rsid w:val="00BB65CB"/>
    <w:rsid w:val="00BB6756"/>
    <w:rsid w:val="00BB6999"/>
    <w:rsid w:val="00BB6A99"/>
    <w:rsid w:val="00BB6B42"/>
    <w:rsid w:val="00BB6BB4"/>
    <w:rsid w:val="00BB6C2C"/>
    <w:rsid w:val="00BB6CD3"/>
    <w:rsid w:val="00BB6D5A"/>
    <w:rsid w:val="00BB6DEA"/>
    <w:rsid w:val="00BB7274"/>
    <w:rsid w:val="00BB7284"/>
    <w:rsid w:val="00BB72E2"/>
    <w:rsid w:val="00BB7352"/>
    <w:rsid w:val="00BB73C6"/>
    <w:rsid w:val="00BB7538"/>
    <w:rsid w:val="00BB75B5"/>
    <w:rsid w:val="00BB7677"/>
    <w:rsid w:val="00BB7713"/>
    <w:rsid w:val="00BB7748"/>
    <w:rsid w:val="00BB777D"/>
    <w:rsid w:val="00BB7864"/>
    <w:rsid w:val="00BB7E25"/>
    <w:rsid w:val="00BB7EA1"/>
    <w:rsid w:val="00BB7ECD"/>
    <w:rsid w:val="00BC00DC"/>
    <w:rsid w:val="00BC013F"/>
    <w:rsid w:val="00BC0308"/>
    <w:rsid w:val="00BC0624"/>
    <w:rsid w:val="00BC069A"/>
    <w:rsid w:val="00BC077E"/>
    <w:rsid w:val="00BC07CA"/>
    <w:rsid w:val="00BC0A37"/>
    <w:rsid w:val="00BC0A8A"/>
    <w:rsid w:val="00BC0CC7"/>
    <w:rsid w:val="00BC0CD0"/>
    <w:rsid w:val="00BC0CEA"/>
    <w:rsid w:val="00BC0DA7"/>
    <w:rsid w:val="00BC0EF5"/>
    <w:rsid w:val="00BC0F61"/>
    <w:rsid w:val="00BC1019"/>
    <w:rsid w:val="00BC1042"/>
    <w:rsid w:val="00BC1088"/>
    <w:rsid w:val="00BC118C"/>
    <w:rsid w:val="00BC11B7"/>
    <w:rsid w:val="00BC1333"/>
    <w:rsid w:val="00BC162B"/>
    <w:rsid w:val="00BC179E"/>
    <w:rsid w:val="00BC18A5"/>
    <w:rsid w:val="00BC1A64"/>
    <w:rsid w:val="00BC1D2C"/>
    <w:rsid w:val="00BC2048"/>
    <w:rsid w:val="00BC22A8"/>
    <w:rsid w:val="00BC2372"/>
    <w:rsid w:val="00BC270E"/>
    <w:rsid w:val="00BC29B8"/>
    <w:rsid w:val="00BC2DEB"/>
    <w:rsid w:val="00BC2E89"/>
    <w:rsid w:val="00BC2F87"/>
    <w:rsid w:val="00BC2FC9"/>
    <w:rsid w:val="00BC309C"/>
    <w:rsid w:val="00BC3156"/>
    <w:rsid w:val="00BC31FF"/>
    <w:rsid w:val="00BC3547"/>
    <w:rsid w:val="00BC35B7"/>
    <w:rsid w:val="00BC36F7"/>
    <w:rsid w:val="00BC384C"/>
    <w:rsid w:val="00BC39F5"/>
    <w:rsid w:val="00BC3B25"/>
    <w:rsid w:val="00BC3BFC"/>
    <w:rsid w:val="00BC3C09"/>
    <w:rsid w:val="00BC3D58"/>
    <w:rsid w:val="00BC4178"/>
    <w:rsid w:val="00BC4344"/>
    <w:rsid w:val="00BC45F5"/>
    <w:rsid w:val="00BC464F"/>
    <w:rsid w:val="00BC46FE"/>
    <w:rsid w:val="00BC4ED0"/>
    <w:rsid w:val="00BC5013"/>
    <w:rsid w:val="00BC51C2"/>
    <w:rsid w:val="00BC54E7"/>
    <w:rsid w:val="00BC55E7"/>
    <w:rsid w:val="00BC563F"/>
    <w:rsid w:val="00BC56EB"/>
    <w:rsid w:val="00BC5750"/>
    <w:rsid w:val="00BC576B"/>
    <w:rsid w:val="00BC57B1"/>
    <w:rsid w:val="00BC57F5"/>
    <w:rsid w:val="00BC582F"/>
    <w:rsid w:val="00BC5837"/>
    <w:rsid w:val="00BC5849"/>
    <w:rsid w:val="00BC5AB8"/>
    <w:rsid w:val="00BC5CDE"/>
    <w:rsid w:val="00BC5F95"/>
    <w:rsid w:val="00BC610E"/>
    <w:rsid w:val="00BC64AE"/>
    <w:rsid w:val="00BC6861"/>
    <w:rsid w:val="00BC68B4"/>
    <w:rsid w:val="00BC6964"/>
    <w:rsid w:val="00BC6974"/>
    <w:rsid w:val="00BC6A69"/>
    <w:rsid w:val="00BC7178"/>
    <w:rsid w:val="00BC72B5"/>
    <w:rsid w:val="00BC72D4"/>
    <w:rsid w:val="00BC7454"/>
    <w:rsid w:val="00BC765E"/>
    <w:rsid w:val="00BC78C6"/>
    <w:rsid w:val="00BC798C"/>
    <w:rsid w:val="00BC7B50"/>
    <w:rsid w:val="00BC7C20"/>
    <w:rsid w:val="00BC7D11"/>
    <w:rsid w:val="00BC7EA7"/>
    <w:rsid w:val="00BC7F07"/>
    <w:rsid w:val="00BD01E8"/>
    <w:rsid w:val="00BD04CD"/>
    <w:rsid w:val="00BD0839"/>
    <w:rsid w:val="00BD09A4"/>
    <w:rsid w:val="00BD0C11"/>
    <w:rsid w:val="00BD0C8E"/>
    <w:rsid w:val="00BD0D2E"/>
    <w:rsid w:val="00BD0DD9"/>
    <w:rsid w:val="00BD0E6A"/>
    <w:rsid w:val="00BD0F01"/>
    <w:rsid w:val="00BD100D"/>
    <w:rsid w:val="00BD10AA"/>
    <w:rsid w:val="00BD10B4"/>
    <w:rsid w:val="00BD10CC"/>
    <w:rsid w:val="00BD137E"/>
    <w:rsid w:val="00BD1555"/>
    <w:rsid w:val="00BD15A4"/>
    <w:rsid w:val="00BD15B5"/>
    <w:rsid w:val="00BD15E1"/>
    <w:rsid w:val="00BD1670"/>
    <w:rsid w:val="00BD1692"/>
    <w:rsid w:val="00BD17A9"/>
    <w:rsid w:val="00BD17B7"/>
    <w:rsid w:val="00BD18C4"/>
    <w:rsid w:val="00BD1930"/>
    <w:rsid w:val="00BD193B"/>
    <w:rsid w:val="00BD1998"/>
    <w:rsid w:val="00BD1A1E"/>
    <w:rsid w:val="00BD1B67"/>
    <w:rsid w:val="00BD1C3C"/>
    <w:rsid w:val="00BD1F01"/>
    <w:rsid w:val="00BD1F46"/>
    <w:rsid w:val="00BD20E2"/>
    <w:rsid w:val="00BD223D"/>
    <w:rsid w:val="00BD24E9"/>
    <w:rsid w:val="00BD2535"/>
    <w:rsid w:val="00BD2622"/>
    <w:rsid w:val="00BD2654"/>
    <w:rsid w:val="00BD2708"/>
    <w:rsid w:val="00BD2B43"/>
    <w:rsid w:val="00BD2E29"/>
    <w:rsid w:val="00BD2FEF"/>
    <w:rsid w:val="00BD30FA"/>
    <w:rsid w:val="00BD34B2"/>
    <w:rsid w:val="00BD34D5"/>
    <w:rsid w:val="00BD3669"/>
    <w:rsid w:val="00BD3809"/>
    <w:rsid w:val="00BD384E"/>
    <w:rsid w:val="00BD38B9"/>
    <w:rsid w:val="00BD3A63"/>
    <w:rsid w:val="00BD3BC5"/>
    <w:rsid w:val="00BD3FA6"/>
    <w:rsid w:val="00BD3FF9"/>
    <w:rsid w:val="00BD4012"/>
    <w:rsid w:val="00BD403B"/>
    <w:rsid w:val="00BD40FE"/>
    <w:rsid w:val="00BD4363"/>
    <w:rsid w:val="00BD4489"/>
    <w:rsid w:val="00BD4537"/>
    <w:rsid w:val="00BD4AEA"/>
    <w:rsid w:val="00BD4B77"/>
    <w:rsid w:val="00BD4B94"/>
    <w:rsid w:val="00BD4C21"/>
    <w:rsid w:val="00BD4CE7"/>
    <w:rsid w:val="00BD4D6F"/>
    <w:rsid w:val="00BD500F"/>
    <w:rsid w:val="00BD5050"/>
    <w:rsid w:val="00BD51EF"/>
    <w:rsid w:val="00BD5203"/>
    <w:rsid w:val="00BD5401"/>
    <w:rsid w:val="00BD587C"/>
    <w:rsid w:val="00BD59F8"/>
    <w:rsid w:val="00BD5A14"/>
    <w:rsid w:val="00BD5A49"/>
    <w:rsid w:val="00BD5C39"/>
    <w:rsid w:val="00BD5CB2"/>
    <w:rsid w:val="00BD5D51"/>
    <w:rsid w:val="00BD5E24"/>
    <w:rsid w:val="00BD5E77"/>
    <w:rsid w:val="00BD5FBD"/>
    <w:rsid w:val="00BD62AF"/>
    <w:rsid w:val="00BD63A6"/>
    <w:rsid w:val="00BD6444"/>
    <w:rsid w:val="00BD670F"/>
    <w:rsid w:val="00BD6A38"/>
    <w:rsid w:val="00BD6AB7"/>
    <w:rsid w:val="00BD6AFD"/>
    <w:rsid w:val="00BD6C0E"/>
    <w:rsid w:val="00BD6D56"/>
    <w:rsid w:val="00BD6D6D"/>
    <w:rsid w:val="00BD6E47"/>
    <w:rsid w:val="00BD6EF2"/>
    <w:rsid w:val="00BD7025"/>
    <w:rsid w:val="00BD70F7"/>
    <w:rsid w:val="00BD732D"/>
    <w:rsid w:val="00BD7469"/>
    <w:rsid w:val="00BD748E"/>
    <w:rsid w:val="00BD7583"/>
    <w:rsid w:val="00BD77FB"/>
    <w:rsid w:val="00BD7862"/>
    <w:rsid w:val="00BD79B7"/>
    <w:rsid w:val="00BD7C7F"/>
    <w:rsid w:val="00BD7CC9"/>
    <w:rsid w:val="00BD7EA7"/>
    <w:rsid w:val="00BD7FE9"/>
    <w:rsid w:val="00BE00B5"/>
    <w:rsid w:val="00BE018C"/>
    <w:rsid w:val="00BE0250"/>
    <w:rsid w:val="00BE047F"/>
    <w:rsid w:val="00BE062C"/>
    <w:rsid w:val="00BE07B9"/>
    <w:rsid w:val="00BE0CA7"/>
    <w:rsid w:val="00BE0EF6"/>
    <w:rsid w:val="00BE1068"/>
    <w:rsid w:val="00BE159C"/>
    <w:rsid w:val="00BE17E0"/>
    <w:rsid w:val="00BE17F6"/>
    <w:rsid w:val="00BE18B5"/>
    <w:rsid w:val="00BE191C"/>
    <w:rsid w:val="00BE1991"/>
    <w:rsid w:val="00BE1CAE"/>
    <w:rsid w:val="00BE1DF9"/>
    <w:rsid w:val="00BE1E97"/>
    <w:rsid w:val="00BE1F33"/>
    <w:rsid w:val="00BE2310"/>
    <w:rsid w:val="00BE2404"/>
    <w:rsid w:val="00BE2A57"/>
    <w:rsid w:val="00BE2B53"/>
    <w:rsid w:val="00BE2B73"/>
    <w:rsid w:val="00BE2BFF"/>
    <w:rsid w:val="00BE2D41"/>
    <w:rsid w:val="00BE2D81"/>
    <w:rsid w:val="00BE3138"/>
    <w:rsid w:val="00BE32F9"/>
    <w:rsid w:val="00BE3665"/>
    <w:rsid w:val="00BE372F"/>
    <w:rsid w:val="00BE3809"/>
    <w:rsid w:val="00BE38D6"/>
    <w:rsid w:val="00BE3A29"/>
    <w:rsid w:val="00BE3B3F"/>
    <w:rsid w:val="00BE3CDE"/>
    <w:rsid w:val="00BE3FED"/>
    <w:rsid w:val="00BE4085"/>
    <w:rsid w:val="00BE422F"/>
    <w:rsid w:val="00BE434A"/>
    <w:rsid w:val="00BE446D"/>
    <w:rsid w:val="00BE44DC"/>
    <w:rsid w:val="00BE457E"/>
    <w:rsid w:val="00BE475B"/>
    <w:rsid w:val="00BE49BC"/>
    <w:rsid w:val="00BE49CA"/>
    <w:rsid w:val="00BE4A4E"/>
    <w:rsid w:val="00BE4AEB"/>
    <w:rsid w:val="00BE4BDC"/>
    <w:rsid w:val="00BE4C42"/>
    <w:rsid w:val="00BE4E87"/>
    <w:rsid w:val="00BE4EF0"/>
    <w:rsid w:val="00BE4F3E"/>
    <w:rsid w:val="00BE5022"/>
    <w:rsid w:val="00BE50B5"/>
    <w:rsid w:val="00BE533C"/>
    <w:rsid w:val="00BE53A3"/>
    <w:rsid w:val="00BE53BE"/>
    <w:rsid w:val="00BE5506"/>
    <w:rsid w:val="00BE56B6"/>
    <w:rsid w:val="00BE57A2"/>
    <w:rsid w:val="00BE57DA"/>
    <w:rsid w:val="00BE5AB0"/>
    <w:rsid w:val="00BE5B1E"/>
    <w:rsid w:val="00BE5BC4"/>
    <w:rsid w:val="00BE5BCE"/>
    <w:rsid w:val="00BE5DAB"/>
    <w:rsid w:val="00BE5DAC"/>
    <w:rsid w:val="00BE60EA"/>
    <w:rsid w:val="00BE6564"/>
    <w:rsid w:val="00BE6955"/>
    <w:rsid w:val="00BE69C0"/>
    <w:rsid w:val="00BE6DBB"/>
    <w:rsid w:val="00BE6F49"/>
    <w:rsid w:val="00BE6FB0"/>
    <w:rsid w:val="00BE6FBD"/>
    <w:rsid w:val="00BE7083"/>
    <w:rsid w:val="00BE71BC"/>
    <w:rsid w:val="00BE72F2"/>
    <w:rsid w:val="00BE73B1"/>
    <w:rsid w:val="00BE76B7"/>
    <w:rsid w:val="00BE787B"/>
    <w:rsid w:val="00BE79A0"/>
    <w:rsid w:val="00BE79D1"/>
    <w:rsid w:val="00BE7B1B"/>
    <w:rsid w:val="00BE7B33"/>
    <w:rsid w:val="00BE7B8B"/>
    <w:rsid w:val="00BE7C71"/>
    <w:rsid w:val="00BE7DD6"/>
    <w:rsid w:val="00BE7F06"/>
    <w:rsid w:val="00BF007B"/>
    <w:rsid w:val="00BF00A5"/>
    <w:rsid w:val="00BF0386"/>
    <w:rsid w:val="00BF0756"/>
    <w:rsid w:val="00BF0A8E"/>
    <w:rsid w:val="00BF0B8B"/>
    <w:rsid w:val="00BF0E96"/>
    <w:rsid w:val="00BF0F70"/>
    <w:rsid w:val="00BF1096"/>
    <w:rsid w:val="00BF10BB"/>
    <w:rsid w:val="00BF115C"/>
    <w:rsid w:val="00BF15DB"/>
    <w:rsid w:val="00BF17E0"/>
    <w:rsid w:val="00BF1947"/>
    <w:rsid w:val="00BF19D5"/>
    <w:rsid w:val="00BF1A0D"/>
    <w:rsid w:val="00BF1AB6"/>
    <w:rsid w:val="00BF1CE4"/>
    <w:rsid w:val="00BF1D8F"/>
    <w:rsid w:val="00BF1DD1"/>
    <w:rsid w:val="00BF1EEA"/>
    <w:rsid w:val="00BF24E8"/>
    <w:rsid w:val="00BF255F"/>
    <w:rsid w:val="00BF2563"/>
    <w:rsid w:val="00BF258D"/>
    <w:rsid w:val="00BF26F5"/>
    <w:rsid w:val="00BF2BD1"/>
    <w:rsid w:val="00BF2C60"/>
    <w:rsid w:val="00BF2C6A"/>
    <w:rsid w:val="00BF2E4B"/>
    <w:rsid w:val="00BF30B4"/>
    <w:rsid w:val="00BF30E2"/>
    <w:rsid w:val="00BF3263"/>
    <w:rsid w:val="00BF34C7"/>
    <w:rsid w:val="00BF37C3"/>
    <w:rsid w:val="00BF389C"/>
    <w:rsid w:val="00BF3972"/>
    <w:rsid w:val="00BF3BD3"/>
    <w:rsid w:val="00BF3C24"/>
    <w:rsid w:val="00BF3CDD"/>
    <w:rsid w:val="00BF3D59"/>
    <w:rsid w:val="00BF3ED1"/>
    <w:rsid w:val="00BF406C"/>
    <w:rsid w:val="00BF419B"/>
    <w:rsid w:val="00BF4256"/>
    <w:rsid w:val="00BF42AD"/>
    <w:rsid w:val="00BF4421"/>
    <w:rsid w:val="00BF45C9"/>
    <w:rsid w:val="00BF4780"/>
    <w:rsid w:val="00BF47CF"/>
    <w:rsid w:val="00BF4A3B"/>
    <w:rsid w:val="00BF4BD9"/>
    <w:rsid w:val="00BF4DCD"/>
    <w:rsid w:val="00BF4E24"/>
    <w:rsid w:val="00BF4EEC"/>
    <w:rsid w:val="00BF4F86"/>
    <w:rsid w:val="00BF54B2"/>
    <w:rsid w:val="00BF5503"/>
    <w:rsid w:val="00BF5669"/>
    <w:rsid w:val="00BF5794"/>
    <w:rsid w:val="00BF592D"/>
    <w:rsid w:val="00BF5C79"/>
    <w:rsid w:val="00BF5D96"/>
    <w:rsid w:val="00BF5DC4"/>
    <w:rsid w:val="00BF5ED0"/>
    <w:rsid w:val="00BF5F9F"/>
    <w:rsid w:val="00BF5FE1"/>
    <w:rsid w:val="00BF656D"/>
    <w:rsid w:val="00BF66B9"/>
    <w:rsid w:val="00BF68C8"/>
    <w:rsid w:val="00BF6A78"/>
    <w:rsid w:val="00BF6AA1"/>
    <w:rsid w:val="00BF6B20"/>
    <w:rsid w:val="00BF6CC9"/>
    <w:rsid w:val="00BF6D94"/>
    <w:rsid w:val="00BF6DEF"/>
    <w:rsid w:val="00BF6EA6"/>
    <w:rsid w:val="00BF6F4A"/>
    <w:rsid w:val="00BF7354"/>
    <w:rsid w:val="00BF73E9"/>
    <w:rsid w:val="00BF7453"/>
    <w:rsid w:val="00BF7501"/>
    <w:rsid w:val="00BF7657"/>
    <w:rsid w:val="00BF7926"/>
    <w:rsid w:val="00BF79B7"/>
    <w:rsid w:val="00BF7A97"/>
    <w:rsid w:val="00BF7C12"/>
    <w:rsid w:val="00BF7C8A"/>
    <w:rsid w:val="00BF7DF0"/>
    <w:rsid w:val="00BF7E8C"/>
    <w:rsid w:val="00C000D1"/>
    <w:rsid w:val="00C00162"/>
    <w:rsid w:val="00C001FA"/>
    <w:rsid w:val="00C003A0"/>
    <w:rsid w:val="00C0057A"/>
    <w:rsid w:val="00C0077E"/>
    <w:rsid w:val="00C0091B"/>
    <w:rsid w:val="00C00AAD"/>
    <w:rsid w:val="00C00C4F"/>
    <w:rsid w:val="00C00E22"/>
    <w:rsid w:val="00C00FD6"/>
    <w:rsid w:val="00C0111D"/>
    <w:rsid w:val="00C01390"/>
    <w:rsid w:val="00C01430"/>
    <w:rsid w:val="00C015A7"/>
    <w:rsid w:val="00C01740"/>
    <w:rsid w:val="00C017ED"/>
    <w:rsid w:val="00C017F1"/>
    <w:rsid w:val="00C01A0C"/>
    <w:rsid w:val="00C01B32"/>
    <w:rsid w:val="00C01B91"/>
    <w:rsid w:val="00C01D4B"/>
    <w:rsid w:val="00C01E9D"/>
    <w:rsid w:val="00C01F9A"/>
    <w:rsid w:val="00C02072"/>
    <w:rsid w:val="00C023E5"/>
    <w:rsid w:val="00C025D9"/>
    <w:rsid w:val="00C02650"/>
    <w:rsid w:val="00C026CC"/>
    <w:rsid w:val="00C02708"/>
    <w:rsid w:val="00C027CF"/>
    <w:rsid w:val="00C027F0"/>
    <w:rsid w:val="00C02A45"/>
    <w:rsid w:val="00C02E86"/>
    <w:rsid w:val="00C02EFD"/>
    <w:rsid w:val="00C02F9A"/>
    <w:rsid w:val="00C030AB"/>
    <w:rsid w:val="00C030EF"/>
    <w:rsid w:val="00C03318"/>
    <w:rsid w:val="00C033FA"/>
    <w:rsid w:val="00C03549"/>
    <w:rsid w:val="00C0364C"/>
    <w:rsid w:val="00C03914"/>
    <w:rsid w:val="00C03AD7"/>
    <w:rsid w:val="00C03B59"/>
    <w:rsid w:val="00C03B6B"/>
    <w:rsid w:val="00C0400E"/>
    <w:rsid w:val="00C0406C"/>
    <w:rsid w:val="00C044AB"/>
    <w:rsid w:val="00C044F3"/>
    <w:rsid w:val="00C048D3"/>
    <w:rsid w:val="00C049ED"/>
    <w:rsid w:val="00C04BC7"/>
    <w:rsid w:val="00C04CC5"/>
    <w:rsid w:val="00C04EC1"/>
    <w:rsid w:val="00C0507A"/>
    <w:rsid w:val="00C05320"/>
    <w:rsid w:val="00C05586"/>
    <w:rsid w:val="00C0558E"/>
    <w:rsid w:val="00C05756"/>
    <w:rsid w:val="00C05A28"/>
    <w:rsid w:val="00C05A73"/>
    <w:rsid w:val="00C05AF5"/>
    <w:rsid w:val="00C05C99"/>
    <w:rsid w:val="00C05EEE"/>
    <w:rsid w:val="00C0600F"/>
    <w:rsid w:val="00C066E5"/>
    <w:rsid w:val="00C068FE"/>
    <w:rsid w:val="00C06C4B"/>
    <w:rsid w:val="00C06C55"/>
    <w:rsid w:val="00C06C5F"/>
    <w:rsid w:val="00C06CEF"/>
    <w:rsid w:val="00C06D05"/>
    <w:rsid w:val="00C06E63"/>
    <w:rsid w:val="00C06E90"/>
    <w:rsid w:val="00C06EC4"/>
    <w:rsid w:val="00C06EFA"/>
    <w:rsid w:val="00C07151"/>
    <w:rsid w:val="00C07219"/>
    <w:rsid w:val="00C072B5"/>
    <w:rsid w:val="00C07413"/>
    <w:rsid w:val="00C07515"/>
    <w:rsid w:val="00C07517"/>
    <w:rsid w:val="00C07872"/>
    <w:rsid w:val="00C07A34"/>
    <w:rsid w:val="00C07A83"/>
    <w:rsid w:val="00C07C49"/>
    <w:rsid w:val="00C07D7E"/>
    <w:rsid w:val="00C100A9"/>
    <w:rsid w:val="00C100EA"/>
    <w:rsid w:val="00C101E3"/>
    <w:rsid w:val="00C1024F"/>
    <w:rsid w:val="00C10395"/>
    <w:rsid w:val="00C104D9"/>
    <w:rsid w:val="00C10662"/>
    <w:rsid w:val="00C1069B"/>
    <w:rsid w:val="00C107DF"/>
    <w:rsid w:val="00C108F8"/>
    <w:rsid w:val="00C10940"/>
    <w:rsid w:val="00C10A77"/>
    <w:rsid w:val="00C10C24"/>
    <w:rsid w:val="00C10EAD"/>
    <w:rsid w:val="00C1102B"/>
    <w:rsid w:val="00C110AD"/>
    <w:rsid w:val="00C1113F"/>
    <w:rsid w:val="00C1137B"/>
    <w:rsid w:val="00C114AD"/>
    <w:rsid w:val="00C1160A"/>
    <w:rsid w:val="00C117B3"/>
    <w:rsid w:val="00C117DF"/>
    <w:rsid w:val="00C11CD5"/>
    <w:rsid w:val="00C12065"/>
    <w:rsid w:val="00C121A4"/>
    <w:rsid w:val="00C12242"/>
    <w:rsid w:val="00C12301"/>
    <w:rsid w:val="00C1235F"/>
    <w:rsid w:val="00C123AB"/>
    <w:rsid w:val="00C12720"/>
    <w:rsid w:val="00C12980"/>
    <w:rsid w:val="00C12B10"/>
    <w:rsid w:val="00C12B12"/>
    <w:rsid w:val="00C12C7C"/>
    <w:rsid w:val="00C12D1D"/>
    <w:rsid w:val="00C12DBD"/>
    <w:rsid w:val="00C12E51"/>
    <w:rsid w:val="00C12F50"/>
    <w:rsid w:val="00C12FFA"/>
    <w:rsid w:val="00C1331C"/>
    <w:rsid w:val="00C134C3"/>
    <w:rsid w:val="00C13561"/>
    <w:rsid w:val="00C135DD"/>
    <w:rsid w:val="00C1388B"/>
    <w:rsid w:val="00C13974"/>
    <w:rsid w:val="00C13AB3"/>
    <w:rsid w:val="00C13AF2"/>
    <w:rsid w:val="00C13C2A"/>
    <w:rsid w:val="00C13DE4"/>
    <w:rsid w:val="00C13F1C"/>
    <w:rsid w:val="00C13F47"/>
    <w:rsid w:val="00C1410C"/>
    <w:rsid w:val="00C14268"/>
    <w:rsid w:val="00C14342"/>
    <w:rsid w:val="00C14898"/>
    <w:rsid w:val="00C148A9"/>
    <w:rsid w:val="00C14A17"/>
    <w:rsid w:val="00C14BBF"/>
    <w:rsid w:val="00C14C87"/>
    <w:rsid w:val="00C14D7D"/>
    <w:rsid w:val="00C14D88"/>
    <w:rsid w:val="00C14ED9"/>
    <w:rsid w:val="00C1514E"/>
    <w:rsid w:val="00C15200"/>
    <w:rsid w:val="00C15360"/>
    <w:rsid w:val="00C153AD"/>
    <w:rsid w:val="00C154B2"/>
    <w:rsid w:val="00C15545"/>
    <w:rsid w:val="00C157FA"/>
    <w:rsid w:val="00C15A3D"/>
    <w:rsid w:val="00C15BFE"/>
    <w:rsid w:val="00C15C31"/>
    <w:rsid w:val="00C15CB0"/>
    <w:rsid w:val="00C15E69"/>
    <w:rsid w:val="00C15E78"/>
    <w:rsid w:val="00C15F66"/>
    <w:rsid w:val="00C15FD1"/>
    <w:rsid w:val="00C16361"/>
    <w:rsid w:val="00C16381"/>
    <w:rsid w:val="00C16570"/>
    <w:rsid w:val="00C165D8"/>
    <w:rsid w:val="00C166B2"/>
    <w:rsid w:val="00C166EE"/>
    <w:rsid w:val="00C16740"/>
    <w:rsid w:val="00C167F1"/>
    <w:rsid w:val="00C168EC"/>
    <w:rsid w:val="00C1695E"/>
    <w:rsid w:val="00C16B39"/>
    <w:rsid w:val="00C16B84"/>
    <w:rsid w:val="00C16B9B"/>
    <w:rsid w:val="00C16BA1"/>
    <w:rsid w:val="00C16BE4"/>
    <w:rsid w:val="00C16C11"/>
    <w:rsid w:val="00C16CDD"/>
    <w:rsid w:val="00C16F0D"/>
    <w:rsid w:val="00C16F31"/>
    <w:rsid w:val="00C1701F"/>
    <w:rsid w:val="00C17162"/>
    <w:rsid w:val="00C17253"/>
    <w:rsid w:val="00C172E2"/>
    <w:rsid w:val="00C17521"/>
    <w:rsid w:val="00C179ED"/>
    <w:rsid w:val="00C17AAF"/>
    <w:rsid w:val="00C17B4D"/>
    <w:rsid w:val="00C17B55"/>
    <w:rsid w:val="00C17BEE"/>
    <w:rsid w:val="00C17C69"/>
    <w:rsid w:val="00C2042F"/>
    <w:rsid w:val="00C20528"/>
    <w:rsid w:val="00C20613"/>
    <w:rsid w:val="00C20A04"/>
    <w:rsid w:val="00C20A12"/>
    <w:rsid w:val="00C20AA2"/>
    <w:rsid w:val="00C20B43"/>
    <w:rsid w:val="00C20C83"/>
    <w:rsid w:val="00C20E33"/>
    <w:rsid w:val="00C20FC5"/>
    <w:rsid w:val="00C21125"/>
    <w:rsid w:val="00C211E6"/>
    <w:rsid w:val="00C21292"/>
    <w:rsid w:val="00C2163A"/>
    <w:rsid w:val="00C218BD"/>
    <w:rsid w:val="00C21BF5"/>
    <w:rsid w:val="00C21EDD"/>
    <w:rsid w:val="00C21F93"/>
    <w:rsid w:val="00C22081"/>
    <w:rsid w:val="00C22238"/>
    <w:rsid w:val="00C2238F"/>
    <w:rsid w:val="00C22502"/>
    <w:rsid w:val="00C22516"/>
    <w:rsid w:val="00C225A5"/>
    <w:rsid w:val="00C2261A"/>
    <w:rsid w:val="00C2287B"/>
    <w:rsid w:val="00C22AB4"/>
    <w:rsid w:val="00C22BAC"/>
    <w:rsid w:val="00C22D78"/>
    <w:rsid w:val="00C22DD8"/>
    <w:rsid w:val="00C22F37"/>
    <w:rsid w:val="00C22F3F"/>
    <w:rsid w:val="00C22F8F"/>
    <w:rsid w:val="00C22FF9"/>
    <w:rsid w:val="00C2304E"/>
    <w:rsid w:val="00C23380"/>
    <w:rsid w:val="00C2339A"/>
    <w:rsid w:val="00C233C3"/>
    <w:rsid w:val="00C2352D"/>
    <w:rsid w:val="00C236D2"/>
    <w:rsid w:val="00C23828"/>
    <w:rsid w:val="00C2390C"/>
    <w:rsid w:val="00C2391D"/>
    <w:rsid w:val="00C239B6"/>
    <w:rsid w:val="00C23A0A"/>
    <w:rsid w:val="00C23B90"/>
    <w:rsid w:val="00C23C0B"/>
    <w:rsid w:val="00C23D01"/>
    <w:rsid w:val="00C23E00"/>
    <w:rsid w:val="00C23F0F"/>
    <w:rsid w:val="00C23F31"/>
    <w:rsid w:val="00C240D6"/>
    <w:rsid w:val="00C241D7"/>
    <w:rsid w:val="00C241F2"/>
    <w:rsid w:val="00C24438"/>
    <w:rsid w:val="00C24590"/>
    <w:rsid w:val="00C247DF"/>
    <w:rsid w:val="00C2493B"/>
    <w:rsid w:val="00C24A02"/>
    <w:rsid w:val="00C24A05"/>
    <w:rsid w:val="00C24AD5"/>
    <w:rsid w:val="00C24B33"/>
    <w:rsid w:val="00C24C40"/>
    <w:rsid w:val="00C24C8D"/>
    <w:rsid w:val="00C24D0E"/>
    <w:rsid w:val="00C25031"/>
    <w:rsid w:val="00C25038"/>
    <w:rsid w:val="00C2513B"/>
    <w:rsid w:val="00C251E9"/>
    <w:rsid w:val="00C25426"/>
    <w:rsid w:val="00C2545C"/>
    <w:rsid w:val="00C25588"/>
    <w:rsid w:val="00C255AE"/>
    <w:rsid w:val="00C255D1"/>
    <w:rsid w:val="00C255E3"/>
    <w:rsid w:val="00C25688"/>
    <w:rsid w:val="00C256B6"/>
    <w:rsid w:val="00C25CB1"/>
    <w:rsid w:val="00C25E3C"/>
    <w:rsid w:val="00C25FAA"/>
    <w:rsid w:val="00C25FEA"/>
    <w:rsid w:val="00C25FFB"/>
    <w:rsid w:val="00C260C6"/>
    <w:rsid w:val="00C2620B"/>
    <w:rsid w:val="00C26297"/>
    <w:rsid w:val="00C26528"/>
    <w:rsid w:val="00C2661E"/>
    <w:rsid w:val="00C268CB"/>
    <w:rsid w:val="00C26B02"/>
    <w:rsid w:val="00C26E35"/>
    <w:rsid w:val="00C272D7"/>
    <w:rsid w:val="00C272E9"/>
    <w:rsid w:val="00C277E9"/>
    <w:rsid w:val="00C27BC9"/>
    <w:rsid w:val="00C302B3"/>
    <w:rsid w:val="00C30330"/>
    <w:rsid w:val="00C3073A"/>
    <w:rsid w:val="00C30785"/>
    <w:rsid w:val="00C307B9"/>
    <w:rsid w:val="00C30895"/>
    <w:rsid w:val="00C30983"/>
    <w:rsid w:val="00C30D0C"/>
    <w:rsid w:val="00C30D77"/>
    <w:rsid w:val="00C30F2D"/>
    <w:rsid w:val="00C30FD2"/>
    <w:rsid w:val="00C31273"/>
    <w:rsid w:val="00C313C6"/>
    <w:rsid w:val="00C31434"/>
    <w:rsid w:val="00C319D5"/>
    <w:rsid w:val="00C31A61"/>
    <w:rsid w:val="00C31FB3"/>
    <w:rsid w:val="00C32104"/>
    <w:rsid w:val="00C3217B"/>
    <w:rsid w:val="00C322E0"/>
    <w:rsid w:val="00C32328"/>
    <w:rsid w:val="00C323FE"/>
    <w:rsid w:val="00C3258D"/>
    <w:rsid w:val="00C327B7"/>
    <w:rsid w:val="00C328A8"/>
    <w:rsid w:val="00C32946"/>
    <w:rsid w:val="00C32AF6"/>
    <w:rsid w:val="00C32B2A"/>
    <w:rsid w:val="00C32C0D"/>
    <w:rsid w:val="00C32CFB"/>
    <w:rsid w:val="00C32DCC"/>
    <w:rsid w:val="00C32FDC"/>
    <w:rsid w:val="00C330E5"/>
    <w:rsid w:val="00C3328E"/>
    <w:rsid w:val="00C332A2"/>
    <w:rsid w:val="00C332C8"/>
    <w:rsid w:val="00C3333C"/>
    <w:rsid w:val="00C33400"/>
    <w:rsid w:val="00C33490"/>
    <w:rsid w:val="00C3355E"/>
    <w:rsid w:val="00C3375C"/>
    <w:rsid w:val="00C337B5"/>
    <w:rsid w:val="00C33850"/>
    <w:rsid w:val="00C339D3"/>
    <w:rsid w:val="00C33BBD"/>
    <w:rsid w:val="00C33C75"/>
    <w:rsid w:val="00C33E0D"/>
    <w:rsid w:val="00C340DC"/>
    <w:rsid w:val="00C3412F"/>
    <w:rsid w:val="00C34539"/>
    <w:rsid w:val="00C3457C"/>
    <w:rsid w:val="00C347C5"/>
    <w:rsid w:val="00C347D5"/>
    <w:rsid w:val="00C348E8"/>
    <w:rsid w:val="00C34907"/>
    <w:rsid w:val="00C34ACF"/>
    <w:rsid w:val="00C34B3B"/>
    <w:rsid w:val="00C34C64"/>
    <w:rsid w:val="00C3508F"/>
    <w:rsid w:val="00C35424"/>
    <w:rsid w:val="00C3549A"/>
    <w:rsid w:val="00C354B7"/>
    <w:rsid w:val="00C355EE"/>
    <w:rsid w:val="00C35639"/>
    <w:rsid w:val="00C3571C"/>
    <w:rsid w:val="00C3579A"/>
    <w:rsid w:val="00C35927"/>
    <w:rsid w:val="00C35BED"/>
    <w:rsid w:val="00C35CEB"/>
    <w:rsid w:val="00C35E34"/>
    <w:rsid w:val="00C35F87"/>
    <w:rsid w:val="00C3611C"/>
    <w:rsid w:val="00C36348"/>
    <w:rsid w:val="00C363DE"/>
    <w:rsid w:val="00C3642F"/>
    <w:rsid w:val="00C36542"/>
    <w:rsid w:val="00C365C0"/>
    <w:rsid w:val="00C36BA8"/>
    <w:rsid w:val="00C36C3B"/>
    <w:rsid w:val="00C36E3C"/>
    <w:rsid w:val="00C36F34"/>
    <w:rsid w:val="00C36FF5"/>
    <w:rsid w:val="00C37348"/>
    <w:rsid w:val="00C37417"/>
    <w:rsid w:val="00C37493"/>
    <w:rsid w:val="00C3763C"/>
    <w:rsid w:val="00C37660"/>
    <w:rsid w:val="00C37730"/>
    <w:rsid w:val="00C37A9B"/>
    <w:rsid w:val="00C37FF1"/>
    <w:rsid w:val="00C40007"/>
    <w:rsid w:val="00C40178"/>
    <w:rsid w:val="00C403A5"/>
    <w:rsid w:val="00C404A2"/>
    <w:rsid w:val="00C40827"/>
    <w:rsid w:val="00C40986"/>
    <w:rsid w:val="00C40A8F"/>
    <w:rsid w:val="00C40BAF"/>
    <w:rsid w:val="00C40E4B"/>
    <w:rsid w:val="00C411FF"/>
    <w:rsid w:val="00C412F3"/>
    <w:rsid w:val="00C41375"/>
    <w:rsid w:val="00C413F1"/>
    <w:rsid w:val="00C41726"/>
    <w:rsid w:val="00C4178B"/>
    <w:rsid w:val="00C41935"/>
    <w:rsid w:val="00C419CD"/>
    <w:rsid w:val="00C41AAF"/>
    <w:rsid w:val="00C41E22"/>
    <w:rsid w:val="00C4201E"/>
    <w:rsid w:val="00C42351"/>
    <w:rsid w:val="00C424B6"/>
    <w:rsid w:val="00C42738"/>
    <w:rsid w:val="00C4274B"/>
    <w:rsid w:val="00C428D6"/>
    <w:rsid w:val="00C42B05"/>
    <w:rsid w:val="00C42C3C"/>
    <w:rsid w:val="00C42C4F"/>
    <w:rsid w:val="00C42C72"/>
    <w:rsid w:val="00C42FD0"/>
    <w:rsid w:val="00C430D6"/>
    <w:rsid w:val="00C43199"/>
    <w:rsid w:val="00C431D1"/>
    <w:rsid w:val="00C4322E"/>
    <w:rsid w:val="00C43419"/>
    <w:rsid w:val="00C43442"/>
    <w:rsid w:val="00C437AE"/>
    <w:rsid w:val="00C43947"/>
    <w:rsid w:val="00C43A34"/>
    <w:rsid w:val="00C43C18"/>
    <w:rsid w:val="00C43C27"/>
    <w:rsid w:val="00C440AE"/>
    <w:rsid w:val="00C44137"/>
    <w:rsid w:val="00C443BE"/>
    <w:rsid w:val="00C444F4"/>
    <w:rsid w:val="00C447AA"/>
    <w:rsid w:val="00C449AD"/>
    <w:rsid w:val="00C44D3A"/>
    <w:rsid w:val="00C44E4A"/>
    <w:rsid w:val="00C44F51"/>
    <w:rsid w:val="00C45002"/>
    <w:rsid w:val="00C45022"/>
    <w:rsid w:val="00C45045"/>
    <w:rsid w:val="00C450B6"/>
    <w:rsid w:val="00C45540"/>
    <w:rsid w:val="00C456D3"/>
    <w:rsid w:val="00C45734"/>
    <w:rsid w:val="00C457B0"/>
    <w:rsid w:val="00C457F2"/>
    <w:rsid w:val="00C45822"/>
    <w:rsid w:val="00C4587A"/>
    <w:rsid w:val="00C459F4"/>
    <w:rsid w:val="00C45B28"/>
    <w:rsid w:val="00C45C79"/>
    <w:rsid w:val="00C4616E"/>
    <w:rsid w:val="00C46403"/>
    <w:rsid w:val="00C46742"/>
    <w:rsid w:val="00C4695C"/>
    <w:rsid w:val="00C46ABE"/>
    <w:rsid w:val="00C46B44"/>
    <w:rsid w:val="00C46C18"/>
    <w:rsid w:val="00C46D3D"/>
    <w:rsid w:val="00C46D47"/>
    <w:rsid w:val="00C46E2E"/>
    <w:rsid w:val="00C46EB5"/>
    <w:rsid w:val="00C46F5B"/>
    <w:rsid w:val="00C46FAC"/>
    <w:rsid w:val="00C471AE"/>
    <w:rsid w:val="00C47302"/>
    <w:rsid w:val="00C47347"/>
    <w:rsid w:val="00C4750C"/>
    <w:rsid w:val="00C476F0"/>
    <w:rsid w:val="00C47A2B"/>
    <w:rsid w:val="00C47B5A"/>
    <w:rsid w:val="00C47C08"/>
    <w:rsid w:val="00C47C75"/>
    <w:rsid w:val="00C47E5C"/>
    <w:rsid w:val="00C47E6D"/>
    <w:rsid w:val="00C47F54"/>
    <w:rsid w:val="00C47FFB"/>
    <w:rsid w:val="00C50003"/>
    <w:rsid w:val="00C501F6"/>
    <w:rsid w:val="00C504F2"/>
    <w:rsid w:val="00C506B0"/>
    <w:rsid w:val="00C5072D"/>
    <w:rsid w:val="00C50A16"/>
    <w:rsid w:val="00C50A96"/>
    <w:rsid w:val="00C50B23"/>
    <w:rsid w:val="00C50B38"/>
    <w:rsid w:val="00C50E79"/>
    <w:rsid w:val="00C50F49"/>
    <w:rsid w:val="00C5106C"/>
    <w:rsid w:val="00C5118A"/>
    <w:rsid w:val="00C51385"/>
    <w:rsid w:val="00C51495"/>
    <w:rsid w:val="00C51661"/>
    <w:rsid w:val="00C5182A"/>
    <w:rsid w:val="00C519D7"/>
    <w:rsid w:val="00C51A1B"/>
    <w:rsid w:val="00C51AAA"/>
    <w:rsid w:val="00C51D98"/>
    <w:rsid w:val="00C523A3"/>
    <w:rsid w:val="00C52618"/>
    <w:rsid w:val="00C5299B"/>
    <w:rsid w:val="00C52A20"/>
    <w:rsid w:val="00C52BD2"/>
    <w:rsid w:val="00C52C4B"/>
    <w:rsid w:val="00C52C7D"/>
    <w:rsid w:val="00C52EBD"/>
    <w:rsid w:val="00C530E0"/>
    <w:rsid w:val="00C5343C"/>
    <w:rsid w:val="00C53500"/>
    <w:rsid w:val="00C535A2"/>
    <w:rsid w:val="00C535EB"/>
    <w:rsid w:val="00C537ED"/>
    <w:rsid w:val="00C53A49"/>
    <w:rsid w:val="00C53AEA"/>
    <w:rsid w:val="00C53B1B"/>
    <w:rsid w:val="00C542AD"/>
    <w:rsid w:val="00C5434B"/>
    <w:rsid w:val="00C5448E"/>
    <w:rsid w:val="00C5452A"/>
    <w:rsid w:val="00C54682"/>
    <w:rsid w:val="00C5470D"/>
    <w:rsid w:val="00C547D4"/>
    <w:rsid w:val="00C5482F"/>
    <w:rsid w:val="00C54866"/>
    <w:rsid w:val="00C54B43"/>
    <w:rsid w:val="00C54BA6"/>
    <w:rsid w:val="00C54CD5"/>
    <w:rsid w:val="00C54E24"/>
    <w:rsid w:val="00C54E3D"/>
    <w:rsid w:val="00C54FBF"/>
    <w:rsid w:val="00C54FE7"/>
    <w:rsid w:val="00C5541B"/>
    <w:rsid w:val="00C554A5"/>
    <w:rsid w:val="00C55B18"/>
    <w:rsid w:val="00C55D5A"/>
    <w:rsid w:val="00C55D87"/>
    <w:rsid w:val="00C561D3"/>
    <w:rsid w:val="00C56391"/>
    <w:rsid w:val="00C563D6"/>
    <w:rsid w:val="00C563E7"/>
    <w:rsid w:val="00C564AE"/>
    <w:rsid w:val="00C564B1"/>
    <w:rsid w:val="00C56568"/>
    <w:rsid w:val="00C565B8"/>
    <w:rsid w:val="00C56620"/>
    <w:rsid w:val="00C56886"/>
    <w:rsid w:val="00C569F8"/>
    <w:rsid w:val="00C56C5D"/>
    <w:rsid w:val="00C56C64"/>
    <w:rsid w:val="00C56C7A"/>
    <w:rsid w:val="00C56D65"/>
    <w:rsid w:val="00C56DDA"/>
    <w:rsid w:val="00C56E19"/>
    <w:rsid w:val="00C56EBB"/>
    <w:rsid w:val="00C56FBB"/>
    <w:rsid w:val="00C57012"/>
    <w:rsid w:val="00C5709C"/>
    <w:rsid w:val="00C572D8"/>
    <w:rsid w:val="00C5739A"/>
    <w:rsid w:val="00C574BA"/>
    <w:rsid w:val="00C574D8"/>
    <w:rsid w:val="00C57816"/>
    <w:rsid w:val="00C5788B"/>
    <w:rsid w:val="00C578D3"/>
    <w:rsid w:val="00C57B6F"/>
    <w:rsid w:val="00C57DD8"/>
    <w:rsid w:val="00C57E08"/>
    <w:rsid w:val="00C57E75"/>
    <w:rsid w:val="00C57ED4"/>
    <w:rsid w:val="00C57F65"/>
    <w:rsid w:val="00C6015F"/>
    <w:rsid w:val="00C60560"/>
    <w:rsid w:val="00C60602"/>
    <w:rsid w:val="00C60916"/>
    <w:rsid w:val="00C60B3B"/>
    <w:rsid w:val="00C60B9B"/>
    <w:rsid w:val="00C60D00"/>
    <w:rsid w:val="00C60D3E"/>
    <w:rsid w:val="00C60DD8"/>
    <w:rsid w:val="00C60FD4"/>
    <w:rsid w:val="00C60FE9"/>
    <w:rsid w:val="00C6132E"/>
    <w:rsid w:val="00C61578"/>
    <w:rsid w:val="00C6157A"/>
    <w:rsid w:val="00C616C1"/>
    <w:rsid w:val="00C6185C"/>
    <w:rsid w:val="00C61875"/>
    <w:rsid w:val="00C618FF"/>
    <w:rsid w:val="00C61ADC"/>
    <w:rsid w:val="00C61CB8"/>
    <w:rsid w:val="00C61E0F"/>
    <w:rsid w:val="00C61F32"/>
    <w:rsid w:val="00C62038"/>
    <w:rsid w:val="00C62068"/>
    <w:rsid w:val="00C62117"/>
    <w:rsid w:val="00C62182"/>
    <w:rsid w:val="00C6231F"/>
    <w:rsid w:val="00C6242C"/>
    <w:rsid w:val="00C624F6"/>
    <w:rsid w:val="00C626B5"/>
    <w:rsid w:val="00C62867"/>
    <w:rsid w:val="00C6291C"/>
    <w:rsid w:val="00C629C2"/>
    <w:rsid w:val="00C63049"/>
    <w:rsid w:val="00C63083"/>
    <w:rsid w:val="00C6323B"/>
    <w:rsid w:val="00C633EC"/>
    <w:rsid w:val="00C63498"/>
    <w:rsid w:val="00C6364A"/>
    <w:rsid w:val="00C63744"/>
    <w:rsid w:val="00C639EF"/>
    <w:rsid w:val="00C63A0F"/>
    <w:rsid w:val="00C63BB1"/>
    <w:rsid w:val="00C63BD9"/>
    <w:rsid w:val="00C63C96"/>
    <w:rsid w:val="00C63D19"/>
    <w:rsid w:val="00C63D75"/>
    <w:rsid w:val="00C63F87"/>
    <w:rsid w:val="00C640AC"/>
    <w:rsid w:val="00C640C9"/>
    <w:rsid w:val="00C6422D"/>
    <w:rsid w:val="00C64266"/>
    <w:rsid w:val="00C6444D"/>
    <w:rsid w:val="00C64462"/>
    <w:rsid w:val="00C64477"/>
    <w:rsid w:val="00C648F0"/>
    <w:rsid w:val="00C6494C"/>
    <w:rsid w:val="00C64D52"/>
    <w:rsid w:val="00C65070"/>
    <w:rsid w:val="00C650C8"/>
    <w:rsid w:val="00C653E1"/>
    <w:rsid w:val="00C65716"/>
    <w:rsid w:val="00C65A19"/>
    <w:rsid w:val="00C65D8F"/>
    <w:rsid w:val="00C65E69"/>
    <w:rsid w:val="00C662A5"/>
    <w:rsid w:val="00C66436"/>
    <w:rsid w:val="00C66592"/>
    <w:rsid w:val="00C6670E"/>
    <w:rsid w:val="00C66824"/>
    <w:rsid w:val="00C66A71"/>
    <w:rsid w:val="00C66AE4"/>
    <w:rsid w:val="00C66C2F"/>
    <w:rsid w:val="00C66F17"/>
    <w:rsid w:val="00C6716B"/>
    <w:rsid w:val="00C671E8"/>
    <w:rsid w:val="00C67598"/>
    <w:rsid w:val="00C67611"/>
    <w:rsid w:val="00C6771F"/>
    <w:rsid w:val="00C67C46"/>
    <w:rsid w:val="00C67CBC"/>
    <w:rsid w:val="00C67D84"/>
    <w:rsid w:val="00C67DFF"/>
    <w:rsid w:val="00C67E3E"/>
    <w:rsid w:val="00C67EB6"/>
    <w:rsid w:val="00C67F46"/>
    <w:rsid w:val="00C700B8"/>
    <w:rsid w:val="00C70118"/>
    <w:rsid w:val="00C7012A"/>
    <w:rsid w:val="00C704FD"/>
    <w:rsid w:val="00C705DA"/>
    <w:rsid w:val="00C70778"/>
    <w:rsid w:val="00C7082B"/>
    <w:rsid w:val="00C70C80"/>
    <w:rsid w:val="00C70DD6"/>
    <w:rsid w:val="00C70E39"/>
    <w:rsid w:val="00C711D0"/>
    <w:rsid w:val="00C71304"/>
    <w:rsid w:val="00C7156B"/>
    <w:rsid w:val="00C715C4"/>
    <w:rsid w:val="00C7182E"/>
    <w:rsid w:val="00C71868"/>
    <w:rsid w:val="00C71CBE"/>
    <w:rsid w:val="00C71EBF"/>
    <w:rsid w:val="00C720F8"/>
    <w:rsid w:val="00C723C2"/>
    <w:rsid w:val="00C728C4"/>
    <w:rsid w:val="00C72B1B"/>
    <w:rsid w:val="00C72CC0"/>
    <w:rsid w:val="00C72CC6"/>
    <w:rsid w:val="00C72D62"/>
    <w:rsid w:val="00C72EE1"/>
    <w:rsid w:val="00C730BE"/>
    <w:rsid w:val="00C73174"/>
    <w:rsid w:val="00C731C9"/>
    <w:rsid w:val="00C73326"/>
    <w:rsid w:val="00C7346D"/>
    <w:rsid w:val="00C73535"/>
    <w:rsid w:val="00C73605"/>
    <w:rsid w:val="00C737FC"/>
    <w:rsid w:val="00C739EE"/>
    <w:rsid w:val="00C73A50"/>
    <w:rsid w:val="00C73C0D"/>
    <w:rsid w:val="00C73E84"/>
    <w:rsid w:val="00C73F29"/>
    <w:rsid w:val="00C7411F"/>
    <w:rsid w:val="00C742FB"/>
    <w:rsid w:val="00C74327"/>
    <w:rsid w:val="00C74398"/>
    <w:rsid w:val="00C744F5"/>
    <w:rsid w:val="00C74584"/>
    <w:rsid w:val="00C74878"/>
    <w:rsid w:val="00C749AC"/>
    <w:rsid w:val="00C74C13"/>
    <w:rsid w:val="00C74E1C"/>
    <w:rsid w:val="00C74E73"/>
    <w:rsid w:val="00C75120"/>
    <w:rsid w:val="00C752A6"/>
    <w:rsid w:val="00C7550B"/>
    <w:rsid w:val="00C75623"/>
    <w:rsid w:val="00C75637"/>
    <w:rsid w:val="00C75798"/>
    <w:rsid w:val="00C7585C"/>
    <w:rsid w:val="00C75A29"/>
    <w:rsid w:val="00C75DA1"/>
    <w:rsid w:val="00C75E55"/>
    <w:rsid w:val="00C75E5F"/>
    <w:rsid w:val="00C75F4E"/>
    <w:rsid w:val="00C76120"/>
    <w:rsid w:val="00C76223"/>
    <w:rsid w:val="00C767A8"/>
    <w:rsid w:val="00C7693D"/>
    <w:rsid w:val="00C76998"/>
    <w:rsid w:val="00C76A41"/>
    <w:rsid w:val="00C76AA5"/>
    <w:rsid w:val="00C76E30"/>
    <w:rsid w:val="00C76E88"/>
    <w:rsid w:val="00C7732C"/>
    <w:rsid w:val="00C775F4"/>
    <w:rsid w:val="00C77698"/>
    <w:rsid w:val="00C776AC"/>
    <w:rsid w:val="00C7780E"/>
    <w:rsid w:val="00C779CC"/>
    <w:rsid w:val="00C77BAE"/>
    <w:rsid w:val="00C77D92"/>
    <w:rsid w:val="00C77EA9"/>
    <w:rsid w:val="00C77F92"/>
    <w:rsid w:val="00C8009B"/>
    <w:rsid w:val="00C803AF"/>
    <w:rsid w:val="00C80694"/>
    <w:rsid w:val="00C808EF"/>
    <w:rsid w:val="00C80930"/>
    <w:rsid w:val="00C809CD"/>
    <w:rsid w:val="00C80A58"/>
    <w:rsid w:val="00C80EF0"/>
    <w:rsid w:val="00C80F79"/>
    <w:rsid w:val="00C81016"/>
    <w:rsid w:val="00C8118E"/>
    <w:rsid w:val="00C81259"/>
    <w:rsid w:val="00C81545"/>
    <w:rsid w:val="00C816CF"/>
    <w:rsid w:val="00C817E0"/>
    <w:rsid w:val="00C818E8"/>
    <w:rsid w:val="00C81AAE"/>
    <w:rsid w:val="00C81E91"/>
    <w:rsid w:val="00C81E9D"/>
    <w:rsid w:val="00C820AF"/>
    <w:rsid w:val="00C821CA"/>
    <w:rsid w:val="00C821FE"/>
    <w:rsid w:val="00C8222A"/>
    <w:rsid w:val="00C8238C"/>
    <w:rsid w:val="00C82471"/>
    <w:rsid w:val="00C82791"/>
    <w:rsid w:val="00C82ECB"/>
    <w:rsid w:val="00C82ECE"/>
    <w:rsid w:val="00C82ED1"/>
    <w:rsid w:val="00C82FC3"/>
    <w:rsid w:val="00C82FD4"/>
    <w:rsid w:val="00C833A3"/>
    <w:rsid w:val="00C833E5"/>
    <w:rsid w:val="00C8345B"/>
    <w:rsid w:val="00C835B7"/>
    <w:rsid w:val="00C835C9"/>
    <w:rsid w:val="00C8369D"/>
    <w:rsid w:val="00C8395B"/>
    <w:rsid w:val="00C8399E"/>
    <w:rsid w:val="00C839A1"/>
    <w:rsid w:val="00C83ABC"/>
    <w:rsid w:val="00C83AE1"/>
    <w:rsid w:val="00C83E5A"/>
    <w:rsid w:val="00C83FF1"/>
    <w:rsid w:val="00C84123"/>
    <w:rsid w:val="00C8417F"/>
    <w:rsid w:val="00C84294"/>
    <w:rsid w:val="00C842CD"/>
    <w:rsid w:val="00C84504"/>
    <w:rsid w:val="00C8452B"/>
    <w:rsid w:val="00C849D7"/>
    <w:rsid w:val="00C84B58"/>
    <w:rsid w:val="00C84D2B"/>
    <w:rsid w:val="00C850F7"/>
    <w:rsid w:val="00C851F0"/>
    <w:rsid w:val="00C85424"/>
    <w:rsid w:val="00C85426"/>
    <w:rsid w:val="00C8554F"/>
    <w:rsid w:val="00C855DD"/>
    <w:rsid w:val="00C85668"/>
    <w:rsid w:val="00C85750"/>
    <w:rsid w:val="00C857E1"/>
    <w:rsid w:val="00C85A90"/>
    <w:rsid w:val="00C86001"/>
    <w:rsid w:val="00C86052"/>
    <w:rsid w:val="00C8625F"/>
    <w:rsid w:val="00C864CD"/>
    <w:rsid w:val="00C865D1"/>
    <w:rsid w:val="00C866B6"/>
    <w:rsid w:val="00C86985"/>
    <w:rsid w:val="00C869CD"/>
    <w:rsid w:val="00C869D5"/>
    <w:rsid w:val="00C86DBE"/>
    <w:rsid w:val="00C8700B"/>
    <w:rsid w:val="00C87134"/>
    <w:rsid w:val="00C8716A"/>
    <w:rsid w:val="00C871E4"/>
    <w:rsid w:val="00C872D0"/>
    <w:rsid w:val="00C874E8"/>
    <w:rsid w:val="00C8767B"/>
    <w:rsid w:val="00C87A89"/>
    <w:rsid w:val="00C87D46"/>
    <w:rsid w:val="00C9006C"/>
    <w:rsid w:val="00C90140"/>
    <w:rsid w:val="00C901BC"/>
    <w:rsid w:val="00C903A4"/>
    <w:rsid w:val="00C907E5"/>
    <w:rsid w:val="00C9092B"/>
    <w:rsid w:val="00C90C96"/>
    <w:rsid w:val="00C90E3C"/>
    <w:rsid w:val="00C90F86"/>
    <w:rsid w:val="00C91049"/>
    <w:rsid w:val="00C91120"/>
    <w:rsid w:val="00C911F2"/>
    <w:rsid w:val="00C911F5"/>
    <w:rsid w:val="00C91402"/>
    <w:rsid w:val="00C916FF"/>
    <w:rsid w:val="00C917D8"/>
    <w:rsid w:val="00C91947"/>
    <w:rsid w:val="00C919A4"/>
    <w:rsid w:val="00C91A97"/>
    <w:rsid w:val="00C91C98"/>
    <w:rsid w:val="00C91F82"/>
    <w:rsid w:val="00C9229B"/>
    <w:rsid w:val="00C92365"/>
    <w:rsid w:val="00C925A7"/>
    <w:rsid w:val="00C926A3"/>
    <w:rsid w:val="00C9270E"/>
    <w:rsid w:val="00C92828"/>
    <w:rsid w:val="00C9289E"/>
    <w:rsid w:val="00C92BA2"/>
    <w:rsid w:val="00C92DFF"/>
    <w:rsid w:val="00C92E22"/>
    <w:rsid w:val="00C92E29"/>
    <w:rsid w:val="00C93174"/>
    <w:rsid w:val="00C932D9"/>
    <w:rsid w:val="00C93348"/>
    <w:rsid w:val="00C9343F"/>
    <w:rsid w:val="00C9344C"/>
    <w:rsid w:val="00C9389D"/>
    <w:rsid w:val="00C938C1"/>
    <w:rsid w:val="00C93ACD"/>
    <w:rsid w:val="00C93B57"/>
    <w:rsid w:val="00C93D79"/>
    <w:rsid w:val="00C93EA6"/>
    <w:rsid w:val="00C94636"/>
    <w:rsid w:val="00C94797"/>
    <w:rsid w:val="00C949D3"/>
    <w:rsid w:val="00C94AFC"/>
    <w:rsid w:val="00C94C5D"/>
    <w:rsid w:val="00C94D8E"/>
    <w:rsid w:val="00C94DDB"/>
    <w:rsid w:val="00C94E26"/>
    <w:rsid w:val="00C94FDF"/>
    <w:rsid w:val="00C9532D"/>
    <w:rsid w:val="00C95579"/>
    <w:rsid w:val="00C95771"/>
    <w:rsid w:val="00C9590F"/>
    <w:rsid w:val="00C9599C"/>
    <w:rsid w:val="00C959D6"/>
    <w:rsid w:val="00C95B61"/>
    <w:rsid w:val="00C95BFB"/>
    <w:rsid w:val="00C95FBB"/>
    <w:rsid w:val="00C95FC5"/>
    <w:rsid w:val="00C9629B"/>
    <w:rsid w:val="00C96345"/>
    <w:rsid w:val="00C963A4"/>
    <w:rsid w:val="00C9645E"/>
    <w:rsid w:val="00C9651F"/>
    <w:rsid w:val="00C9654B"/>
    <w:rsid w:val="00C96558"/>
    <w:rsid w:val="00C9655A"/>
    <w:rsid w:val="00C966EC"/>
    <w:rsid w:val="00C967C6"/>
    <w:rsid w:val="00C968C1"/>
    <w:rsid w:val="00C9691B"/>
    <w:rsid w:val="00C96AEF"/>
    <w:rsid w:val="00C96B5F"/>
    <w:rsid w:val="00C96B8F"/>
    <w:rsid w:val="00C96C09"/>
    <w:rsid w:val="00C96F3A"/>
    <w:rsid w:val="00C9708A"/>
    <w:rsid w:val="00C971A8"/>
    <w:rsid w:val="00C97437"/>
    <w:rsid w:val="00C97477"/>
    <w:rsid w:val="00C97693"/>
    <w:rsid w:val="00C97975"/>
    <w:rsid w:val="00C97A51"/>
    <w:rsid w:val="00C97B9F"/>
    <w:rsid w:val="00C97BCF"/>
    <w:rsid w:val="00C97C91"/>
    <w:rsid w:val="00CA022D"/>
    <w:rsid w:val="00CA02B2"/>
    <w:rsid w:val="00CA0357"/>
    <w:rsid w:val="00CA0665"/>
    <w:rsid w:val="00CA06D2"/>
    <w:rsid w:val="00CA07DD"/>
    <w:rsid w:val="00CA0BCD"/>
    <w:rsid w:val="00CA10E5"/>
    <w:rsid w:val="00CA13B8"/>
    <w:rsid w:val="00CA17E0"/>
    <w:rsid w:val="00CA18EC"/>
    <w:rsid w:val="00CA1C9C"/>
    <w:rsid w:val="00CA1D5E"/>
    <w:rsid w:val="00CA2202"/>
    <w:rsid w:val="00CA23CC"/>
    <w:rsid w:val="00CA23DD"/>
    <w:rsid w:val="00CA2621"/>
    <w:rsid w:val="00CA27F0"/>
    <w:rsid w:val="00CA2960"/>
    <w:rsid w:val="00CA2BE5"/>
    <w:rsid w:val="00CA2EE9"/>
    <w:rsid w:val="00CA2F64"/>
    <w:rsid w:val="00CA30DE"/>
    <w:rsid w:val="00CA313D"/>
    <w:rsid w:val="00CA332A"/>
    <w:rsid w:val="00CA3338"/>
    <w:rsid w:val="00CA358F"/>
    <w:rsid w:val="00CA36FF"/>
    <w:rsid w:val="00CA37C4"/>
    <w:rsid w:val="00CA3840"/>
    <w:rsid w:val="00CA384A"/>
    <w:rsid w:val="00CA3A94"/>
    <w:rsid w:val="00CA3B91"/>
    <w:rsid w:val="00CA3FD9"/>
    <w:rsid w:val="00CA40A5"/>
    <w:rsid w:val="00CA4290"/>
    <w:rsid w:val="00CA4640"/>
    <w:rsid w:val="00CA4807"/>
    <w:rsid w:val="00CA4896"/>
    <w:rsid w:val="00CA4897"/>
    <w:rsid w:val="00CA4898"/>
    <w:rsid w:val="00CA499A"/>
    <w:rsid w:val="00CA4A2B"/>
    <w:rsid w:val="00CA4AF8"/>
    <w:rsid w:val="00CA4B11"/>
    <w:rsid w:val="00CA4B33"/>
    <w:rsid w:val="00CA4B63"/>
    <w:rsid w:val="00CA4BBE"/>
    <w:rsid w:val="00CA4C30"/>
    <w:rsid w:val="00CA4EB5"/>
    <w:rsid w:val="00CA5019"/>
    <w:rsid w:val="00CA51AC"/>
    <w:rsid w:val="00CA5258"/>
    <w:rsid w:val="00CA52C8"/>
    <w:rsid w:val="00CA5638"/>
    <w:rsid w:val="00CA5699"/>
    <w:rsid w:val="00CA57F6"/>
    <w:rsid w:val="00CA5A8C"/>
    <w:rsid w:val="00CA5E39"/>
    <w:rsid w:val="00CA5E7F"/>
    <w:rsid w:val="00CA5F4F"/>
    <w:rsid w:val="00CA622F"/>
    <w:rsid w:val="00CA636F"/>
    <w:rsid w:val="00CA6498"/>
    <w:rsid w:val="00CA6A25"/>
    <w:rsid w:val="00CA6B48"/>
    <w:rsid w:val="00CA6C4E"/>
    <w:rsid w:val="00CA6D1C"/>
    <w:rsid w:val="00CA7029"/>
    <w:rsid w:val="00CA736A"/>
    <w:rsid w:val="00CA7447"/>
    <w:rsid w:val="00CA7670"/>
    <w:rsid w:val="00CA77B5"/>
    <w:rsid w:val="00CA79E3"/>
    <w:rsid w:val="00CA7ABC"/>
    <w:rsid w:val="00CA7AC0"/>
    <w:rsid w:val="00CA7B41"/>
    <w:rsid w:val="00CA7BEE"/>
    <w:rsid w:val="00CA7DD6"/>
    <w:rsid w:val="00CA7ED3"/>
    <w:rsid w:val="00CAE375"/>
    <w:rsid w:val="00CB0043"/>
    <w:rsid w:val="00CB02BC"/>
    <w:rsid w:val="00CB02D7"/>
    <w:rsid w:val="00CB0462"/>
    <w:rsid w:val="00CB048E"/>
    <w:rsid w:val="00CB07B1"/>
    <w:rsid w:val="00CB07CD"/>
    <w:rsid w:val="00CB07E1"/>
    <w:rsid w:val="00CB094C"/>
    <w:rsid w:val="00CB0999"/>
    <w:rsid w:val="00CB0A50"/>
    <w:rsid w:val="00CB0B77"/>
    <w:rsid w:val="00CB0F38"/>
    <w:rsid w:val="00CB0F87"/>
    <w:rsid w:val="00CB0F8D"/>
    <w:rsid w:val="00CB1053"/>
    <w:rsid w:val="00CB1103"/>
    <w:rsid w:val="00CB1151"/>
    <w:rsid w:val="00CB1194"/>
    <w:rsid w:val="00CB12AA"/>
    <w:rsid w:val="00CB14AB"/>
    <w:rsid w:val="00CB14B2"/>
    <w:rsid w:val="00CB162A"/>
    <w:rsid w:val="00CB1697"/>
    <w:rsid w:val="00CB16D6"/>
    <w:rsid w:val="00CB17C2"/>
    <w:rsid w:val="00CB196A"/>
    <w:rsid w:val="00CB19B4"/>
    <w:rsid w:val="00CB19F0"/>
    <w:rsid w:val="00CB19FF"/>
    <w:rsid w:val="00CB1D0E"/>
    <w:rsid w:val="00CB1ED4"/>
    <w:rsid w:val="00CB20DE"/>
    <w:rsid w:val="00CB20E2"/>
    <w:rsid w:val="00CB23BC"/>
    <w:rsid w:val="00CB253F"/>
    <w:rsid w:val="00CB2634"/>
    <w:rsid w:val="00CB2724"/>
    <w:rsid w:val="00CB272B"/>
    <w:rsid w:val="00CB27A2"/>
    <w:rsid w:val="00CB2B57"/>
    <w:rsid w:val="00CB2D14"/>
    <w:rsid w:val="00CB2D83"/>
    <w:rsid w:val="00CB2E53"/>
    <w:rsid w:val="00CB2E57"/>
    <w:rsid w:val="00CB2E5F"/>
    <w:rsid w:val="00CB2F97"/>
    <w:rsid w:val="00CB3084"/>
    <w:rsid w:val="00CB3086"/>
    <w:rsid w:val="00CB30DF"/>
    <w:rsid w:val="00CB31C3"/>
    <w:rsid w:val="00CB334F"/>
    <w:rsid w:val="00CB33E0"/>
    <w:rsid w:val="00CB3437"/>
    <w:rsid w:val="00CB3564"/>
    <w:rsid w:val="00CB39C8"/>
    <w:rsid w:val="00CB3DC6"/>
    <w:rsid w:val="00CB3E55"/>
    <w:rsid w:val="00CB3F2F"/>
    <w:rsid w:val="00CB3F4A"/>
    <w:rsid w:val="00CB3FA6"/>
    <w:rsid w:val="00CB414C"/>
    <w:rsid w:val="00CB419D"/>
    <w:rsid w:val="00CB42AB"/>
    <w:rsid w:val="00CB4366"/>
    <w:rsid w:val="00CB445C"/>
    <w:rsid w:val="00CB4515"/>
    <w:rsid w:val="00CB4809"/>
    <w:rsid w:val="00CB4A0A"/>
    <w:rsid w:val="00CB4A4C"/>
    <w:rsid w:val="00CB4A50"/>
    <w:rsid w:val="00CB4AA7"/>
    <w:rsid w:val="00CB4ACB"/>
    <w:rsid w:val="00CB4ACC"/>
    <w:rsid w:val="00CB4B7C"/>
    <w:rsid w:val="00CB4E2D"/>
    <w:rsid w:val="00CB50CB"/>
    <w:rsid w:val="00CB53F8"/>
    <w:rsid w:val="00CB5409"/>
    <w:rsid w:val="00CB5500"/>
    <w:rsid w:val="00CB55AC"/>
    <w:rsid w:val="00CB55F9"/>
    <w:rsid w:val="00CB5606"/>
    <w:rsid w:val="00CB5958"/>
    <w:rsid w:val="00CB5972"/>
    <w:rsid w:val="00CB5B75"/>
    <w:rsid w:val="00CB5B8F"/>
    <w:rsid w:val="00CB5E96"/>
    <w:rsid w:val="00CB629A"/>
    <w:rsid w:val="00CB638B"/>
    <w:rsid w:val="00CB64D9"/>
    <w:rsid w:val="00CB6610"/>
    <w:rsid w:val="00CB6763"/>
    <w:rsid w:val="00CB67C5"/>
    <w:rsid w:val="00CB68BE"/>
    <w:rsid w:val="00CB6919"/>
    <w:rsid w:val="00CB6B3C"/>
    <w:rsid w:val="00CB6B67"/>
    <w:rsid w:val="00CB6D87"/>
    <w:rsid w:val="00CB6DFD"/>
    <w:rsid w:val="00CB6F6E"/>
    <w:rsid w:val="00CB6FD0"/>
    <w:rsid w:val="00CB71E3"/>
    <w:rsid w:val="00CB7243"/>
    <w:rsid w:val="00CB7312"/>
    <w:rsid w:val="00CB73F3"/>
    <w:rsid w:val="00CB7476"/>
    <w:rsid w:val="00CB74DE"/>
    <w:rsid w:val="00CB78C0"/>
    <w:rsid w:val="00CB7A7A"/>
    <w:rsid w:val="00CB7B19"/>
    <w:rsid w:val="00CB7E50"/>
    <w:rsid w:val="00CB7ED9"/>
    <w:rsid w:val="00CC0128"/>
    <w:rsid w:val="00CC02E0"/>
    <w:rsid w:val="00CC064F"/>
    <w:rsid w:val="00CC072B"/>
    <w:rsid w:val="00CC07CB"/>
    <w:rsid w:val="00CC0A32"/>
    <w:rsid w:val="00CC1122"/>
    <w:rsid w:val="00CC1152"/>
    <w:rsid w:val="00CC125F"/>
    <w:rsid w:val="00CC135F"/>
    <w:rsid w:val="00CC1549"/>
    <w:rsid w:val="00CC16FD"/>
    <w:rsid w:val="00CC1765"/>
    <w:rsid w:val="00CC181F"/>
    <w:rsid w:val="00CC199D"/>
    <w:rsid w:val="00CC1A18"/>
    <w:rsid w:val="00CC1A63"/>
    <w:rsid w:val="00CC1DAB"/>
    <w:rsid w:val="00CC1DD8"/>
    <w:rsid w:val="00CC1EB5"/>
    <w:rsid w:val="00CC1F09"/>
    <w:rsid w:val="00CC20DF"/>
    <w:rsid w:val="00CC20E0"/>
    <w:rsid w:val="00CC2125"/>
    <w:rsid w:val="00CC2304"/>
    <w:rsid w:val="00CC263F"/>
    <w:rsid w:val="00CC2834"/>
    <w:rsid w:val="00CC29DE"/>
    <w:rsid w:val="00CC2B74"/>
    <w:rsid w:val="00CC2BE1"/>
    <w:rsid w:val="00CC2BEA"/>
    <w:rsid w:val="00CC2C9B"/>
    <w:rsid w:val="00CC2DF6"/>
    <w:rsid w:val="00CC2E43"/>
    <w:rsid w:val="00CC3183"/>
    <w:rsid w:val="00CC33DF"/>
    <w:rsid w:val="00CC35CC"/>
    <w:rsid w:val="00CC3678"/>
    <w:rsid w:val="00CC382C"/>
    <w:rsid w:val="00CC38F1"/>
    <w:rsid w:val="00CC3AAC"/>
    <w:rsid w:val="00CC3B3D"/>
    <w:rsid w:val="00CC3DAC"/>
    <w:rsid w:val="00CC3F3C"/>
    <w:rsid w:val="00CC403F"/>
    <w:rsid w:val="00CC4055"/>
    <w:rsid w:val="00CC412F"/>
    <w:rsid w:val="00CC4166"/>
    <w:rsid w:val="00CC42CE"/>
    <w:rsid w:val="00CC4499"/>
    <w:rsid w:val="00CC4569"/>
    <w:rsid w:val="00CC478F"/>
    <w:rsid w:val="00CC4A17"/>
    <w:rsid w:val="00CC4E09"/>
    <w:rsid w:val="00CC4F5A"/>
    <w:rsid w:val="00CC4F9B"/>
    <w:rsid w:val="00CC51CB"/>
    <w:rsid w:val="00CC524C"/>
    <w:rsid w:val="00CC5258"/>
    <w:rsid w:val="00CC5275"/>
    <w:rsid w:val="00CC561C"/>
    <w:rsid w:val="00CC5963"/>
    <w:rsid w:val="00CC59F3"/>
    <w:rsid w:val="00CC5B8E"/>
    <w:rsid w:val="00CC5BA6"/>
    <w:rsid w:val="00CC5C35"/>
    <w:rsid w:val="00CC5E5C"/>
    <w:rsid w:val="00CC5F9A"/>
    <w:rsid w:val="00CC5FEB"/>
    <w:rsid w:val="00CC6007"/>
    <w:rsid w:val="00CC61A2"/>
    <w:rsid w:val="00CC61AE"/>
    <w:rsid w:val="00CC61CA"/>
    <w:rsid w:val="00CC62AF"/>
    <w:rsid w:val="00CC64CB"/>
    <w:rsid w:val="00CC6576"/>
    <w:rsid w:val="00CC6613"/>
    <w:rsid w:val="00CC687B"/>
    <w:rsid w:val="00CC689C"/>
    <w:rsid w:val="00CC68F4"/>
    <w:rsid w:val="00CC68F6"/>
    <w:rsid w:val="00CC6BF0"/>
    <w:rsid w:val="00CC6F6B"/>
    <w:rsid w:val="00CC6FD5"/>
    <w:rsid w:val="00CC70CE"/>
    <w:rsid w:val="00CC718F"/>
    <w:rsid w:val="00CC74D9"/>
    <w:rsid w:val="00CC76B8"/>
    <w:rsid w:val="00CC7751"/>
    <w:rsid w:val="00CC775D"/>
    <w:rsid w:val="00CC77EF"/>
    <w:rsid w:val="00CC78E7"/>
    <w:rsid w:val="00CC7954"/>
    <w:rsid w:val="00CC7CEE"/>
    <w:rsid w:val="00CC7D82"/>
    <w:rsid w:val="00CC7DC6"/>
    <w:rsid w:val="00CC7E51"/>
    <w:rsid w:val="00CD01F2"/>
    <w:rsid w:val="00CD0313"/>
    <w:rsid w:val="00CD066B"/>
    <w:rsid w:val="00CD068A"/>
    <w:rsid w:val="00CD086F"/>
    <w:rsid w:val="00CD095E"/>
    <w:rsid w:val="00CD09DA"/>
    <w:rsid w:val="00CD0AB7"/>
    <w:rsid w:val="00CD0AD1"/>
    <w:rsid w:val="00CD0BCA"/>
    <w:rsid w:val="00CD0D24"/>
    <w:rsid w:val="00CD0DBA"/>
    <w:rsid w:val="00CD0E4A"/>
    <w:rsid w:val="00CD0ED3"/>
    <w:rsid w:val="00CD0F0B"/>
    <w:rsid w:val="00CD1069"/>
    <w:rsid w:val="00CD106F"/>
    <w:rsid w:val="00CD1074"/>
    <w:rsid w:val="00CD1141"/>
    <w:rsid w:val="00CD118D"/>
    <w:rsid w:val="00CD1294"/>
    <w:rsid w:val="00CD14AD"/>
    <w:rsid w:val="00CD1552"/>
    <w:rsid w:val="00CD159A"/>
    <w:rsid w:val="00CD15B5"/>
    <w:rsid w:val="00CD1ACD"/>
    <w:rsid w:val="00CD2BB3"/>
    <w:rsid w:val="00CD2C40"/>
    <w:rsid w:val="00CD2CB4"/>
    <w:rsid w:val="00CD2D0B"/>
    <w:rsid w:val="00CD2D17"/>
    <w:rsid w:val="00CD2DAC"/>
    <w:rsid w:val="00CD2DF0"/>
    <w:rsid w:val="00CD2E61"/>
    <w:rsid w:val="00CD2FE3"/>
    <w:rsid w:val="00CD2FEC"/>
    <w:rsid w:val="00CD30FE"/>
    <w:rsid w:val="00CD31DB"/>
    <w:rsid w:val="00CD35F4"/>
    <w:rsid w:val="00CD361D"/>
    <w:rsid w:val="00CD377D"/>
    <w:rsid w:val="00CD3942"/>
    <w:rsid w:val="00CD3C9E"/>
    <w:rsid w:val="00CD3CE9"/>
    <w:rsid w:val="00CD3CFA"/>
    <w:rsid w:val="00CD40A2"/>
    <w:rsid w:val="00CD4410"/>
    <w:rsid w:val="00CD4587"/>
    <w:rsid w:val="00CD4604"/>
    <w:rsid w:val="00CD4AD1"/>
    <w:rsid w:val="00CD4F27"/>
    <w:rsid w:val="00CD4FDD"/>
    <w:rsid w:val="00CD5053"/>
    <w:rsid w:val="00CD518D"/>
    <w:rsid w:val="00CD5258"/>
    <w:rsid w:val="00CD52B0"/>
    <w:rsid w:val="00CD5414"/>
    <w:rsid w:val="00CD54BA"/>
    <w:rsid w:val="00CD564F"/>
    <w:rsid w:val="00CD58A8"/>
    <w:rsid w:val="00CD6123"/>
    <w:rsid w:val="00CD61A2"/>
    <w:rsid w:val="00CD6531"/>
    <w:rsid w:val="00CD659C"/>
    <w:rsid w:val="00CD661F"/>
    <w:rsid w:val="00CD66A8"/>
    <w:rsid w:val="00CD6801"/>
    <w:rsid w:val="00CD6818"/>
    <w:rsid w:val="00CD68F5"/>
    <w:rsid w:val="00CD694E"/>
    <w:rsid w:val="00CD69EF"/>
    <w:rsid w:val="00CD6A7F"/>
    <w:rsid w:val="00CD6F11"/>
    <w:rsid w:val="00CD7060"/>
    <w:rsid w:val="00CD70AB"/>
    <w:rsid w:val="00CD7272"/>
    <w:rsid w:val="00CD7400"/>
    <w:rsid w:val="00CD792D"/>
    <w:rsid w:val="00CD7A5E"/>
    <w:rsid w:val="00CD7BF6"/>
    <w:rsid w:val="00CD7D0D"/>
    <w:rsid w:val="00CE008E"/>
    <w:rsid w:val="00CE0231"/>
    <w:rsid w:val="00CE04BA"/>
    <w:rsid w:val="00CE0596"/>
    <w:rsid w:val="00CE05CF"/>
    <w:rsid w:val="00CE05D7"/>
    <w:rsid w:val="00CE068B"/>
    <w:rsid w:val="00CE068C"/>
    <w:rsid w:val="00CE08A5"/>
    <w:rsid w:val="00CE0A97"/>
    <w:rsid w:val="00CE0A9C"/>
    <w:rsid w:val="00CE0B4B"/>
    <w:rsid w:val="00CE0B53"/>
    <w:rsid w:val="00CE0D68"/>
    <w:rsid w:val="00CE0DC9"/>
    <w:rsid w:val="00CE104F"/>
    <w:rsid w:val="00CE1276"/>
    <w:rsid w:val="00CE1768"/>
    <w:rsid w:val="00CE17B4"/>
    <w:rsid w:val="00CE17DF"/>
    <w:rsid w:val="00CE1AED"/>
    <w:rsid w:val="00CE1F75"/>
    <w:rsid w:val="00CE23BE"/>
    <w:rsid w:val="00CE2593"/>
    <w:rsid w:val="00CE2745"/>
    <w:rsid w:val="00CE28D2"/>
    <w:rsid w:val="00CE2A08"/>
    <w:rsid w:val="00CE2A44"/>
    <w:rsid w:val="00CE2C09"/>
    <w:rsid w:val="00CE2CF5"/>
    <w:rsid w:val="00CE2F70"/>
    <w:rsid w:val="00CE3442"/>
    <w:rsid w:val="00CE3478"/>
    <w:rsid w:val="00CE34C4"/>
    <w:rsid w:val="00CE35EB"/>
    <w:rsid w:val="00CE361F"/>
    <w:rsid w:val="00CE381C"/>
    <w:rsid w:val="00CE38F4"/>
    <w:rsid w:val="00CE39DA"/>
    <w:rsid w:val="00CE3A4B"/>
    <w:rsid w:val="00CE4010"/>
    <w:rsid w:val="00CE413D"/>
    <w:rsid w:val="00CE4192"/>
    <w:rsid w:val="00CE428C"/>
    <w:rsid w:val="00CE4452"/>
    <w:rsid w:val="00CE4561"/>
    <w:rsid w:val="00CE4836"/>
    <w:rsid w:val="00CE4C27"/>
    <w:rsid w:val="00CE4E28"/>
    <w:rsid w:val="00CE4E39"/>
    <w:rsid w:val="00CE4E91"/>
    <w:rsid w:val="00CE4F8D"/>
    <w:rsid w:val="00CE514A"/>
    <w:rsid w:val="00CE5361"/>
    <w:rsid w:val="00CE540B"/>
    <w:rsid w:val="00CE5438"/>
    <w:rsid w:val="00CE55F7"/>
    <w:rsid w:val="00CE5807"/>
    <w:rsid w:val="00CE5960"/>
    <w:rsid w:val="00CE5A9F"/>
    <w:rsid w:val="00CE5B1F"/>
    <w:rsid w:val="00CE5C90"/>
    <w:rsid w:val="00CE5DF5"/>
    <w:rsid w:val="00CE5E1F"/>
    <w:rsid w:val="00CE61EA"/>
    <w:rsid w:val="00CE6463"/>
    <w:rsid w:val="00CE65A4"/>
    <w:rsid w:val="00CE66EF"/>
    <w:rsid w:val="00CE6838"/>
    <w:rsid w:val="00CE68D4"/>
    <w:rsid w:val="00CE6929"/>
    <w:rsid w:val="00CE69CC"/>
    <w:rsid w:val="00CE6A07"/>
    <w:rsid w:val="00CE6AFB"/>
    <w:rsid w:val="00CE6CDC"/>
    <w:rsid w:val="00CE6DD8"/>
    <w:rsid w:val="00CE6EDB"/>
    <w:rsid w:val="00CE71CE"/>
    <w:rsid w:val="00CE7207"/>
    <w:rsid w:val="00CE744C"/>
    <w:rsid w:val="00CE7949"/>
    <w:rsid w:val="00CE7BEB"/>
    <w:rsid w:val="00CE7DFB"/>
    <w:rsid w:val="00CE7EDF"/>
    <w:rsid w:val="00CE7F21"/>
    <w:rsid w:val="00CE7FFD"/>
    <w:rsid w:val="00CF0037"/>
    <w:rsid w:val="00CF0231"/>
    <w:rsid w:val="00CF05B3"/>
    <w:rsid w:val="00CF0603"/>
    <w:rsid w:val="00CF0646"/>
    <w:rsid w:val="00CF07F5"/>
    <w:rsid w:val="00CF0825"/>
    <w:rsid w:val="00CF09E3"/>
    <w:rsid w:val="00CF0BBE"/>
    <w:rsid w:val="00CF0BCA"/>
    <w:rsid w:val="00CF0C90"/>
    <w:rsid w:val="00CF0E34"/>
    <w:rsid w:val="00CF0E3E"/>
    <w:rsid w:val="00CF11A5"/>
    <w:rsid w:val="00CF1405"/>
    <w:rsid w:val="00CF1473"/>
    <w:rsid w:val="00CF1898"/>
    <w:rsid w:val="00CF198E"/>
    <w:rsid w:val="00CF1A0B"/>
    <w:rsid w:val="00CF1BED"/>
    <w:rsid w:val="00CF1C98"/>
    <w:rsid w:val="00CF1D99"/>
    <w:rsid w:val="00CF1DAE"/>
    <w:rsid w:val="00CF2226"/>
    <w:rsid w:val="00CF2684"/>
    <w:rsid w:val="00CF28DA"/>
    <w:rsid w:val="00CF2ACC"/>
    <w:rsid w:val="00CF2FCD"/>
    <w:rsid w:val="00CF309F"/>
    <w:rsid w:val="00CF339E"/>
    <w:rsid w:val="00CF3482"/>
    <w:rsid w:val="00CF36B1"/>
    <w:rsid w:val="00CF3872"/>
    <w:rsid w:val="00CF38A8"/>
    <w:rsid w:val="00CF3A56"/>
    <w:rsid w:val="00CF3AB3"/>
    <w:rsid w:val="00CF3AC0"/>
    <w:rsid w:val="00CF3AC3"/>
    <w:rsid w:val="00CF3D75"/>
    <w:rsid w:val="00CF3F63"/>
    <w:rsid w:val="00CF40AA"/>
    <w:rsid w:val="00CF4167"/>
    <w:rsid w:val="00CF45DA"/>
    <w:rsid w:val="00CF468D"/>
    <w:rsid w:val="00CF488D"/>
    <w:rsid w:val="00CF4B07"/>
    <w:rsid w:val="00CF4B21"/>
    <w:rsid w:val="00CF4E90"/>
    <w:rsid w:val="00CF4F2B"/>
    <w:rsid w:val="00CF5122"/>
    <w:rsid w:val="00CF5231"/>
    <w:rsid w:val="00CF54AD"/>
    <w:rsid w:val="00CF5560"/>
    <w:rsid w:val="00CF5842"/>
    <w:rsid w:val="00CF5B08"/>
    <w:rsid w:val="00CF5CB3"/>
    <w:rsid w:val="00CF5DE3"/>
    <w:rsid w:val="00CF5E8D"/>
    <w:rsid w:val="00CF5E92"/>
    <w:rsid w:val="00CF5EDF"/>
    <w:rsid w:val="00CF5F5D"/>
    <w:rsid w:val="00CF6425"/>
    <w:rsid w:val="00CF674D"/>
    <w:rsid w:val="00CF6752"/>
    <w:rsid w:val="00CF6771"/>
    <w:rsid w:val="00CF6832"/>
    <w:rsid w:val="00CF6855"/>
    <w:rsid w:val="00CF688C"/>
    <w:rsid w:val="00CF69E7"/>
    <w:rsid w:val="00CF6C72"/>
    <w:rsid w:val="00CF7280"/>
    <w:rsid w:val="00CF72CF"/>
    <w:rsid w:val="00CF73AD"/>
    <w:rsid w:val="00CF7617"/>
    <w:rsid w:val="00CF77C0"/>
    <w:rsid w:val="00CF77F1"/>
    <w:rsid w:val="00CF7972"/>
    <w:rsid w:val="00CF7C01"/>
    <w:rsid w:val="00CF7D67"/>
    <w:rsid w:val="00CF7E79"/>
    <w:rsid w:val="00D000EC"/>
    <w:rsid w:val="00D001EC"/>
    <w:rsid w:val="00D00478"/>
    <w:rsid w:val="00D00775"/>
    <w:rsid w:val="00D00916"/>
    <w:rsid w:val="00D009F7"/>
    <w:rsid w:val="00D00A73"/>
    <w:rsid w:val="00D00AB8"/>
    <w:rsid w:val="00D00B24"/>
    <w:rsid w:val="00D00B62"/>
    <w:rsid w:val="00D00D88"/>
    <w:rsid w:val="00D00DB6"/>
    <w:rsid w:val="00D00E45"/>
    <w:rsid w:val="00D00ECD"/>
    <w:rsid w:val="00D00F26"/>
    <w:rsid w:val="00D00F52"/>
    <w:rsid w:val="00D00FC7"/>
    <w:rsid w:val="00D0108E"/>
    <w:rsid w:val="00D012C9"/>
    <w:rsid w:val="00D012F6"/>
    <w:rsid w:val="00D015B5"/>
    <w:rsid w:val="00D01610"/>
    <w:rsid w:val="00D016C3"/>
    <w:rsid w:val="00D017A1"/>
    <w:rsid w:val="00D01823"/>
    <w:rsid w:val="00D01B90"/>
    <w:rsid w:val="00D01BEA"/>
    <w:rsid w:val="00D01DB1"/>
    <w:rsid w:val="00D01E8C"/>
    <w:rsid w:val="00D0229E"/>
    <w:rsid w:val="00D022AE"/>
    <w:rsid w:val="00D02409"/>
    <w:rsid w:val="00D02611"/>
    <w:rsid w:val="00D026D9"/>
    <w:rsid w:val="00D026F1"/>
    <w:rsid w:val="00D02798"/>
    <w:rsid w:val="00D027B4"/>
    <w:rsid w:val="00D0284E"/>
    <w:rsid w:val="00D02953"/>
    <w:rsid w:val="00D02985"/>
    <w:rsid w:val="00D02D54"/>
    <w:rsid w:val="00D02D7E"/>
    <w:rsid w:val="00D02D9C"/>
    <w:rsid w:val="00D03255"/>
    <w:rsid w:val="00D03575"/>
    <w:rsid w:val="00D036F6"/>
    <w:rsid w:val="00D03718"/>
    <w:rsid w:val="00D0373C"/>
    <w:rsid w:val="00D03902"/>
    <w:rsid w:val="00D03952"/>
    <w:rsid w:val="00D03A9B"/>
    <w:rsid w:val="00D03DB9"/>
    <w:rsid w:val="00D03E0C"/>
    <w:rsid w:val="00D03FFE"/>
    <w:rsid w:val="00D0412A"/>
    <w:rsid w:val="00D0415D"/>
    <w:rsid w:val="00D04191"/>
    <w:rsid w:val="00D04303"/>
    <w:rsid w:val="00D0432C"/>
    <w:rsid w:val="00D04495"/>
    <w:rsid w:val="00D044C3"/>
    <w:rsid w:val="00D044FE"/>
    <w:rsid w:val="00D04527"/>
    <w:rsid w:val="00D045C6"/>
    <w:rsid w:val="00D04A78"/>
    <w:rsid w:val="00D04C6C"/>
    <w:rsid w:val="00D04D18"/>
    <w:rsid w:val="00D04FE1"/>
    <w:rsid w:val="00D05181"/>
    <w:rsid w:val="00D051BA"/>
    <w:rsid w:val="00D05204"/>
    <w:rsid w:val="00D05457"/>
    <w:rsid w:val="00D054BD"/>
    <w:rsid w:val="00D057D6"/>
    <w:rsid w:val="00D05865"/>
    <w:rsid w:val="00D05D75"/>
    <w:rsid w:val="00D05DB3"/>
    <w:rsid w:val="00D05E60"/>
    <w:rsid w:val="00D05EC4"/>
    <w:rsid w:val="00D06198"/>
    <w:rsid w:val="00D062F2"/>
    <w:rsid w:val="00D06430"/>
    <w:rsid w:val="00D06467"/>
    <w:rsid w:val="00D064B2"/>
    <w:rsid w:val="00D06960"/>
    <w:rsid w:val="00D06995"/>
    <w:rsid w:val="00D069F0"/>
    <w:rsid w:val="00D06D0F"/>
    <w:rsid w:val="00D06D4A"/>
    <w:rsid w:val="00D0705E"/>
    <w:rsid w:val="00D070F0"/>
    <w:rsid w:val="00D071AF"/>
    <w:rsid w:val="00D071DE"/>
    <w:rsid w:val="00D07235"/>
    <w:rsid w:val="00D0724F"/>
    <w:rsid w:val="00D07569"/>
    <w:rsid w:val="00D075B4"/>
    <w:rsid w:val="00D075F7"/>
    <w:rsid w:val="00D07A68"/>
    <w:rsid w:val="00D07A83"/>
    <w:rsid w:val="00D07BA0"/>
    <w:rsid w:val="00D07BAE"/>
    <w:rsid w:val="00D10006"/>
    <w:rsid w:val="00D10181"/>
    <w:rsid w:val="00D10374"/>
    <w:rsid w:val="00D10393"/>
    <w:rsid w:val="00D1045D"/>
    <w:rsid w:val="00D10624"/>
    <w:rsid w:val="00D10A74"/>
    <w:rsid w:val="00D10B1E"/>
    <w:rsid w:val="00D10B41"/>
    <w:rsid w:val="00D10D80"/>
    <w:rsid w:val="00D10EEC"/>
    <w:rsid w:val="00D10F3E"/>
    <w:rsid w:val="00D10FDE"/>
    <w:rsid w:val="00D11277"/>
    <w:rsid w:val="00D1152D"/>
    <w:rsid w:val="00D11767"/>
    <w:rsid w:val="00D119A6"/>
    <w:rsid w:val="00D11AF9"/>
    <w:rsid w:val="00D11CE0"/>
    <w:rsid w:val="00D12216"/>
    <w:rsid w:val="00D12530"/>
    <w:rsid w:val="00D126EE"/>
    <w:rsid w:val="00D12C55"/>
    <w:rsid w:val="00D12CCE"/>
    <w:rsid w:val="00D12DE3"/>
    <w:rsid w:val="00D12E18"/>
    <w:rsid w:val="00D12F68"/>
    <w:rsid w:val="00D1307B"/>
    <w:rsid w:val="00D133CF"/>
    <w:rsid w:val="00D137E3"/>
    <w:rsid w:val="00D13AAA"/>
    <w:rsid w:val="00D13AD3"/>
    <w:rsid w:val="00D13B83"/>
    <w:rsid w:val="00D13C21"/>
    <w:rsid w:val="00D13CE7"/>
    <w:rsid w:val="00D13EB7"/>
    <w:rsid w:val="00D13F0D"/>
    <w:rsid w:val="00D14365"/>
    <w:rsid w:val="00D14585"/>
    <w:rsid w:val="00D145D2"/>
    <w:rsid w:val="00D146F1"/>
    <w:rsid w:val="00D14736"/>
    <w:rsid w:val="00D14A76"/>
    <w:rsid w:val="00D14AE5"/>
    <w:rsid w:val="00D14AFD"/>
    <w:rsid w:val="00D14C5C"/>
    <w:rsid w:val="00D14D5D"/>
    <w:rsid w:val="00D14D70"/>
    <w:rsid w:val="00D14F21"/>
    <w:rsid w:val="00D14F83"/>
    <w:rsid w:val="00D14FEC"/>
    <w:rsid w:val="00D150B1"/>
    <w:rsid w:val="00D15391"/>
    <w:rsid w:val="00D1557A"/>
    <w:rsid w:val="00D156BD"/>
    <w:rsid w:val="00D1592F"/>
    <w:rsid w:val="00D15942"/>
    <w:rsid w:val="00D15B06"/>
    <w:rsid w:val="00D15B99"/>
    <w:rsid w:val="00D15F46"/>
    <w:rsid w:val="00D16374"/>
    <w:rsid w:val="00D163E2"/>
    <w:rsid w:val="00D1642C"/>
    <w:rsid w:val="00D165DA"/>
    <w:rsid w:val="00D1662A"/>
    <w:rsid w:val="00D1664A"/>
    <w:rsid w:val="00D1674F"/>
    <w:rsid w:val="00D16779"/>
    <w:rsid w:val="00D1682E"/>
    <w:rsid w:val="00D16D46"/>
    <w:rsid w:val="00D17029"/>
    <w:rsid w:val="00D1724B"/>
    <w:rsid w:val="00D173F3"/>
    <w:rsid w:val="00D174AD"/>
    <w:rsid w:val="00D17512"/>
    <w:rsid w:val="00D17775"/>
    <w:rsid w:val="00D177C8"/>
    <w:rsid w:val="00D177E2"/>
    <w:rsid w:val="00D17BAA"/>
    <w:rsid w:val="00D17BDD"/>
    <w:rsid w:val="00D17C16"/>
    <w:rsid w:val="00D17CF6"/>
    <w:rsid w:val="00D17E5B"/>
    <w:rsid w:val="00D17E6D"/>
    <w:rsid w:val="00D17E92"/>
    <w:rsid w:val="00D17FC2"/>
    <w:rsid w:val="00D201B5"/>
    <w:rsid w:val="00D20220"/>
    <w:rsid w:val="00D202FB"/>
    <w:rsid w:val="00D2039F"/>
    <w:rsid w:val="00D2078C"/>
    <w:rsid w:val="00D20923"/>
    <w:rsid w:val="00D20A11"/>
    <w:rsid w:val="00D20CDD"/>
    <w:rsid w:val="00D20DCF"/>
    <w:rsid w:val="00D20FD1"/>
    <w:rsid w:val="00D2114B"/>
    <w:rsid w:val="00D211A9"/>
    <w:rsid w:val="00D21681"/>
    <w:rsid w:val="00D2175A"/>
    <w:rsid w:val="00D2176A"/>
    <w:rsid w:val="00D217D3"/>
    <w:rsid w:val="00D218E9"/>
    <w:rsid w:val="00D21BE0"/>
    <w:rsid w:val="00D21CF4"/>
    <w:rsid w:val="00D21FDD"/>
    <w:rsid w:val="00D22395"/>
    <w:rsid w:val="00D2240F"/>
    <w:rsid w:val="00D22667"/>
    <w:rsid w:val="00D22787"/>
    <w:rsid w:val="00D22913"/>
    <w:rsid w:val="00D22B55"/>
    <w:rsid w:val="00D22B8A"/>
    <w:rsid w:val="00D22DD3"/>
    <w:rsid w:val="00D22DE5"/>
    <w:rsid w:val="00D22EE0"/>
    <w:rsid w:val="00D23314"/>
    <w:rsid w:val="00D235A3"/>
    <w:rsid w:val="00D23820"/>
    <w:rsid w:val="00D238F4"/>
    <w:rsid w:val="00D2396E"/>
    <w:rsid w:val="00D2397C"/>
    <w:rsid w:val="00D239CF"/>
    <w:rsid w:val="00D239D7"/>
    <w:rsid w:val="00D23A11"/>
    <w:rsid w:val="00D23A65"/>
    <w:rsid w:val="00D23B20"/>
    <w:rsid w:val="00D23CB9"/>
    <w:rsid w:val="00D23D76"/>
    <w:rsid w:val="00D23DD9"/>
    <w:rsid w:val="00D24022"/>
    <w:rsid w:val="00D2419D"/>
    <w:rsid w:val="00D24354"/>
    <w:rsid w:val="00D243A7"/>
    <w:rsid w:val="00D245F9"/>
    <w:rsid w:val="00D24729"/>
    <w:rsid w:val="00D24777"/>
    <w:rsid w:val="00D247AD"/>
    <w:rsid w:val="00D24934"/>
    <w:rsid w:val="00D24ABD"/>
    <w:rsid w:val="00D24D49"/>
    <w:rsid w:val="00D24E01"/>
    <w:rsid w:val="00D24E86"/>
    <w:rsid w:val="00D24EAA"/>
    <w:rsid w:val="00D24F58"/>
    <w:rsid w:val="00D24F92"/>
    <w:rsid w:val="00D2528B"/>
    <w:rsid w:val="00D2531D"/>
    <w:rsid w:val="00D25336"/>
    <w:rsid w:val="00D2548B"/>
    <w:rsid w:val="00D25748"/>
    <w:rsid w:val="00D257FA"/>
    <w:rsid w:val="00D2588D"/>
    <w:rsid w:val="00D258F3"/>
    <w:rsid w:val="00D25942"/>
    <w:rsid w:val="00D259C3"/>
    <w:rsid w:val="00D25C50"/>
    <w:rsid w:val="00D25DAB"/>
    <w:rsid w:val="00D25E17"/>
    <w:rsid w:val="00D25EF8"/>
    <w:rsid w:val="00D25F64"/>
    <w:rsid w:val="00D26124"/>
    <w:rsid w:val="00D2618D"/>
    <w:rsid w:val="00D262ED"/>
    <w:rsid w:val="00D26517"/>
    <w:rsid w:val="00D26697"/>
    <w:rsid w:val="00D26729"/>
    <w:rsid w:val="00D26935"/>
    <w:rsid w:val="00D26AC2"/>
    <w:rsid w:val="00D26BDD"/>
    <w:rsid w:val="00D26C8D"/>
    <w:rsid w:val="00D26E30"/>
    <w:rsid w:val="00D2728E"/>
    <w:rsid w:val="00D273EE"/>
    <w:rsid w:val="00D27425"/>
    <w:rsid w:val="00D274C2"/>
    <w:rsid w:val="00D2751D"/>
    <w:rsid w:val="00D278E7"/>
    <w:rsid w:val="00D27927"/>
    <w:rsid w:val="00D27A74"/>
    <w:rsid w:val="00D27BB5"/>
    <w:rsid w:val="00D27C2A"/>
    <w:rsid w:val="00D27C39"/>
    <w:rsid w:val="00D30146"/>
    <w:rsid w:val="00D30211"/>
    <w:rsid w:val="00D302BD"/>
    <w:rsid w:val="00D304CF"/>
    <w:rsid w:val="00D30677"/>
    <w:rsid w:val="00D30CD2"/>
    <w:rsid w:val="00D30D32"/>
    <w:rsid w:val="00D30E5A"/>
    <w:rsid w:val="00D30E8C"/>
    <w:rsid w:val="00D30F54"/>
    <w:rsid w:val="00D31123"/>
    <w:rsid w:val="00D316B0"/>
    <w:rsid w:val="00D3199E"/>
    <w:rsid w:val="00D31C77"/>
    <w:rsid w:val="00D31CF5"/>
    <w:rsid w:val="00D31CF7"/>
    <w:rsid w:val="00D32339"/>
    <w:rsid w:val="00D32459"/>
    <w:rsid w:val="00D3258F"/>
    <w:rsid w:val="00D325DF"/>
    <w:rsid w:val="00D326F2"/>
    <w:rsid w:val="00D32818"/>
    <w:rsid w:val="00D3292A"/>
    <w:rsid w:val="00D32B89"/>
    <w:rsid w:val="00D32BDF"/>
    <w:rsid w:val="00D32CE8"/>
    <w:rsid w:val="00D32F74"/>
    <w:rsid w:val="00D33021"/>
    <w:rsid w:val="00D331C8"/>
    <w:rsid w:val="00D332C2"/>
    <w:rsid w:val="00D332EC"/>
    <w:rsid w:val="00D333EF"/>
    <w:rsid w:val="00D337E4"/>
    <w:rsid w:val="00D33897"/>
    <w:rsid w:val="00D339A8"/>
    <w:rsid w:val="00D33A70"/>
    <w:rsid w:val="00D33B3D"/>
    <w:rsid w:val="00D33DD6"/>
    <w:rsid w:val="00D33E34"/>
    <w:rsid w:val="00D3406B"/>
    <w:rsid w:val="00D340C6"/>
    <w:rsid w:val="00D340ED"/>
    <w:rsid w:val="00D3411A"/>
    <w:rsid w:val="00D34279"/>
    <w:rsid w:val="00D342C8"/>
    <w:rsid w:val="00D34463"/>
    <w:rsid w:val="00D346B4"/>
    <w:rsid w:val="00D3546C"/>
    <w:rsid w:val="00D35514"/>
    <w:rsid w:val="00D35598"/>
    <w:rsid w:val="00D35730"/>
    <w:rsid w:val="00D35A79"/>
    <w:rsid w:val="00D35B86"/>
    <w:rsid w:val="00D35C6C"/>
    <w:rsid w:val="00D35E0C"/>
    <w:rsid w:val="00D35EC5"/>
    <w:rsid w:val="00D35F34"/>
    <w:rsid w:val="00D36015"/>
    <w:rsid w:val="00D36072"/>
    <w:rsid w:val="00D36095"/>
    <w:rsid w:val="00D360D5"/>
    <w:rsid w:val="00D365B5"/>
    <w:rsid w:val="00D366D4"/>
    <w:rsid w:val="00D36732"/>
    <w:rsid w:val="00D36745"/>
    <w:rsid w:val="00D36809"/>
    <w:rsid w:val="00D36946"/>
    <w:rsid w:val="00D369FC"/>
    <w:rsid w:val="00D36AD2"/>
    <w:rsid w:val="00D36D50"/>
    <w:rsid w:val="00D36DEF"/>
    <w:rsid w:val="00D36E25"/>
    <w:rsid w:val="00D3700B"/>
    <w:rsid w:val="00D370E8"/>
    <w:rsid w:val="00D37252"/>
    <w:rsid w:val="00D373E8"/>
    <w:rsid w:val="00D37413"/>
    <w:rsid w:val="00D37698"/>
    <w:rsid w:val="00D37770"/>
    <w:rsid w:val="00D37996"/>
    <w:rsid w:val="00D39EE7"/>
    <w:rsid w:val="00D40054"/>
    <w:rsid w:val="00D40186"/>
    <w:rsid w:val="00D40199"/>
    <w:rsid w:val="00D402EC"/>
    <w:rsid w:val="00D40333"/>
    <w:rsid w:val="00D40358"/>
    <w:rsid w:val="00D40620"/>
    <w:rsid w:val="00D40897"/>
    <w:rsid w:val="00D408CC"/>
    <w:rsid w:val="00D409B7"/>
    <w:rsid w:val="00D40A0F"/>
    <w:rsid w:val="00D40D25"/>
    <w:rsid w:val="00D40E1D"/>
    <w:rsid w:val="00D40E48"/>
    <w:rsid w:val="00D41134"/>
    <w:rsid w:val="00D41349"/>
    <w:rsid w:val="00D414F3"/>
    <w:rsid w:val="00D415B1"/>
    <w:rsid w:val="00D415CE"/>
    <w:rsid w:val="00D417CC"/>
    <w:rsid w:val="00D41A35"/>
    <w:rsid w:val="00D41AE9"/>
    <w:rsid w:val="00D41F22"/>
    <w:rsid w:val="00D41F28"/>
    <w:rsid w:val="00D41F7C"/>
    <w:rsid w:val="00D4231F"/>
    <w:rsid w:val="00D42463"/>
    <w:rsid w:val="00D42742"/>
    <w:rsid w:val="00D427BF"/>
    <w:rsid w:val="00D42C71"/>
    <w:rsid w:val="00D42E3E"/>
    <w:rsid w:val="00D42FE6"/>
    <w:rsid w:val="00D43135"/>
    <w:rsid w:val="00D432D2"/>
    <w:rsid w:val="00D4337D"/>
    <w:rsid w:val="00D43502"/>
    <w:rsid w:val="00D4361E"/>
    <w:rsid w:val="00D43748"/>
    <w:rsid w:val="00D43807"/>
    <w:rsid w:val="00D4386D"/>
    <w:rsid w:val="00D43B25"/>
    <w:rsid w:val="00D43C00"/>
    <w:rsid w:val="00D43E0C"/>
    <w:rsid w:val="00D44081"/>
    <w:rsid w:val="00D44235"/>
    <w:rsid w:val="00D44670"/>
    <w:rsid w:val="00D446D3"/>
    <w:rsid w:val="00D44A70"/>
    <w:rsid w:val="00D44ABB"/>
    <w:rsid w:val="00D44B25"/>
    <w:rsid w:val="00D44B69"/>
    <w:rsid w:val="00D44BA9"/>
    <w:rsid w:val="00D44CD5"/>
    <w:rsid w:val="00D44DF7"/>
    <w:rsid w:val="00D45128"/>
    <w:rsid w:val="00D45377"/>
    <w:rsid w:val="00D454E3"/>
    <w:rsid w:val="00D4579C"/>
    <w:rsid w:val="00D45905"/>
    <w:rsid w:val="00D45918"/>
    <w:rsid w:val="00D45925"/>
    <w:rsid w:val="00D45934"/>
    <w:rsid w:val="00D45A2F"/>
    <w:rsid w:val="00D45ABD"/>
    <w:rsid w:val="00D45B08"/>
    <w:rsid w:val="00D460C7"/>
    <w:rsid w:val="00D460F5"/>
    <w:rsid w:val="00D46570"/>
    <w:rsid w:val="00D4659A"/>
    <w:rsid w:val="00D467EB"/>
    <w:rsid w:val="00D4696D"/>
    <w:rsid w:val="00D469AD"/>
    <w:rsid w:val="00D46AB1"/>
    <w:rsid w:val="00D46B4B"/>
    <w:rsid w:val="00D46C15"/>
    <w:rsid w:val="00D46CA2"/>
    <w:rsid w:val="00D46DA8"/>
    <w:rsid w:val="00D47227"/>
    <w:rsid w:val="00D472B5"/>
    <w:rsid w:val="00D472EF"/>
    <w:rsid w:val="00D473B1"/>
    <w:rsid w:val="00D47518"/>
    <w:rsid w:val="00D4770F"/>
    <w:rsid w:val="00D47985"/>
    <w:rsid w:val="00D47996"/>
    <w:rsid w:val="00D47B4D"/>
    <w:rsid w:val="00D47F07"/>
    <w:rsid w:val="00D50046"/>
    <w:rsid w:val="00D500F6"/>
    <w:rsid w:val="00D5019C"/>
    <w:rsid w:val="00D50200"/>
    <w:rsid w:val="00D5030E"/>
    <w:rsid w:val="00D50480"/>
    <w:rsid w:val="00D504C4"/>
    <w:rsid w:val="00D5071A"/>
    <w:rsid w:val="00D5080D"/>
    <w:rsid w:val="00D50A47"/>
    <w:rsid w:val="00D50AE6"/>
    <w:rsid w:val="00D50B20"/>
    <w:rsid w:val="00D50B57"/>
    <w:rsid w:val="00D50CC1"/>
    <w:rsid w:val="00D50D9D"/>
    <w:rsid w:val="00D50DA3"/>
    <w:rsid w:val="00D50DC8"/>
    <w:rsid w:val="00D50DCA"/>
    <w:rsid w:val="00D50E44"/>
    <w:rsid w:val="00D50EE9"/>
    <w:rsid w:val="00D50F5E"/>
    <w:rsid w:val="00D512E0"/>
    <w:rsid w:val="00D51394"/>
    <w:rsid w:val="00D517DA"/>
    <w:rsid w:val="00D517F2"/>
    <w:rsid w:val="00D5197B"/>
    <w:rsid w:val="00D51CC0"/>
    <w:rsid w:val="00D524B7"/>
    <w:rsid w:val="00D527C4"/>
    <w:rsid w:val="00D528A2"/>
    <w:rsid w:val="00D52AC4"/>
    <w:rsid w:val="00D52B28"/>
    <w:rsid w:val="00D52C7D"/>
    <w:rsid w:val="00D52D1C"/>
    <w:rsid w:val="00D52DBA"/>
    <w:rsid w:val="00D5305D"/>
    <w:rsid w:val="00D532ED"/>
    <w:rsid w:val="00D534B0"/>
    <w:rsid w:val="00D535DA"/>
    <w:rsid w:val="00D5371F"/>
    <w:rsid w:val="00D5384C"/>
    <w:rsid w:val="00D538B9"/>
    <w:rsid w:val="00D53D53"/>
    <w:rsid w:val="00D53E14"/>
    <w:rsid w:val="00D53EED"/>
    <w:rsid w:val="00D53F78"/>
    <w:rsid w:val="00D54036"/>
    <w:rsid w:val="00D54272"/>
    <w:rsid w:val="00D54319"/>
    <w:rsid w:val="00D5435B"/>
    <w:rsid w:val="00D543E1"/>
    <w:rsid w:val="00D548FA"/>
    <w:rsid w:val="00D54C56"/>
    <w:rsid w:val="00D54EB3"/>
    <w:rsid w:val="00D54F22"/>
    <w:rsid w:val="00D550A8"/>
    <w:rsid w:val="00D55441"/>
    <w:rsid w:val="00D555BB"/>
    <w:rsid w:val="00D555F2"/>
    <w:rsid w:val="00D55640"/>
    <w:rsid w:val="00D558B9"/>
    <w:rsid w:val="00D55972"/>
    <w:rsid w:val="00D55A9F"/>
    <w:rsid w:val="00D55BE6"/>
    <w:rsid w:val="00D55BFC"/>
    <w:rsid w:val="00D55BFE"/>
    <w:rsid w:val="00D55C66"/>
    <w:rsid w:val="00D55E79"/>
    <w:rsid w:val="00D55EE2"/>
    <w:rsid w:val="00D55F08"/>
    <w:rsid w:val="00D56155"/>
    <w:rsid w:val="00D563B0"/>
    <w:rsid w:val="00D56497"/>
    <w:rsid w:val="00D565C0"/>
    <w:rsid w:val="00D56657"/>
    <w:rsid w:val="00D56719"/>
    <w:rsid w:val="00D56BDA"/>
    <w:rsid w:val="00D56DE3"/>
    <w:rsid w:val="00D57250"/>
    <w:rsid w:val="00D572DE"/>
    <w:rsid w:val="00D57509"/>
    <w:rsid w:val="00D5759D"/>
    <w:rsid w:val="00D57667"/>
    <w:rsid w:val="00D57854"/>
    <w:rsid w:val="00D579A8"/>
    <w:rsid w:val="00D57B84"/>
    <w:rsid w:val="00D57BCE"/>
    <w:rsid w:val="00D57C55"/>
    <w:rsid w:val="00D57DB0"/>
    <w:rsid w:val="00D57E21"/>
    <w:rsid w:val="00D57FE2"/>
    <w:rsid w:val="00D60085"/>
    <w:rsid w:val="00D600B0"/>
    <w:rsid w:val="00D6014A"/>
    <w:rsid w:val="00D60329"/>
    <w:rsid w:val="00D605FC"/>
    <w:rsid w:val="00D6080B"/>
    <w:rsid w:val="00D6083F"/>
    <w:rsid w:val="00D60C03"/>
    <w:rsid w:val="00D60F0F"/>
    <w:rsid w:val="00D60FBC"/>
    <w:rsid w:val="00D6109D"/>
    <w:rsid w:val="00D612BF"/>
    <w:rsid w:val="00D612E3"/>
    <w:rsid w:val="00D614E7"/>
    <w:rsid w:val="00D6157A"/>
    <w:rsid w:val="00D6161E"/>
    <w:rsid w:val="00D61647"/>
    <w:rsid w:val="00D6183C"/>
    <w:rsid w:val="00D61942"/>
    <w:rsid w:val="00D6199D"/>
    <w:rsid w:val="00D61B8A"/>
    <w:rsid w:val="00D61C83"/>
    <w:rsid w:val="00D61D31"/>
    <w:rsid w:val="00D61D6A"/>
    <w:rsid w:val="00D61F27"/>
    <w:rsid w:val="00D620E4"/>
    <w:rsid w:val="00D62225"/>
    <w:rsid w:val="00D6228A"/>
    <w:rsid w:val="00D626E5"/>
    <w:rsid w:val="00D6281F"/>
    <w:rsid w:val="00D62B02"/>
    <w:rsid w:val="00D62B73"/>
    <w:rsid w:val="00D62CDB"/>
    <w:rsid w:val="00D62D6E"/>
    <w:rsid w:val="00D6308F"/>
    <w:rsid w:val="00D630F1"/>
    <w:rsid w:val="00D63252"/>
    <w:rsid w:val="00D6328A"/>
    <w:rsid w:val="00D639CA"/>
    <w:rsid w:val="00D63A34"/>
    <w:rsid w:val="00D63EAA"/>
    <w:rsid w:val="00D63EB3"/>
    <w:rsid w:val="00D63F64"/>
    <w:rsid w:val="00D6404A"/>
    <w:rsid w:val="00D640CC"/>
    <w:rsid w:val="00D641F9"/>
    <w:rsid w:val="00D645D2"/>
    <w:rsid w:val="00D64633"/>
    <w:rsid w:val="00D64703"/>
    <w:rsid w:val="00D64822"/>
    <w:rsid w:val="00D649A0"/>
    <w:rsid w:val="00D64AA9"/>
    <w:rsid w:val="00D64B80"/>
    <w:rsid w:val="00D64D45"/>
    <w:rsid w:val="00D64E89"/>
    <w:rsid w:val="00D6507C"/>
    <w:rsid w:val="00D651C0"/>
    <w:rsid w:val="00D652EF"/>
    <w:rsid w:val="00D65332"/>
    <w:rsid w:val="00D65448"/>
    <w:rsid w:val="00D65541"/>
    <w:rsid w:val="00D65572"/>
    <w:rsid w:val="00D655C6"/>
    <w:rsid w:val="00D65601"/>
    <w:rsid w:val="00D657A4"/>
    <w:rsid w:val="00D657BE"/>
    <w:rsid w:val="00D657D7"/>
    <w:rsid w:val="00D65A59"/>
    <w:rsid w:val="00D65BDA"/>
    <w:rsid w:val="00D65CDC"/>
    <w:rsid w:val="00D65DD4"/>
    <w:rsid w:val="00D65EE2"/>
    <w:rsid w:val="00D661C8"/>
    <w:rsid w:val="00D66200"/>
    <w:rsid w:val="00D66350"/>
    <w:rsid w:val="00D66600"/>
    <w:rsid w:val="00D666C9"/>
    <w:rsid w:val="00D66EEB"/>
    <w:rsid w:val="00D67033"/>
    <w:rsid w:val="00D67047"/>
    <w:rsid w:val="00D67092"/>
    <w:rsid w:val="00D6735D"/>
    <w:rsid w:val="00D67662"/>
    <w:rsid w:val="00D6767A"/>
    <w:rsid w:val="00D67712"/>
    <w:rsid w:val="00D6795C"/>
    <w:rsid w:val="00D67968"/>
    <w:rsid w:val="00D6797F"/>
    <w:rsid w:val="00D67A2E"/>
    <w:rsid w:val="00D67AF8"/>
    <w:rsid w:val="00D67C1D"/>
    <w:rsid w:val="00D6EFE4"/>
    <w:rsid w:val="00D7007D"/>
    <w:rsid w:val="00D704C3"/>
    <w:rsid w:val="00D70687"/>
    <w:rsid w:val="00D70697"/>
    <w:rsid w:val="00D70758"/>
    <w:rsid w:val="00D7096C"/>
    <w:rsid w:val="00D709A8"/>
    <w:rsid w:val="00D70BDB"/>
    <w:rsid w:val="00D70CE9"/>
    <w:rsid w:val="00D70D45"/>
    <w:rsid w:val="00D70FC2"/>
    <w:rsid w:val="00D7117E"/>
    <w:rsid w:val="00D7170D"/>
    <w:rsid w:val="00D7178E"/>
    <w:rsid w:val="00D717CA"/>
    <w:rsid w:val="00D71805"/>
    <w:rsid w:val="00D718AC"/>
    <w:rsid w:val="00D71927"/>
    <w:rsid w:val="00D71C77"/>
    <w:rsid w:val="00D71D10"/>
    <w:rsid w:val="00D71DAA"/>
    <w:rsid w:val="00D71E62"/>
    <w:rsid w:val="00D71EBD"/>
    <w:rsid w:val="00D71ED9"/>
    <w:rsid w:val="00D71F28"/>
    <w:rsid w:val="00D72107"/>
    <w:rsid w:val="00D721C3"/>
    <w:rsid w:val="00D722FC"/>
    <w:rsid w:val="00D72417"/>
    <w:rsid w:val="00D72750"/>
    <w:rsid w:val="00D72E73"/>
    <w:rsid w:val="00D730E8"/>
    <w:rsid w:val="00D732E5"/>
    <w:rsid w:val="00D73375"/>
    <w:rsid w:val="00D738F4"/>
    <w:rsid w:val="00D73903"/>
    <w:rsid w:val="00D73A87"/>
    <w:rsid w:val="00D73F1B"/>
    <w:rsid w:val="00D73F1F"/>
    <w:rsid w:val="00D74251"/>
    <w:rsid w:val="00D743BB"/>
    <w:rsid w:val="00D743E3"/>
    <w:rsid w:val="00D74403"/>
    <w:rsid w:val="00D745AA"/>
    <w:rsid w:val="00D745B7"/>
    <w:rsid w:val="00D74646"/>
    <w:rsid w:val="00D747BB"/>
    <w:rsid w:val="00D748C2"/>
    <w:rsid w:val="00D74A54"/>
    <w:rsid w:val="00D74AB4"/>
    <w:rsid w:val="00D74CCE"/>
    <w:rsid w:val="00D74E2D"/>
    <w:rsid w:val="00D74E56"/>
    <w:rsid w:val="00D75147"/>
    <w:rsid w:val="00D75247"/>
    <w:rsid w:val="00D7541C"/>
    <w:rsid w:val="00D754F4"/>
    <w:rsid w:val="00D7564A"/>
    <w:rsid w:val="00D7565C"/>
    <w:rsid w:val="00D75844"/>
    <w:rsid w:val="00D75A8C"/>
    <w:rsid w:val="00D75B47"/>
    <w:rsid w:val="00D75C66"/>
    <w:rsid w:val="00D75CEE"/>
    <w:rsid w:val="00D75D2F"/>
    <w:rsid w:val="00D75F7C"/>
    <w:rsid w:val="00D75FC7"/>
    <w:rsid w:val="00D7604E"/>
    <w:rsid w:val="00D7608C"/>
    <w:rsid w:val="00D762BA"/>
    <w:rsid w:val="00D7663F"/>
    <w:rsid w:val="00D766AC"/>
    <w:rsid w:val="00D767F2"/>
    <w:rsid w:val="00D76CE6"/>
    <w:rsid w:val="00D76D6F"/>
    <w:rsid w:val="00D77291"/>
    <w:rsid w:val="00D77328"/>
    <w:rsid w:val="00D775AE"/>
    <w:rsid w:val="00D778C4"/>
    <w:rsid w:val="00D77C13"/>
    <w:rsid w:val="00D77C3B"/>
    <w:rsid w:val="00D77CA1"/>
    <w:rsid w:val="00D77D74"/>
    <w:rsid w:val="00D77DD6"/>
    <w:rsid w:val="00D800B6"/>
    <w:rsid w:val="00D8028E"/>
    <w:rsid w:val="00D8049B"/>
    <w:rsid w:val="00D804A2"/>
    <w:rsid w:val="00D8091F"/>
    <w:rsid w:val="00D809B8"/>
    <w:rsid w:val="00D809E1"/>
    <w:rsid w:val="00D80E9A"/>
    <w:rsid w:val="00D80EFF"/>
    <w:rsid w:val="00D80F6C"/>
    <w:rsid w:val="00D81015"/>
    <w:rsid w:val="00D812CC"/>
    <w:rsid w:val="00D81352"/>
    <w:rsid w:val="00D81578"/>
    <w:rsid w:val="00D8167D"/>
    <w:rsid w:val="00D817AF"/>
    <w:rsid w:val="00D817E0"/>
    <w:rsid w:val="00D81A07"/>
    <w:rsid w:val="00D81A5B"/>
    <w:rsid w:val="00D81D58"/>
    <w:rsid w:val="00D81F42"/>
    <w:rsid w:val="00D8217E"/>
    <w:rsid w:val="00D82356"/>
    <w:rsid w:val="00D8245C"/>
    <w:rsid w:val="00D826D2"/>
    <w:rsid w:val="00D828E7"/>
    <w:rsid w:val="00D82B25"/>
    <w:rsid w:val="00D82C57"/>
    <w:rsid w:val="00D82FEB"/>
    <w:rsid w:val="00D833F3"/>
    <w:rsid w:val="00D837ED"/>
    <w:rsid w:val="00D8387E"/>
    <w:rsid w:val="00D83978"/>
    <w:rsid w:val="00D839F0"/>
    <w:rsid w:val="00D83ABB"/>
    <w:rsid w:val="00D83C1F"/>
    <w:rsid w:val="00D83DD0"/>
    <w:rsid w:val="00D83ED7"/>
    <w:rsid w:val="00D83F1A"/>
    <w:rsid w:val="00D84102"/>
    <w:rsid w:val="00D84146"/>
    <w:rsid w:val="00D8430A"/>
    <w:rsid w:val="00D84351"/>
    <w:rsid w:val="00D849FE"/>
    <w:rsid w:val="00D84AB6"/>
    <w:rsid w:val="00D850A7"/>
    <w:rsid w:val="00D853EF"/>
    <w:rsid w:val="00D85449"/>
    <w:rsid w:val="00D854EA"/>
    <w:rsid w:val="00D8550C"/>
    <w:rsid w:val="00D85644"/>
    <w:rsid w:val="00D856FB"/>
    <w:rsid w:val="00D85A62"/>
    <w:rsid w:val="00D85CC7"/>
    <w:rsid w:val="00D85E09"/>
    <w:rsid w:val="00D860A8"/>
    <w:rsid w:val="00D86149"/>
    <w:rsid w:val="00D8631A"/>
    <w:rsid w:val="00D8671B"/>
    <w:rsid w:val="00D8683E"/>
    <w:rsid w:val="00D869EA"/>
    <w:rsid w:val="00D86A11"/>
    <w:rsid w:val="00D86BA9"/>
    <w:rsid w:val="00D86C9F"/>
    <w:rsid w:val="00D86CB0"/>
    <w:rsid w:val="00D86EAA"/>
    <w:rsid w:val="00D86EFE"/>
    <w:rsid w:val="00D8719B"/>
    <w:rsid w:val="00D87350"/>
    <w:rsid w:val="00D87485"/>
    <w:rsid w:val="00D87621"/>
    <w:rsid w:val="00D8766A"/>
    <w:rsid w:val="00D8777F"/>
    <w:rsid w:val="00D87AA3"/>
    <w:rsid w:val="00D87B2F"/>
    <w:rsid w:val="00D87C58"/>
    <w:rsid w:val="00D87C5A"/>
    <w:rsid w:val="00D87DB3"/>
    <w:rsid w:val="00D87F47"/>
    <w:rsid w:val="00D87F8F"/>
    <w:rsid w:val="00D9006A"/>
    <w:rsid w:val="00D900E9"/>
    <w:rsid w:val="00D90102"/>
    <w:rsid w:val="00D90148"/>
    <w:rsid w:val="00D9017A"/>
    <w:rsid w:val="00D90222"/>
    <w:rsid w:val="00D90329"/>
    <w:rsid w:val="00D905C9"/>
    <w:rsid w:val="00D90700"/>
    <w:rsid w:val="00D9077A"/>
    <w:rsid w:val="00D90844"/>
    <w:rsid w:val="00D9099D"/>
    <w:rsid w:val="00D90A45"/>
    <w:rsid w:val="00D90CC5"/>
    <w:rsid w:val="00D90E9E"/>
    <w:rsid w:val="00D90EDB"/>
    <w:rsid w:val="00D90F27"/>
    <w:rsid w:val="00D91078"/>
    <w:rsid w:val="00D9113C"/>
    <w:rsid w:val="00D9114F"/>
    <w:rsid w:val="00D911E0"/>
    <w:rsid w:val="00D91266"/>
    <w:rsid w:val="00D913E9"/>
    <w:rsid w:val="00D914C6"/>
    <w:rsid w:val="00D9198A"/>
    <w:rsid w:val="00D91A78"/>
    <w:rsid w:val="00D91BD5"/>
    <w:rsid w:val="00D91D34"/>
    <w:rsid w:val="00D91EA6"/>
    <w:rsid w:val="00D91FF5"/>
    <w:rsid w:val="00D921D1"/>
    <w:rsid w:val="00D92284"/>
    <w:rsid w:val="00D928F1"/>
    <w:rsid w:val="00D92942"/>
    <w:rsid w:val="00D929D2"/>
    <w:rsid w:val="00D92A3A"/>
    <w:rsid w:val="00D92CC4"/>
    <w:rsid w:val="00D92EBF"/>
    <w:rsid w:val="00D92FDA"/>
    <w:rsid w:val="00D93216"/>
    <w:rsid w:val="00D93261"/>
    <w:rsid w:val="00D933EE"/>
    <w:rsid w:val="00D934EF"/>
    <w:rsid w:val="00D937DA"/>
    <w:rsid w:val="00D937E6"/>
    <w:rsid w:val="00D93835"/>
    <w:rsid w:val="00D93A2B"/>
    <w:rsid w:val="00D93AD1"/>
    <w:rsid w:val="00D93AE9"/>
    <w:rsid w:val="00D93D7F"/>
    <w:rsid w:val="00D93E4C"/>
    <w:rsid w:val="00D93FB2"/>
    <w:rsid w:val="00D94003"/>
    <w:rsid w:val="00D9419F"/>
    <w:rsid w:val="00D941B1"/>
    <w:rsid w:val="00D943B9"/>
    <w:rsid w:val="00D944FB"/>
    <w:rsid w:val="00D947D6"/>
    <w:rsid w:val="00D949FA"/>
    <w:rsid w:val="00D94C81"/>
    <w:rsid w:val="00D94D14"/>
    <w:rsid w:val="00D94D82"/>
    <w:rsid w:val="00D9518F"/>
    <w:rsid w:val="00D95207"/>
    <w:rsid w:val="00D952A7"/>
    <w:rsid w:val="00D95332"/>
    <w:rsid w:val="00D95528"/>
    <w:rsid w:val="00D959CC"/>
    <w:rsid w:val="00D95A1D"/>
    <w:rsid w:val="00D95BB9"/>
    <w:rsid w:val="00D95C54"/>
    <w:rsid w:val="00D95C73"/>
    <w:rsid w:val="00D95CCB"/>
    <w:rsid w:val="00D95F9B"/>
    <w:rsid w:val="00D961F7"/>
    <w:rsid w:val="00D96236"/>
    <w:rsid w:val="00D96330"/>
    <w:rsid w:val="00D9648C"/>
    <w:rsid w:val="00D968ED"/>
    <w:rsid w:val="00D9697A"/>
    <w:rsid w:val="00D96A83"/>
    <w:rsid w:val="00D96C36"/>
    <w:rsid w:val="00D96D44"/>
    <w:rsid w:val="00D96D78"/>
    <w:rsid w:val="00D96D7E"/>
    <w:rsid w:val="00D96E92"/>
    <w:rsid w:val="00D97267"/>
    <w:rsid w:val="00D973A5"/>
    <w:rsid w:val="00D973AD"/>
    <w:rsid w:val="00D97403"/>
    <w:rsid w:val="00D97408"/>
    <w:rsid w:val="00D9743F"/>
    <w:rsid w:val="00D97487"/>
    <w:rsid w:val="00D974C6"/>
    <w:rsid w:val="00D9772E"/>
    <w:rsid w:val="00D97E51"/>
    <w:rsid w:val="00DA0000"/>
    <w:rsid w:val="00DA0029"/>
    <w:rsid w:val="00DA01B4"/>
    <w:rsid w:val="00DA01E1"/>
    <w:rsid w:val="00DA0420"/>
    <w:rsid w:val="00DA05DC"/>
    <w:rsid w:val="00DA0897"/>
    <w:rsid w:val="00DA0898"/>
    <w:rsid w:val="00DA09E0"/>
    <w:rsid w:val="00DA0B20"/>
    <w:rsid w:val="00DA0E16"/>
    <w:rsid w:val="00DA0E48"/>
    <w:rsid w:val="00DA1016"/>
    <w:rsid w:val="00DA10C3"/>
    <w:rsid w:val="00DA119D"/>
    <w:rsid w:val="00DA11F3"/>
    <w:rsid w:val="00DA13B6"/>
    <w:rsid w:val="00DA14EB"/>
    <w:rsid w:val="00DA152B"/>
    <w:rsid w:val="00DA1684"/>
    <w:rsid w:val="00DA1791"/>
    <w:rsid w:val="00DA17D0"/>
    <w:rsid w:val="00DA17D4"/>
    <w:rsid w:val="00DA18F8"/>
    <w:rsid w:val="00DA1A48"/>
    <w:rsid w:val="00DA1DB1"/>
    <w:rsid w:val="00DA21D8"/>
    <w:rsid w:val="00DA22C6"/>
    <w:rsid w:val="00DA2401"/>
    <w:rsid w:val="00DA2586"/>
    <w:rsid w:val="00DA25E9"/>
    <w:rsid w:val="00DA2956"/>
    <w:rsid w:val="00DA2958"/>
    <w:rsid w:val="00DA2A61"/>
    <w:rsid w:val="00DA2D8A"/>
    <w:rsid w:val="00DA2D9D"/>
    <w:rsid w:val="00DA2EBF"/>
    <w:rsid w:val="00DA2EC5"/>
    <w:rsid w:val="00DA31A1"/>
    <w:rsid w:val="00DA3875"/>
    <w:rsid w:val="00DA3908"/>
    <w:rsid w:val="00DA39EE"/>
    <w:rsid w:val="00DA3A1F"/>
    <w:rsid w:val="00DA3C82"/>
    <w:rsid w:val="00DA3DB2"/>
    <w:rsid w:val="00DA3DD6"/>
    <w:rsid w:val="00DA403E"/>
    <w:rsid w:val="00DA4117"/>
    <w:rsid w:val="00DA4303"/>
    <w:rsid w:val="00DA4490"/>
    <w:rsid w:val="00DA4BF4"/>
    <w:rsid w:val="00DA4C33"/>
    <w:rsid w:val="00DA4F17"/>
    <w:rsid w:val="00DA4FD3"/>
    <w:rsid w:val="00DA504C"/>
    <w:rsid w:val="00DA5079"/>
    <w:rsid w:val="00DA5096"/>
    <w:rsid w:val="00DA5203"/>
    <w:rsid w:val="00DA5274"/>
    <w:rsid w:val="00DA527F"/>
    <w:rsid w:val="00DA553D"/>
    <w:rsid w:val="00DA5625"/>
    <w:rsid w:val="00DA571E"/>
    <w:rsid w:val="00DA584E"/>
    <w:rsid w:val="00DA5A8F"/>
    <w:rsid w:val="00DA5ABC"/>
    <w:rsid w:val="00DA5AF2"/>
    <w:rsid w:val="00DA5BB4"/>
    <w:rsid w:val="00DA5CB7"/>
    <w:rsid w:val="00DA5DE6"/>
    <w:rsid w:val="00DA634C"/>
    <w:rsid w:val="00DA6454"/>
    <w:rsid w:val="00DA659D"/>
    <w:rsid w:val="00DA65C5"/>
    <w:rsid w:val="00DA6673"/>
    <w:rsid w:val="00DA69FB"/>
    <w:rsid w:val="00DA6AD1"/>
    <w:rsid w:val="00DA6B2F"/>
    <w:rsid w:val="00DA6D6C"/>
    <w:rsid w:val="00DA6F5E"/>
    <w:rsid w:val="00DA6FEB"/>
    <w:rsid w:val="00DA7380"/>
    <w:rsid w:val="00DA7575"/>
    <w:rsid w:val="00DA769B"/>
    <w:rsid w:val="00DA7744"/>
    <w:rsid w:val="00DA786C"/>
    <w:rsid w:val="00DA7A42"/>
    <w:rsid w:val="00DA7DDF"/>
    <w:rsid w:val="00DA7E5C"/>
    <w:rsid w:val="00DA7EBF"/>
    <w:rsid w:val="00DAF532"/>
    <w:rsid w:val="00DB024F"/>
    <w:rsid w:val="00DB0292"/>
    <w:rsid w:val="00DB02C6"/>
    <w:rsid w:val="00DB037F"/>
    <w:rsid w:val="00DB04B2"/>
    <w:rsid w:val="00DB07DB"/>
    <w:rsid w:val="00DB0A15"/>
    <w:rsid w:val="00DB0C6D"/>
    <w:rsid w:val="00DB0D4B"/>
    <w:rsid w:val="00DB1147"/>
    <w:rsid w:val="00DB122C"/>
    <w:rsid w:val="00DB140E"/>
    <w:rsid w:val="00DB1499"/>
    <w:rsid w:val="00DB14C4"/>
    <w:rsid w:val="00DB1555"/>
    <w:rsid w:val="00DB1659"/>
    <w:rsid w:val="00DB1702"/>
    <w:rsid w:val="00DB1703"/>
    <w:rsid w:val="00DB1839"/>
    <w:rsid w:val="00DB1AA5"/>
    <w:rsid w:val="00DB1B69"/>
    <w:rsid w:val="00DB1BEA"/>
    <w:rsid w:val="00DB1CE6"/>
    <w:rsid w:val="00DB1D47"/>
    <w:rsid w:val="00DB1D60"/>
    <w:rsid w:val="00DB227E"/>
    <w:rsid w:val="00DB25C8"/>
    <w:rsid w:val="00DB25C9"/>
    <w:rsid w:val="00DB29B1"/>
    <w:rsid w:val="00DB2AEE"/>
    <w:rsid w:val="00DB2BBA"/>
    <w:rsid w:val="00DB2C46"/>
    <w:rsid w:val="00DB2D87"/>
    <w:rsid w:val="00DB2F76"/>
    <w:rsid w:val="00DB309B"/>
    <w:rsid w:val="00DB319C"/>
    <w:rsid w:val="00DB33D8"/>
    <w:rsid w:val="00DB3432"/>
    <w:rsid w:val="00DB353F"/>
    <w:rsid w:val="00DB35B4"/>
    <w:rsid w:val="00DB3708"/>
    <w:rsid w:val="00DB37FF"/>
    <w:rsid w:val="00DB382E"/>
    <w:rsid w:val="00DB384C"/>
    <w:rsid w:val="00DB38AC"/>
    <w:rsid w:val="00DB38DB"/>
    <w:rsid w:val="00DB3931"/>
    <w:rsid w:val="00DB3A6C"/>
    <w:rsid w:val="00DB3C83"/>
    <w:rsid w:val="00DB3CBA"/>
    <w:rsid w:val="00DB3D1A"/>
    <w:rsid w:val="00DB3E30"/>
    <w:rsid w:val="00DB40CB"/>
    <w:rsid w:val="00DB42D8"/>
    <w:rsid w:val="00DB435A"/>
    <w:rsid w:val="00DB4404"/>
    <w:rsid w:val="00DB4435"/>
    <w:rsid w:val="00DB485C"/>
    <w:rsid w:val="00DB48D3"/>
    <w:rsid w:val="00DB4B64"/>
    <w:rsid w:val="00DB4C2E"/>
    <w:rsid w:val="00DB5063"/>
    <w:rsid w:val="00DB51D5"/>
    <w:rsid w:val="00DB52B8"/>
    <w:rsid w:val="00DB5560"/>
    <w:rsid w:val="00DB55D2"/>
    <w:rsid w:val="00DB5617"/>
    <w:rsid w:val="00DB564B"/>
    <w:rsid w:val="00DB564E"/>
    <w:rsid w:val="00DB58E8"/>
    <w:rsid w:val="00DB59EA"/>
    <w:rsid w:val="00DB5CCB"/>
    <w:rsid w:val="00DB5D11"/>
    <w:rsid w:val="00DB5FD9"/>
    <w:rsid w:val="00DB60F8"/>
    <w:rsid w:val="00DB611F"/>
    <w:rsid w:val="00DB630C"/>
    <w:rsid w:val="00DB6384"/>
    <w:rsid w:val="00DB648B"/>
    <w:rsid w:val="00DB6602"/>
    <w:rsid w:val="00DB6D7D"/>
    <w:rsid w:val="00DB6FC7"/>
    <w:rsid w:val="00DB72C4"/>
    <w:rsid w:val="00DB7391"/>
    <w:rsid w:val="00DB74A5"/>
    <w:rsid w:val="00DB755C"/>
    <w:rsid w:val="00DB7788"/>
    <w:rsid w:val="00DB778E"/>
    <w:rsid w:val="00DB791F"/>
    <w:rsid w:val="00DB799E"/>
    <w:rsid w:val="00DB79E8"/>
    <w:rsid w:val="00DB7A63"/>
    <w:rsid w:val="00DB7A6C"/>
    <w:rsid w:val="00DB7CF6"/>
    <w:rsid w:val="00DB7DE3"/>
    <w:rsid w:val="00DC0065"/>
    <w:rsid w:val="00DC0084"/>
    <w:rsid w:val="00DC012F"/>
    <w:rsid w:val="00DC025B"/>
    <w:rsid w:val="00DC0547"/>
    <w:rsid w:val="00DC0709"/>
    <w:rsid w:val="00DC07FF"/>
    <w:rsid w:val="00DC080B"/>
    <w:rsid w:val="00DC0A56"/>
    <w:rsid w:val="00DC0A9B"/>
    <w:rsid w:val="00DC0B8B"/>
    <w:rsid w:val="00DC0B9F"/>
    <w:rsid w:val="00DC0CAC"/>
    <w:rsid w:val="00DC0DD0"/>
    <w:rsid w:val="00DC0E8D"/>
    <w:rsid w:val="00DC1163"/>
    <w:rsid w:val="00DC117F"/>
    <w:rsid w:val="00DC11B8"/>
    <w:rsid w:val="00DC1D78"/>
    <w:rsid w:val="00DC1E31"/>
    <w:rsid w:val="00DC1F81"/>
    <w:rsid w:val="00DC1FFE"/>
    <w:rsid w:val="00DC204D"/>
    <w:rsid w:val="00DC2111"/>
    <w:rsid w:val="00DC2122"/>
    <w:rsid w:val="00DC2129"/>
    <w:rsid w:val="00DC21AE"/>
    <w:rsid w:val="00DC24F6"/>
    <w:rsid w:val="00DC29DA"/>
    <w:rsid w:val="00DC2A92"/>
    <w:rsid w:val="00DC2B9E"/>
    <w:rsid w:val="00DC2CC0"/>
    <w:rsid w:val="00DC2CEA"/>
    <w:rsid w:val="00DC2D45"/>
    <w:rsid w:val="00DC2EEE"/>
    <w:rsid w:val="00DC343C"/>
    <w:rsid w:val="00DC36EB"/>
    <w:rsid w:val="00DC386E"/>
    <w:rsid w:val="00DC38DA"/>
    <w:rsid w:val="00DC3BF9"/>
    <w:rsid w:val="00DC3DA1"/>
    <w:rsid w:val="00DC3E07"/>
    <w:rsid w:val="00DC3E46"/>
    <w:rsid w:val="00DC47D7"/>
    <w:rsid w:val="00DC4A3E"/>
    <w:rsid w:val="00DC4B2D"/>
    <w:rsid w:val="00DC4B7A"/>
    <w:rsid w:val="00DC4BF8"/>
    <w:rsid w:val="00DC4DBD"/>
    <w:rsid w:val="00DC4E28"/>
    <w:rsid w:val="00DC5069"/>
    <w:rsid w:val="00DC51A9"/>
    <w:rsid w:val="00DC5409"/>
    <w:rsid w:val="00DC57CF"/>
    <w:rsid w:val="00DC57E4"/>
    <w:rsid w:val="00DC5894"/>
    <w:rsid w:val="00DC5F70"/>
    <w:rsid w:val="00DC5FC8"/>
    <w:rsid w:val="00DC62BF"/>
    <w:rsid w:val="00DC631D"/>
    <w:rsid w:val="00DC6592"/>
    <w:rsid w:val="00DC6653"/>
    <w:rsid w:val="00DC67D3"/>
    <w:rsid w:val="00DC67E7"/>
    <w:rsid w:val="00DC681C"/>
    <w:rsid w:val="00DC6869"/>
    <w:rsid w:val="00DC6DF5"/>
    <w:rsid w:val="00DC6EA6"/>
    <w:rsid w:val="00DC6EEB"/>
    <w:rsid w:val="00DC6F1D"/>
    <w:rsid w:val="00DC6F52"/>
    <w:rsid w:val="00DC6FB5"/>
    <w:rsid w:val="00DC6FD4"/>
    <w:rsid w:val="00DC70C4"/>
    <w:rsid w:val="00DC7168"/>
    <w:rsid w:val="00DC7199"/>
    <w:rsid w:val="00DC72E1"/>
    <w:rsid w:val="00DC7813"/>
    <w:rsid w:val="00DC7A9E"/>
    <w:rsid w:val="00DC7BD9"/>
    <w:rsid w:val="00DC7C91"/>
    <w:rsid w:val="00DC7D76"/>
    <w:rsid w:val="00DC7EF8"/>
    <w:rsid w:val="00DC7F01"/>
    <w:rsid w:val="00DD01B8"/>
    <w:rsid w:val="00DD01DA"/>
    <w:rsid w:val="00DD02D1"/>
    <w:rsid w:val="00DD03FD"/>
    <w:rsid w:val="00DD0775"/>
    <w:rsid w:val="00DD088B"/>
    <w:rsid w:val="00DD09DC"/>
    <w:rsid w:val="00DD0AAC"/>
    <w:rsid w:val="00DD0AC0"/>
    <w:rsid w:val="00DD0B66"/>
    <w:rsid w:val="00DD0B80"/>
    <w:rsid w:val="00DD0BF2"/>
    <w:rsid w:val="00DD0D19"/>
    <w:rsid w:val="00DD10AA"/>
    <w:rsid w:val="00DD10DA"/>
    <w:rsid w:val="00DD1241"/>
    <w:rsid w:val="00DD13BD"/>
    <w:rsid w:val="00DD150E"/>
    <w:rsid w:val="00DD15D1"/>
    <w:rsid w:val="00DD17B6"/>
    <w:rsid w:val="00DD196E"/>
    <w:rsid w:val="00DD1A52"/>
    <w:rsid w:val="00DD1A58"/>
    <w:rsid w:val="00DD1A69"/>
    <w:rsid w:val="00DD1AE2"/>
    <w:rsid w:val="00DD1B0C"/>
    <w:rsid w:val="00DD1B10"/>
    <w:rsid w:val="00DD1D8E"/>
    <w:rsid w:val="00DD1EA4"/>
    <w:rsid w:val="00DD1EEF"/>
    <w:rsid w:val="00DD20CF"/>
    <w:rsid w:val="00DD24A4"/>
    <w:rsid w:val="00DD2502"/>
    <w:rsid w:val="00DD25D3"/>
    <w:rsid w:val="00DD2651"/>
    <w:rsid w:val="00DD2688"/>
    <w:rsid w:val="00DD2866"/>
    <w:rsid w:val="00DD2A9F"/>
    <w:rsid w:val="00DD2C33"/>
    <w:rsid w:val="00DD2E39"/>
    <w:rsid w:val="00DD30C8"/>
    <w:rsid w:val="00DD342F"/>
    <w:rsid w:val="00DD35BD"/>
    <w:rsid w:val="00DD36A8"/>
    <w:rsid w:val="00DD377E"/>
    <w:rsid w:val="00DD393C"/>
    <w:rsid w:val="00DD3D1D"/>
    <w:rsid w:val="00DD3FD6"/>
    <w:rsid w:val="00DD4133"/>
    <w:rsid w:val="00DD41FB"/>
    <w:rsid w:val="00DD4202"/>
    <w:rsid w:val="00DD43B8"/>
    <w:rsid w:val="00DD46D2"/>
    <w:rsid w:val="00DD4847"/>
    <w:rsid w:val="00DD4923"/>
    <w:rsid w:val="00DD4946"/>
    <w:rsid w:val="00DD4A38"/>
    <w:rsid w:val="00DD4C1D"/>
    <w:rsid w:val="00DD5005"/>
    <w:rsid w:val="00DD516A"/>
    <w:rsid w:val="00DD53F5"/>
    <w:rsid w:val="00DD5411"/>
    <w:rsid w:val="00DD5422"/>
    <w:rsid w:val="00DD556C"/>
    <w:rsid w:val="00DD588F"/>
    <w:rsid w:val="00DD5989"/>
    <w:rsid w:val="00DD5B60"/>
    <w:rsid w:val="00DD5BF2"/>
    <w:rsid w:val="00DD5CEA"/>
    <w:rsid w:val="00DD604D"/>
    <w:rsid w:val="00DD6054"/>
    <w:rsid w:val="00DD622D"/>
    <w:rsid w:val="00DD634C"/>
    <w:rsid w:val="00DD6561"/>
    <w:rsid w:val="00DD67CF"/>
    <w:rsid w:val="00DD6821"/>
    <w:rsid w:val="00DD694D"/>
    <w:rsid w:val="00DD696A"/>
    <w:rsid w:val="00DD69AE"/>
    <w:rsid w:val="00DD6A2F"/>
    <w:rsid w:val="00DD6C57"/>
    <w:rsid w:val="00DD6E3C"/>
    <w:rsid w:val="00DD6F29"/>
    <w:rsid w:val="00DD7141"/>
    <w:rsid w:val="00DD7150"/>
    <w:rsid w:val="00DD749F"/>
    <w:rsid w:val="00DD75F0"/>
    <w:rsid w:val="00DD7733"/>
    <w:rsid w:val="00DD7B93"/>
    <w:rsid w:val="00DD7FA1"/>
    <w:rsid w:val="00DE0132"/>
    <w:rsid w:val="00DE02F7"/>
    <w:rsid w:val="00DE04D8"/>
    <w:rsid w:val="00DE05FD"/>
    <w:rsid w:val="00DE06B4"/>
    <w:rsid w:val="00DE091D"/>
    <w:rsid w:val="00DE0AB7"/>
    <w:rsid w:val="00DE0D08"/>
    <w:rsid w:val="00DE0D22"/>
    <w:rsid w:val="00DE0FC1"/>
    <w:rsid w:val="00DE0FE7"/>
    <w:rsid w:val="00DE0FFE"/>
    <w:rsid w:val="00DE1232"/>
    <w:rsid w:val="00DE12F9"/>
    <w:rsid w:val="00DE1322"/>
    <w:rsid w:val="00DE132D"/>
    <w:rsid w:val="00DE15C6"/>
    <w:rsid w:val="00DE1DB0"/>
    <w:rsid w:val="00DE1FF1"/>
    <w:rsid w:val="00DE2006"/>
    <w:rsid w:val="00DE230B"/>
    <w:rsid w:val="00DE240A"/>
    <w:rsid w:val="00DE242C"/>
    <w:rsid w:val="00DE2834"/>
    <w:rsid w:val="00DE2BD2"/>
    <w:rsid w:val="00DE2D21"/>
    <w:rsid w:val="00DE2FDB"/>
    <w:rsid w:val="00DE3306"/>
    <w:rsid w:val="00DE3348"/>
    <w:rsid w:val="00DE360F"/>
    <w:rsid w:val="00DE36CF"/>
    <w:rsid w:val="00DE379B"/>
    <w:rsid w:val="00DE3D85"/>
    <w:rsid w:val="00DE4032"/>
    <w:rsid w:val="00DE407D"/>
    <w:rsid w:val="00DE411B"/>
    <w:rsid w:val="00DE419C"/>
    <w:rsid w:val="00DE41BE"/>
    <w:rsid w:val="00DE43B1"/>
    <w:rsid w:val="00DE4650"/>
    <w:rsid w:val="00DE4861"/>
    <w:rsid w:val="00DE4872"/>
    <w:rsid w:val="00DE48E6"/>
    <w:rsid w:val="00DE4B1C"/>
    <w:rsid w:val="00DE4D67"/>
    <w:rsid w:val="00DE4E1C"/>
    <w:rsid w:val="00DE4EE3"/>
    <w:rsid w:val="00DE5227"/>
    <w:rsid w:val="00DE54D1"/>
    <w:rsid w:val="00DE5579"/>
    <w:rsid w:val="00DE56F5"/>
    <w:rsid w:val="00DE58A7"/>
    <w:rsid w:val="00DE5B06"/>
    <w:rsid w:val="00DE5BF9"/>
    <w:rsid w:val="00DE5C18"/>
    <w:rsid w:val="00DE5EA0"/>
    <w:rsid w:val="00DE5F67"/>
    <w:rsid w:val="00DE6229"/>
    <w:rsid w:val="00DE62E4"/>
    <w:rsid w:val="00DE6533"/>
    <w:rsid w:val="00DE660E"/>
    <w:rsid w:val="00DE6674"/>
    <w:rsid w:val="00DE66C3"/>
    <w:rsid w:val="00DE67E5"/>
    <w:rsid w:val="00DE690A"/>
    <w:rsid w:val="00DE6BB5"/>
    <w:rsid w:val="00DE6BC1"/>
    <w:rsid w:val="00DE6C91"/>
    <w:rsid w:val="00DE6C93"/>
    <w:rsid w:val="00DE6E5D"/>
    <w:rsid w:val="00DE6F80"/>
    <w:rsid w:val="00DE7341"/>
    <w:rsid w:val="00DE7642"/>
    <w:rsid w:val="00DE76C6"/>
    <w:rsid w:val="00DE77E3"/>
    <w:rsid w:val="00DE79A8"/>
    <w:rsid w:val="00DE7B95"/>
    <w:rsid w:val="00DE7BA3"/>
    <w:rsid w:val="00DE7D88"/>
    <w:rsid w:val="00DE7D90"/>
    <w:rsid w:val="00DE7E89"/>
    <w:rsid w:val="00DF0251"/>
    <w:rsid w:val="00DF0352"/>
    <w:rsid w:val="00DF048A"/>
    <w:rsid w:val="00DF0641"/>
    <w:rsid w:val="00DF06E2"/>
    <w:rsid w:val="00DF0770"/>
    <w:rsid w:val="00DF0807"/>
    <w:rsid w:val="00DF091A"/>
    <w:rsid w:val="00DF0997"/>
    <w:rsid w:val="00DF0A94"/>
    <w:rsid w:val="00DF0ABF"/>
    <w:rsid w:val="00DF0BA1"/>
    <w:rsid w:val="00DF0C61"/>
    <w:rsid w:val="00DF0D41"/>
    <w:rsid w:val="00DF0F01"/>
    <w:rsid w:val="00DF0F17"/>
    <w:rsid w:val="00DF0F4F"/>
    <w:rsid w:val="00DF0FDC"/>
    <w:rsid w:val="00DF1005"/>
    <w:rsid w:val="00DF111A"/>
    <w:rsid w:val="00DF1185"/>
    <w:rsid w:val="00DF1803"/>
    <w:rsid w:val="00DF1B75"/>
    <w:rsid w:val="00DF1DCC"/>
    <w:rsid w:val="00DF1F1C"/>
    <w:rsid w:val="00DF208E"/>
    <w:rsid w:val="00DF210C"/>
    <w:rsid w:val="00DF22C9"/>
    <w:rsid w:val="00DF22FD"/>
    <w:rsid w:val="00DF23E5"/>
    <w:rsid w:val="00DF2415"/>
    <w:rsid w:val="00DF24B3"/>
    <w:rsid w:val="00DF24EA"/>
    <w:rsid w:val="00DF2523"/>
    <w:rsid w:val="00DF2675"/>
    <w:rsid w:val="00DF287C"/>
    <w:rsid w:val="00DF28A0"/>
    <w:rsid w:val="00DF318E"/>
    <w:rsid w:val="00DF31A8"/>
    <w:rsid w:val="00DF34AA"/>
    <w:rsid w:val="00DF34F7"/>
    <w:rsid w:val="00DF35B2"/>
    <w:rsid w:val="00DF35F2"/>
    <w:rsid w:val="00DF377B"/>
    <w:rsid w:val="00DF39B7"/>
    <w:rsid w:val="00DF3E57"/>
    <w:rsid w:val="00DF40C7"/>
    <w:rsid w:val="00DF424D"/>
    <w:rsid w:val="00DF42BD"/>
    <w:rsid w:val="00DF465F"/>
    <w:rsid w:val="00DF4662"/>
    <w:rsid w:val="00DF48B3"/>
    <w:rsid w:val="00DF49A7"/>
    <w:rsid w:val="00DF4C7A"/>
    <w:rsid w:val="00DF4FD9"/>
    <w:rsid w:val="00DF5083"/>
    <w:rsid w:val="00DF51AE"/>
    <w:rsid w:val="00DF53D2"/>
    <w:rsid w:val="00DF53E3"/>
    <w:rsid w:val="00DF5646"/>
    <w:rsid w:val="00DF5692"/>
    <w:rsid w:val="00DF573D"/>
    <w:rsid w:val="00DF5CC7"/>
    <w:rsid w:val="00DF5E1E"/>
    <w:rsid w:val="00DF63E2"/>
    <w:rsid w:val="00DF6413"/>
    <w:rsid w:val="00DF660A"/>
    <w:rsid w:val="00DF667F"/>
    <w:rsid w:val="00DF67A6"/>
    <w:rsid w:val="00DF6D01"/>
    <w:rsid w:val="00DF6D5F"/>
    <w:rsid w:val="00DF6DC9"/>
    <w:rsid w:val="00DF6DF9"/>
    <w:rsid w:val="00DF6E0F"/>
    <w:rsid w:val="00DF70A7"/>
    <w:rsid w:val="00DF71BE"/>
    <w:rsid w:val="00DF742E"/>
    <w:rsid w:val="00DF743D"/>
    <w:rsid w:val="00DF761F"/>
    <w:rsid w:val="00DF77A2"/>
    <w:rsid w:val="00DF77CE"/>
    <w:rsid w:val="00DF7942"/>
    <w:rsid w:val="00DF7B8C"/>
    <w:rsid w:val="00E001F8"/>
    <w:rsid w:val="00E002BD"/>
    <w:rsid w:val="00E00437"/>
    <w:rsid w:val="00E006A8"/>
    <w:rsid w:val="00E007CB"/>
    <w:rsid w:val="00E0084C"/>
    <w:rsid w:val="00E008E1"/>
    <w:rsid w:val="00E00A4B"/>
    <w:rsid w:val="00E00E2D"/>
    <w:rsid w:val="00E00E4B"/>
    <w:rsid w:val="00E00F54"/>
    <w:rsid w:val="00E00FB9"/>
    <w:rsid w:val="00E01021"/>
    <w:rsid w:val="00E011A4"/>
    <w:rsid w:val="00E0126D"/>
    <w:rsid w:val="00E013AC"/>
    <w:rsid w:val="00E014DC"/>
    <w:rsid w:val="00E0191B"/>
    <w:rsid w:val="00E0195E"/>
    <w:rsid w:val="00E019AB"/>
    <w:rsid w:val="00E01B14"/>
    <w:rsid w:val="00E01B78"/>
    <w:rsid w:val="00E01D11"/>
    <w:rsid w:val="00E01DA5"/>
    <w:rsid w:val="00E01DE9"/>
    <w:rsid w:val="00E01ED9"/>
    <w:rsid w:val="00E02048"/>
    <w:rsid w:val="00E023D4"/>
    <w:rsid w:val="00E02543"/>
    <w:rsid w:val="00E025AD"/>
    <w:rsid w:val="00E02608"/>
    <w:rsid w:val="00E02757"/>
    <w:rsid w:val="00E02A34"/>
    <w:rsid w:val="00E02B33"/>
    <w:rsid w:val="00E02B37"/>
    <w:rsid w:val="00E02CCC"/>
    <w:rsid w:val="00E02E9D"/>
    <w:rsid w:val="00E02F4C"/>
    <w:rsid w:val="00E02F4E"/>
    <w:rsid w:val="00E031F3"/>
    <w:rsid w:val="00E0340A"/>
    <w:rsid w:val="00E03728"/>
    <w:rsid w:val="00E0382A"/>
    <w:rsid w:val="00E039B9"/>
    <w:rsid w:val="00E03ACD"/>
    <w:rsid w:val="00E03AFD"/>
    <w:rsid w:val="00E03B76"/>
    <w:rsid w:val="00E03C43"/>
    <w:rsid w:val="00E04101"/>
    <w:rsid w:val="00E0412F"/>
    <w:rsid w:val="00E04348"/>
    <w:rsid w:val="00E04392"/>
    <w:rsid w:val="00E04652"/>
    <w:rsid w:val="00E04660"/>
    <w:rsid w:val="00E0469A"/>
    <w:rsid w:val="00E046FB"/>
    <w:rsid w:val="00E047DE"/>
    <w:rsid w:val="00E048EE"/>
    <w:rsid w:val="00E049B5"/>
    <w:rsid w:val="00E049C4"/>
    <w:rsid w:val="00E04A54"/>
    <w:rsid w:val="00E04A8C"/>
    <w:rsid w:val="00E04CB4"/>
    <w:rsid w:val="00E05027"/>
    <w:rsid w:val="00E0516A"/>
    <w:rsid w:val="00E05248"/>
    <w:rsid w:val="00E05291"/>
    <w:rsid w:val="00E05311"/>
    <w:rsid w:val="00E05542"/>
    <w:rsid w:val="00E058D4"/>
    <w:rsid w:val="00E05C45"/>
    <w:rsid w:val="00E05CDB"/>
    <w:rsid w:val="00E05CDC"/>
    <w:rsid w:val="00E05CE8"/>
    <w:rsid w:val="00E06108"/>
    <w:rsid w:val="00E0612B"/>
    <w:rsid w:val="00E061B8"/>
    <w:rsid w:val="00E06220"/>
    <w:rsid w:val="00E065D5"/>
    <w:rsid w:val="00E067AC"/>
    <w:rsid w:val="00E06825"/>
    <w:rsid w:val="00E06884"/>
    <w:rsid w:val="00E0699E"/>
    <w:rsid w:val="00E06B99"/>
    <w:rsid w:val="00E06D3A"/>
    <w:rsid w:val="00E06EED"/>
    <w:rsid w:val="00E07053"/>
    <w:rsid w:val="00E070D6"/>
    <w:rsid w:val="00E0718F"/>
    <w:rsid w:val="00E0721D"/>
    <w:rsid w:val="00E0759F"/>
    <w:rsid w:val="00E07715"/>
    <w:rsid w:val="00E07756"/>
    <w:rsid w:val="00E077D4"/>
    <w:rsid w:val="00E0799A"/>
    <w:rsid w:val="00E07B28"/>
    <w:rsid w:val="00E1060C"/>
    <w:rsid w:val="00E10716"/>
    <w:rsid w:val="00E1075F"/>
    <w:rsid w:val="00E10828"/>
    <w:rsid w:val="00E1091C"/>
    <w:rsid w:val="00E10AC2"/>
    <w:rsid w:val="00E10B8F"/>
    <w:rsid w:val="00E10B96"/>
    <w:rsid w:val="00E10DEE"/>
    <w:rsid w:val="00E10EFD"/>
    <w:rsid w:val="00E10F50"/>
    <w:rsid w:val="00E1106A"/>
    <w:rsid w:val="00E111C0"/>
    <w:rsid w:val="00E1151A"/>
    <w:rsid w:val="00E1159F"/>
    <w:rsid w:val="00E11633"/>
    <w:rsid w:val="00E1188F"/>
    <w:rsid w:val="00E11995"/>
    <w:rsid w:val="00E11C64"/>
    <w:rsid w:val="00E11E89"/>
    <w:rsid w:val="00E11FB5"/>
    <w:rsid w:val="00E1227B"/>
    <w:rsid w:val="00E122E5"/>
    <w:rsid w:val="00E12391"/>
    <w:rsid w:val="00E12820"/>
    <w:rsid w:val="00E12F05"/>
    <w:rsid w:val="00E1306B"/>
    <w:rsid w:val="00E132E8"/>
    <w:rsid w:val="00E1348E"/>
    <w:rsid w:val="00E1348F"/>
    <w:rsid w:val="00E135E7"/>
    <w:rsid w:val="00E138F5"/>
    <w:rsid w:val="00E138FA"/>
    <w:rsid w:val="00E139DF"/>
    <w:rsid w:val="00E13A92"/>
    <w:rsid w:val="00E13B96"/>
    <w:rsid w:val="00E13D3E"/>
    <w:rsid w:val="00E141AA"/>
    <w:rsid w:val="00E144A6"/>
    <w:rsid w:val="00E1471D"/>
    <w:rsid w:val="00E14A96"/>
    <w:rsid w:val="00E14B2C"/>
    <w:rsid w:val="00E14BF0"/>
    <w:rsid w:val="00E1515B"/>
    <w:rsid w:val="00E154CB"/>
    <w:rsid w:val="00E15593"/>
    <w:rsid w:val="00E156C0"/>
    <w:rsid w:val="00E15A45"/>
    <w:rsid w:val="00E15B99"/>
    <w:rsid w:val="00E15C25"/>
    <w:rsid w:val="00E15FE4"/>
    <w:rsid w:val="00E16332"/>
    <w:rsid w:val="00E163AE"/>
    <w:rsid w:val="00E163D1"/>
    <w:rsid w:val="00E164F6"/>
    <w:rsid w:val="00E165D3"/>
    <w:rsid w:val="00E1674A"/>
    <w:rsid w:val="00E167D8"/>
    <w:rsid w:val="00E167F0"/>
    <w:rsid w:val="00E168BF"/>
    <w:rsid w:val="00E16F16"/>
    <w:rsid w:val="00E1702D"/>
    <w:rsid w:val="00E1725C"/>
    <w:rsid w:val="00E172B4"/>
    <w:rsid w:val="00E173AF"/>
    <w:rsid w:val="00E173BA"/>
    <w:rsid w:val="00E1749D"/>
    <w:rsid w:val="00E174B5"/>
    <w:rsid w:val="00E17576"/>
    <w:rsid w:val="00E177A6"/>
    <w:rsid w:val="00E177FE"/>
    <w:rsid w:val="00E17A1A"/>
    <w:rsid w:val="00E17B70"/>
    <w:rsid w:val="00E17F12"/>
    <w:rsid w:val="00E17F85"/>
    <w:rsid w:val="00E200DE"/>
    <w:rsid w:val="00E2075E"/>
    <w:rsid w:val="00E207CD"/>
    <w:rsid w:val="00E209D0"/>
    <w:rsid w:val="00E21352"/>
    <w:rsid w:val="00E213EF"/>
    <w:rsid w:val="00E2160A"/>
    <w:rsid w:val="00E21658"/>
    <w:rsid w:val="00E2171A"/>
    <w:rsid w:val="00E21A5F"/>
    <w:rsid w:val="00E21AA8"/>
    <w:rsid w:val="00E21CA5"/>
    <w:rsid w:val="00E21CE5"/>
    <w:rsid w:val="00E21CEE"/>
    <w:rsid w:val="00E21CF3"/>
    <w:rsid w:val="00E21DE5"/>
    <w:rsid w:val="00E22368"/>
    <w:rsid w:val="00E228C5"/>
    <w:rsid w:val="00E22EF4"/>
    <w:rsid w:val="00E22F7B"/>
    <w:rsid w:val="00E230D6"/>
    <w:rsid w:val="00E233BC"/>
    <w:rsid w:val="00E23632"/>
    <w:rsid w:val="00E236D5"/>
    <w:rsid w:val="00E23D47"/>
    <w:rsid w:val="00E23E08"/>
    <w:rsid w:val="00E23E0D"/>
    <w:rsid w:val="00E2407D"/>
    <w:rsid w:val="00E2427A"/>
    <w:rsid w:val="00E2436E"/>
    <w:rsid w:val="00E24421"/>
    <w:rsid w:val="00E246ED"/>
    <w:rsid w:val="00E24712"/>
    <w:rsid w:val="00E2480E"/>
    <w:rsid w:val="00E24F02"/>
    <w:rsid w:val="00E25003"/>
    <w:rsid w:val="00E251BF"/>
    <w:rsid w:val="00E253D3"/>
    <w:rsid w:val="00E2545A"/>
    <w:rsid w:val="00E2552F"/>
    <w:rsid w:val="00E256C6"/>
    <w:rsid w:val="00E25831"/>
    <w:rsid w:val="00E258BA"/>
    <w:rsid w:val="00E25942"/>
    <w:rsid w:val="00E25A72"/>
    <w:rsid w:val="00E25B5D"/>
    <w:rsid w:val="00E25C95"/>
    <w:rsid w:val="00E25CFE"/>
    <w:rsid w:val="00E26281"/>
    <w:rsid w:val="00E26754"/>
    <w:rsid w:val="00E2689D"/>
    <w:rsid w:val="00E26AC7"/>
    <w:rsid w:val="00E26C3E"/>
    <w:rsid w:val="00E26C40"/>
    <w:rsid w:val="00E26C81"/>
    <w:rsid w:val="00E26CEB"/>
    <w:rsid w:val="00E27033"/>
    <w:rsid w:val="00E270E0"/>
    <w:rsid w:val="00E2715A"/>
    <w:rsid w:val="00E27270"/>
    <w:rsid w:val="00E2745B"/>
    <w:rsid w:val="00E275BD"/>
    <w:rsid w:val="00E2761A"/>
    <w:rsid w:val="00E277A4"/>
    <w:rsid w:val="00E27842"/>
    <w:rsid w:val="00E278E5"/>
    <w:rsid w:val="00E27AD8"/>
    <w:rsid w:val="00E27B06"/>
    <w:rsid w:val="00E27BC0"/>
    <w:rsid w:val="00E27E1A"/>
    <w:rsid w:val="00E27EE5"/>
    <w:rsid w:val="00E2AE55"/>
    <w:rsid w:val="00E2C6FE"/>
    <w:rsid w:val="00E30078"/>
    <w:rsid w:val="00E301BC"/>
    <w:rsid w:val="00E3021A"/>
    <w:rsid w:val="00E30400"/>
    <w:rsid w:val="00E30408"/>
    <w:rsid w:val="00E30603"/>
    <w:rsid w:val="00E3064B"/>
    <w:rsid w:val="00E30A01"/>
    <w:rsid w:val="00E30E16"/>
    <w:rsid w:val="00E30EE2"/>
    <w:rsid w:val="00E30FBB"/>
    <w:rsid w:val="00E3112B"/>
    <w:rsid w:val="00E3114D"/>
    <w:rsid w:val="00E311A3"/>
    <w:rsid w:val="00E311D1"/>
    <w:rsid w:val="00E3132D"/>
    <w:rsid w:val="00E31477"/>
    <w:rsid w:val="00E314AA"/>
    <w:rsid w:val="00E31543"/>
    <w:rsid w:val="00E31B3A"/>
    <w:rsid w:val="00E31B79"/>
    <w:rsid w:val="00E31C66"/>
    <w:rsid w:val="00E31D55"/>
    <w:rsid w:val="00E31D57"/>
    <w:rsid w:val="00E31F13"/>
    <w:rsid w:val="00E32003"/>
    <w:rsid w:val="00E320F4"/>
    <w:rsid w:val="00E3213D"/>
    <w:rsid w:val="00E32265"/>
    <w:rsid w:val="00E32276"/>
    <w:rsid w:val="00E322BD"/>
    <w:rsid w:val="00E32505"/>
    <w:rsid w:val="00E32579"/>
    <w:rsid w:val="00E325BB"/>
    <w:rsid w:val="00E325E4"/>
    <w:rsid w:val="00E32637"/>
    <w:rsid w:val="00E32671"/>
    <w:rsid w:val="00E326F9"/>
    <w:rsid w:val="00E32804"/>
    <w:rsid w:val="00E3295D"/>
    <w:rsid w:val="00E32967"/>
    <w:rsid w:val="00E32CB3"/>
    <w:rsid w:val="00E32DA5"/>
    <w:rsid w:val="00E330B6"/>
    <w:rsid w:val="00E333C4"/>
    <w:rsid w:val="00E3364D"/>
    <w:rsid w:val="00E33664"/>
    <w:rsid w:val="00E3375A"/>
    <w:rsid w:val="00E33946"/>
    <w:rsid w:val="00E33A82"/>
    <w:rsid w:val="00E33B46"/>
    <w:rsid w:val="00E33EB2"/>
    <w:rsid w:val="00E33F01"/>
    <w:rsid w:val="00E34055"/>
    <w:rsid w:val="00E340BD"/>
    <w:rsid w:val="00E34208"/>
    <w:rsid w:val="00E34355"/>
    <w:rsid w:val="00E343BE"/>
    <w:rsid w:val="00E3441A"/>
    <w:rsid w:val="00E3441E"/>
    <w:rsid w:val="00E34689"/>
    <w:rsid w:val="00E346BC"/>
    <w:rsid w:val="00E347BB"/>
    <w:rsid w:val="00E34944"/>
    <w:rsid w:val="00E34945"/>
    <w:rsid w:val="00E34A1A"/>
    <w:rsid w:val="00E34C64"/>
    <w:rsid w:val="00E34F03"/>
    <w:rsid w:val="00E353AC"/>
    <w:rsid w:val="00E35451"/>
    <w:rsid w:val="00E3560F"/>
    <w:rsid w:val="00E3563D"/>
    <w:rsid w:val="00E35670"/>
    <w:rsid w:val="00E3578D"/>
    <w:rsid w:val="00E3596F"/>
    <w:rsid w:val="00E35988"/>
    <w:rsid w:val="00E359DC"/>
    <w:rsid w:val="00E362F1"/>
    <w:rsid w:val="00E36587"/>
    <w:rsid w:val="00E36625"/>
    <w:rsid w:val="00E366D0"/>
    <w:rsid w:val="00E36A21"/>
    <w:rsid w:val="00E36A45"/>
    <w:rsid w:val="00E36B08"/>
    <w:rsid w:val="00E36BCB"/>
    <w:rsid w:val="00E3705F"/>
    <w:rsid w:val="00E370CB"/>
    <w:rsid w:val="00E37170"/>
    <w:rsid w:val="00E371BF"/>
    <w:rsid w:val="00E372B0"/>
    <w:rsid w:val="00E373A7"/>
    <w:rsid w:val="00E3740E"/>
    <w:rsid w:val="00E37452"/>
    <w:rsid w:val="00E37627"/>
    <w:rsid w:val="00E37777"/>
    <w:rsid w:val="00E378CB"/>
    <w:rsid w:val="00E37A33"/>
    <w:rsid w:val="00E37A6B"/>
    <w:rsid w:val="00E37C47"/>
    <w:rsid w:val="00E37FE8"/>
    <w:rsid w:val="00E40003"/>
    <w:rsid w:val="00E403E2"/>
    <w:rsid w:val="00E40462"/>
    <w:rsid w:val="00E40537"/>
    <w:rsid w:val="00E4062E"/>
    <w:rsid w:val="00E409A0"/>
    <w:rsid w:val="00E40A06"/>
    <w:rsid w:val="00E40B17"/>
    <w:rsid w:val="00E40CB0"/>
    <w:rsid w:val="00E40EB7"/>
    <w:rsid w:val="00E41639"/>
    <w:rsid w:val="00E416CA"/>
    <w:rsid w:val="00E416D7"/>
    <w:rsid w:val="00E41C51"/>
    <w:rsid w:val="00E41D56"/>
    <w:rsid w:val="00E41D8C"/>
    <w:rsid w:val="00E41E91"/>
    <w:rsid w:val="00E41E99"/>
    <w:rsid w:val="00E4218F"/>
    <w:rsid w:val="00E423A3"/>
    <w:rsid w:val="00E424AD"/>
    <w:rsid w:val="00E4269E"/>
    <w:rsid w:val="00E426C9"/>
    <w:rsid w:val="00E429BF"/>
    <w:rsid w:val="00E42ABB"/>
    <w:rsid w:val="00E42ACC"/>
    <w:rsid w:val="00E42C35"/>
    <w:rsid w:val="00E42D7E"/>
    <w:rsid w:val="00E43003"/>
    <w:rsid w:val="00E430E4"/>
    <w:rsid w:val="00E4312B"/>
    <w:rsid w:val="00E432C6"/>
    <w:rsid w:val="00E43396"/>
    <w:rsid w:val="00E435F4"/>
    <w:rsid w:val="00E435F5"/>
    <w:rsid w:val="00E439EB"/>
    <w:rsid w:val="00E43A3F"/>
    <w:rsid w:val="00E43BFA"/>
    <w:rsid w:val="00E43C05"/>
    <w:rsid w:val="00E43EF7"/>
    <w:rsid w:val="00E43FB6"/>
    <w:rsid w:val="00E440E2"/>
    <w:rsid w:val="00E4418F"/>
    <w:rsid w:val="00E442AB"/>
    <w:rsid w:val="00E442B5"/>
    <w:rsid w:val="00E44386"/>
    <w:rsid w:val="00E4442D"/>
    <w:rsid w:val="00E446BB"/>
    <w:rsid w:val="00E44986"/>
    <w:rsid w:val="00E449F2"/>
    <w:rsid w:val="00E449F3"/>
    <w:rsid w:val="00E44D8E"/>
    <w:rsid w:val="00E44F07"/>
    <w:rsid w:val="00E450BD"/>
    <w:rsid w:val="00E45337"/>
    <w:rsid w:val="00E453C7"/>
    <w:rsid w:val="00E4575D"/>
    <w:rsid w:val="00E45766"/>
    <w:rsid w:val="00E457C4"/>
    <w:rsid w:val="00E45CDC"/>
    <w:rsid w:val="00E45D6E"/>
    <w:rsid w:val="00E45F50"/>
    <w:rsid w:val="00E461DA"/>
    <w:rsid w:val="00E466DE"/>
    <w:rsid w:val="00E4685B"/>
    <w:rsid w:val="00E4693A"/>
    <w:rsid w:val="00E46C83"/>
    <w:rsid w:val="00E46D0C"/>
    <w:rsid w:val="00E46E1C"/>
    <w:rsid w:val="00E46F80"/>
    <w:rsid w:val="00E46FE5"/>
    <w:rsid w:val="00E470FF"/>
    <w:rsid w:val="00E47311"/>
    <w:rsid w:val="00E47386"/>
    <w:rsid w:val="00E47544"/>
    <w:rsid w:val="00E475CA"/>
    <w:rsid w:val="00E47741"/>
    <w:rsid w:val="00E479AD"/>
    <w:rsid w:val="00E47AB2"/>
    <w:rsid w:val="00E47B9D"/>
    <w:rsid w:val="00E47BC8"/>
    <w:rsid w:val="00E47C4D"/>
    <w:rsid w:val="00E47C78"/>
    <w:rsid w:val="00E50159"/>
    <w:rsid w:val="00E501B1"/>
    <w:rsid w:val="00E503C5"/>
    <w:rsid w:val="00E50492"/>
    <w:rsid w:val="00E5074C"/>
    <w:rsid w:val="00E507DE"/>
    <w:rsid w:val="00E5091E"/>
    <w:rsid w:val="00E50ABA"/>
    <w:rsid w:val="00E50E86"/>
    <w:rsid w:val="00E5114A"/>
    <w:rsid w:val="00E5124B"/>
    <w:rsid w:val="00E512E0"/>
    <w:rsid w:val="00E51402"/>
    <w:rsid w:val="00E514E8"/>
    <w:rsid w:val="00E514FB"/>
    <w:rsid w:val="00E515C2"/>
    <w:rsid w:val="00E51638"/>
    <w:rsid w:val="00E5172A"/>
    <w:rsid w:val="00E51A19"/>
    <w:rsid w:val="00E51A9F"/>
    <w:rsid w:val="00E51D1E"/>
    <w:rsid w:val="00E51FAF"/>
    <w:rsid w:val="00E5220C"/>
    <w:rsid w:val="00E52326"/>
    <w:rsid w:val="00E523AB"/>
    <w:rsid w:val="00E523EE"/>
    <w:rsid w:val="00E524B6"/>
    <w:rsid w:val="00E52585"/>
    <w:rsid w:val="00E525A4"/>
    <w:rsid w:val="00E525E6"/>
    <w:rsid w:val="00E526BC"/>
    <w:rsid w:val="00E5278A"/>
    <w:rsid w:val="00E5279F"/>
    <w:rsid w:val="00E52AF4"/>
    <w:rsid w:val="00E52B83"/>
    <w:rsid w:val="00E52D23"/>
    <w:rsid w:val="00E52DBA"/>
    <w:rsid w:val="00E52E45"/>
    <w:rsid w:val="00E52E8E"/>
    <w:rsid w:val="00E52F94"/>
    <w:rsid w:val="00E53309"/>
    <w:rsid w:val="00E53357"/>
    <w:rsid w:val="00E53359"/>
    <w:rsid w:val="00E534B7"/>
    <w:rsid w:val="00E53529"/>
    <w:rsid w:val="00E53667"/>
    <w:rsid w:val="00E53715"/>
    <w:rsid w:val="00E5376C"/>
    <w:rsid w:val="00E5378A"/>
    <w:rsid w:val="00E53852"/>
    <w:rsid w:val="00E53BFB"/>
    <w:rsid w:val="00E53C8F"/>
    <w:rsid w:val="00E53F75"/>
    <w:rsid w:val="00E540CA"/>
    <w:rsid w:val="00E541E5"/>
    <w:rsid w:val="00E543D7"/>
    <w:rsid w:val="00E54508"/>
    <w:rsid w:val="00E547B6"/>
    <w:rsid w:val="00E54845"/>
    <w:rsid w:val="00E549E5"/>
    <w:rsid w:val="00E54D8F"/>
    <w:rsid w:val="00E54D9C"/>
    <w:rsid w:val="00E54E99"/>
    <w:rsid w:val="00E5533C"/>
    <w:rsid w:val="00E55751"/>
    <w:rsid w:val="00E557AC"/>
    <w:rsid w:val="00E558A5"/>
    <w:rsid w:val="00E55C6A"/>
    <w:rsid w:val="00E560BB"/>
    <w:rsid w:val="00E561F7"/>
    <w:rsid w:val="00E5684B"/>
    <w:rsid w:val="00E5687F"/>
    <w:rsid w:val="00E568A8"/>
    <w:rsid w:val="00E56A71"/>
    <w:rsid w:val="00E56DE2"/>
    <w:rsid w:val="00E56E69"/>
    <w:rsid w:val="00E56E88"/>
    <w:rsid w:val="00E5705F"/>
    <w:rsid w:val="00E570FC"/>
    <w:rsid w:val="00E5720C"/>
    <w:rsid w:val="00E572F2"/>
    <w:rsid w:val="00E575F0"/>
    <w:rsid w:val="00E576FE"/>
    <w:rsid w:val="00E57749"/>
    <w:rsid w:val="00E578BB"/>
    <w:rsid w:val="00E578CE"/>
    <w:rsid w:val="00E5797D"/>
    <w:rsid w:val="00E57AB4"/>
    <w:rsid w:val="00E57CB1"/>
    <w:rsid w:val="00E57DEF"/>
    <w:rsid w:val="00E57E8A"/>
    <w:rsid w:val="00E57EF2"/>
    <w:rsid w:val="00E57F85"/>
    <w:rsid w:val="00E6009C"/>
    <w:rsid w:val="00E60124"/>
    <w:rsid w:val="00E604D7"/>
    <w:rsid w:val="00E606DC"/>
    <w:rsid w:val="00E60788"/>
    <w:rsid w:val="00E607B6"/>
    <w:rsid w:val="00E6098C"/>
    <w:rsid w:val="00E609F5"/>
    <w:rsid w:val="00E60A1B"/>
    <w:rsid w:val="00E60ACD"/>
    <w:rsid w:val="00E60B90"/>
    <w:rsid w:val="00E60CB9"/>
    <w:rsid w:val="00E611D1"/>
    <w:rsid w:val="00E6125F"/>
    <w:rsid w:val="00E6140D"/>
    <w:rsid w:val="00E61707"/>
    <w:rsid w:val="00E6191C"/>
    <w:rsid w:val="00E619A6"/>
    <w:rsid w:val="00E61D0D"/>
    <w:rsid w:val="00E61EED"/>
    <w:rsid w:val="00E61F36"/>
    <w:rsid w:val="00E61F44"/>
    <w:rsid w:val="00E62289"/>
    <w:rsid w:val="00E62316"/>
    <w:rsid w:val="00E62411"/>
    <w:rsid w:val="00E62590"/>
    <w:rsid w:val="00E625AB"/>
    <w:rsid w:val="00E62819"/>
    <w:rsid w:val="00E62830"/>
    <w:rsid w:val="00E6290F"/>
    <w:rsid w:val="00E62976"/>
    <w:rsid w:val="00E62FDD"/>
    <w:rsid w:val="00E630E5"/>
    <w:rsid w:val="00E63357"/>
    <w:rsid w:val="00E634B0"/>
    <w:rsid w:val="00E637D5"/>
    <w:rsid w:val="00E63879"/>
    <w:rsid w:val="00E638E2"/>
    <w:rsid w:val="00E6390B"/>
    <w:rsid w:val="00E639CD"/>
    <w:rsid w:val="00E63A2D"/>
    <w:rsid w:val="00E63B4B"/>
    <w:rsid w:val="00E63BA6"/>
    <w:rsid w:val="00E63D4E"/>
    <w:rsid w:val="00E63D91"/>
    <w:rsid w:val="00E63FA7"/>
    <w:rsid w:val="00E641AF"/>
    <w:rsid w:val="00E6465D"/>
    <w:rsid w:val="00E649BA"/>
    <w:rsid w:val="00E64B4C"/>
    <w:rsid w:val="00E64F73"/>
    <w:rsid w:val="00E6583F"/>
    <w:rsid w:val="00E659B6"/>
    <w:rsid w:val="00E65A4A"/>
    <w:rsid w:val="00E65AD6"/>
    <w:rsid w:val="00E65B4F"/>
    <w:rsid w:val="00E65BFA"/>
    <w:rsid w:val="00E65E8D"/>
    <w:rsid w:val="00E65F19"/>
    <w:rsid w:val="00E65F81"/>
    <w:rsid w:val="00E65FA6"/>
    <w:rsid w:val="00E6619A"/>
    <w:rsid w:val="00E66250"/>
    <w:rsid w:val="00E662CE"/>
    <w:rsid w:val="00E662ED"/>
    <w:rsid w:val="00E66379"/>
    <w:rsid w:val="00E6650D"/>
    <w:rsid w:val="00E66868"/>
    <w:rsid w:val="00E66965"/>
    <w:rsid w:val="00E66A0B"/>
    <w:rsid w:val="00E66A74"/>
    <w:rsid w:val="00E66A7B"/>
    <w:rsid w:val="00E66CA9"/>
    <w:rsid w:val="00E66D20"/>
    <w:rsid w:val="00E66DB3"/>
    <w:rsid w:val="00E6711B"/>
    <w:rsid w:val="00E671A2"/>
    <w:rsid w:val="00E6776C"/>
    <w:rsid w:val="00E67ACA"/>
    <w:rsid w:val="00E67F85"/>
    <w:rsid w:val="00E7011E"/>
    <w:rsid w:val="00E70146"/>
    <w:rsid w:val="00E70333"/>
    <w:rsid w:val="00E70668"/>
    <w:rsid w:val="00E706A0"/>
    <w:rsid w:val="00E7078D"/>
    <w:rsid w:val="00E707A3"/>
    <w:rsid w:val="00E70829"/>
    <w:rsid w:val="00E70886"/>
    <w:rsid w:val="00E7096B"/>
    <w:rsid w:val="00E709CE"/>
    <w:rsid w:val="00E70B1B"/>
    <w:rsid w:val="00E70BA5"/>
    <w:rsid w:val="00E70C7F"/>
    <w:rsid w:val="00E71084"/>
    <w:rsid w:val="00E7113E"/>
    <w:rsid w:val="00E7113F"/>
    <w:rsid w:val="00E71411"/>
    <w:rsid w:val="00E715DE"/>
    <w:rsid w:val="00E716F7"/>
    <w:rsid w:val="00E718A9"/>
    <w:rsid w:val="00E718EF"/>
    <w:rsid w:val="00E71907"/>
    <w:rsid w:val="00E71975"/>
    <w:rsid w:val="00E7199D"/>
    <w:rsid w:val="00E719F7"/>
    <w:rsid w:val="00E71E54"/>
    <w:rsid w:val="00E71FB8"/>
    <w:rsid w:val="00E71FF7"/>
    <w:rsid w:val="00E72268"/>
    <w:rsid w:val="00E722C3"/>
    <w:rsid w:val="00E723A5"/>
    <w:rsid w:val="00E724B9"/>
    <w:rsid w:val="00E72518"/>
    <w:rsid w:val="00E72588"/>
    <w:rsid w:val="00E725D3"/>
    <w:rsid w:val="00E726FA"/>
    <w:rsid w:val="00E72735"/>
    <w:rsid w:val="00E728A7"/>
    <w:rsid w:val="00E72AA4"/>
    <w:rsid w:val="00E72B47"/>
    <w:rsid w:val="00E72B79"/>
    <w:rsid w:val="00E72E27"/>
    <w:rsid w:val="00E7318D"/>
    <w:rsid w:val="00E731D4"/>
    <w:rsid w:val="00E732A7"/>
    <w:rsid w:val="00E7333A"/>
    <w:rsid w:val="00E734FD"/>
    <w:rsid w:val="00E73862"/>
    <w:rsid w:val="00E73926"/>
    <w:rsid w:val="00E73BC9"/>
    <w:rsid w:val="00E73E66"/>
    <w:rsid w:val="00E73FC4"/>
    <w:rsid w:val="00E74063"/>
    <w:rsid w:val="00E74267"/>
    <w:rsid w:val="00E74335"/>
    <w:rsid w:val="00E746F4"/>
    <w:rsid w:val="00E747A5"/>
    <w:rsid w:val="00E74894"/>
    <w:rsid w:val="00E74C90"/>
    <w:rsid w:val="00E74CE2"/>
    <w:rsid w:val="00E75026"/>
    <w:rsid w:val="00E750C6"/>
    <w:rsid w:val="00E75198"/>
    <w:rsid w:val="00E75209"/>
    <w:rsid w:val="00E75454"/>
    <w:rsid w:val="00E7548B"/>
    <w:rsid w:val="00E7556E"/>
    <w:rsid w:val="00E75639"/>
    <w:rsid w:val="00E75643"/>
    <w:rsid w:val="00E75702"/>
    <w:rsid w:val="00E7577E"/>
    <w:rsid w:val="00E75784"/>
    <w:rsid w:val="00E7585B"/>
    <w:rsid w:val="00E75925"/>
    <w:rsid w:val="00E759F2"/>
    <w:rsid w:val="00E75AE8"/>
    <w:rsid w:val="00E75D62"/>
    <w:rsid w:val="00E75E73"/>
    <w:rsid w:val="00E76243"/>
    <w:rsid w:val="00E7626A"/>
    <w:rsid w:val="00E762F1"/>
    <w:rsid w:val="00E762F5"/>
    <w:rsid w:val="00E76353"/>
    <w:rsid w:val="00E76652"/>
    <w:rsid w:val="00E76A65"/>
    <w:rsid w:val="00E76CF9"/>
    <w:rsid w:val="00E76DE4"/>
    <w:rsid w:val="00E76E82"/>
    <w:rsid w:val="00E77249"/>
    <w:rsid w:val="00E7786F"/>
    <w:rsid w:val="00E778A0"/>
    <w:rsid w:val="00E779FA"/>
    <w:rsid w:val="00E7BD65"/>
    <w:rsid w:val="00E8025E"/>
    <w:rsid w:val="00E805C8"/>
    <w:rsid w:val="00E80694"/>
    <w:rsid w:val="00E806C5"/>
    <w:rsid w:val="00E806C6"/>
    <w:rsid w:val="00E80751"/>
    <w:rsid w:val="00E80830"/>
    <w:rsid w:val="00E80871"/>
    <w:rsid w:val="00E80A6C"/>
    <w:rsid w:val="00E80AF8"/>
    <w:rsid w:val="00E80D3A"/>
    <w:rsid w:val="00E80FC0"/>
    <w:rsid w:val="00E81239"/>
    <w:rsid w:val="00E8127F"/>
    <w:rsid w:val="00E812F7"/>
    <w:rsid w:val="00E8130D"/>
    <w:rsid w:val="00E81414"/>
    <w:rsid w:val="00E81789"/>
    <w:rsid w:val="00E8193E"/>
    <w:rsid w:val="00E81A2F"/>
    <w:rsid w:val="00E81AA2"/>
    <w:rsid w:val="00E82027"/>
    <w:rsid w:val="00E82062"/>
    <w:rsid w:val="00E8229A"/>
    <w:rsid w:val="00E8238E"/>
    <w:rsid w:val="00E82612"/>
    <w:rsid w:val="00E82A1E"/>
    <w:rsid w:val="00E82CB8"/>
    <w:rsid w:val="00E82DB9"/>
    <w:rsid w:val="00E82F43"/>
    <w:rsid w:val="00E82FF4"/>
    <w:rsid w:val="00E83426"/>
    <w:rsid w:val="00E836A9"/>
    <w:rsid w:val="00E836F4"/>
    <w:rsid w:val="00E8384C"/>
    <w:rsid w:val="00E839EB"/>
    <w:rsid w:val="00E83AC5"/>
    <w:rsid w:val="00E83D04"/>
    <w:rsid w:val="00E83D45"/>
    <w:rsid w:val="00E83D7A"/>
    <w:rsid w:val="00E83DEC"/>
    <w:rsid w:val="00E83F20"/>
    <w:rsid w:val="00E84157"/>
    <w:rsid w:val="00E84257"/>
    <w:rsid w:val="00E84569"/>
    <w:rsid w:val="00E8457F"/>
    <w:rsid w:val="00E845F6"/>
    <w:rsid w:val="00E84645"/>
    <w:rsid w:val="00E84690"/>
    <w:rsid w:val="00E84733"/>
    <w:rsid w:val="00E84968"/>
    <w:rsid w:val="00E84A14"/>
    <w:rsid w:val="00E84B48"/>
    <w:rsid w:val="00E84C05"/>
    <w:rsid w:val="00E84CBB"/>
    <w:rsid w:val="00E84D1D"/>
    <w:rsid w:val="00E84FEF"/>
    <w:rsid w:val="00E854D7"/>
    <w:rsid w:val="00E85604"/>
    <w:rsid w:val="00E85767"/>
    <w:rsid w:val="00E85856"/>
    <w:rsid w:val="00E85938"/>
    <w:rsid w:val="00E8598D"/>
    <w:rsid w:val="00E859A2"/>
    <w:rsid w:val="00E85AEA"/>
    <w:rsid w:val="00E85BF5"/>
    <w:rsid w:val="00E85C57"/>
    <w:rsid w:val="00E8603D"/>
    <w:rsid w:val="00E8613F"/>
    <w:rsid w:val="00E86159"/>
    <w:rsid w:val="00E8617A"/>
    <w:rsid w:val="00E8662E"/>
    <w:rsid w:val="00E866D0"/>
    <w:rsid w:val="00E8683D"/>
    <w:rsid w:val="00E868CB"/>
    <w:rsid w:val="00E86903"/>
    <w:rsid w:val="00E86C1D"/>
    <w:rsid w:val="00E86D98"/>
    <w:rsid w:val="00E86DE0"/>
    <w:rsid w:val="00E86E36"/>
    <w:rsid w:val="00E86E44"/>
    <w:rsid w:val="00E86F9A"/>
    <w:rsid w:val="00E871E6"/>
    <w:rsid w:val="00E873AC"/>
    <w:rsid w:val="00E873B2"/>
    <w:rsid w:val="00E8745D"/>
    <w:rsid w:val="00E874EC"/>
    <w:rsid w:val="00E87658"/>
    <w:rsid w:val="00E8767E"/>
    <w:rsid w:val="00E876FD"/>
    <w:rsid w:val="00E877D2"/>
    <w:rsid w:val="00E879C8"/>
    <w:rsid w:val="00E87B70"/>
    <w:rsid w:val="00E87C8E"/>
    <w:rsid w:val="00E87FD5"/>
    <w:rsid w:val="00E9009C"/>
    <w:rsid w:val="00E90106"/>
    <w:rsid w:val="00E90114"/>
    <w:rsid w:val="00E90217"/>
    <w:rsid w:val="00E9039C"/>
    <w:rsid w:val="00E90483"/>
    <w:rsid w:val="00E905F0"/>
    <w:rsid w:val="00E90B4C"/>
    <w:rsid w:val="00E90C4F"/>
    <w:rsid w:val="00E90D40"/>
    <w:rsid w:val="00E90DA1"/>
    <w:rsid w:val="00E90DF2"/>
    <w:rsid w:val="00E9135E"/>
    <w:rsid w:val="00E9141D"/>
    <w:rsid w:val="00E914B9"/>
    <w:rsid w:val="00E914DE"/>
    <w:rsid w:val="00E91609"/>
    <w:rsid w:val="00E916A5"/>
    <w:rsid w:val="00E917DC"/>
    <w:rsid w:val="00E91BD6"/>
    <w:rsid w:val="00E91DAE"/>
    <w:rsid w:val="00E9211C"/>
    <w:rsid w:val="00E92549"/>
    <w:rsid w:val="00E92697"/>
    <w:rsid w:val="00E92868"/>
    <w:rsid w:val="00E92A4F"/>
    <w:rsid w:val="00E92C39"/>
    <w:rsid w:val="00E92CB6"/>
    <w:rsid w:val="00E92CD9"/>
    <w:rsid w:val="00E92E06"/>
    <w:rsid w:val="00E93018"/>
    <w:rsid w:val="00E931F2"/>
    <w:rsid w:val="00E93294"/>
    <w:rsid w:val="00E932DA"/>
    <w:rsid w:val="00E9360D"/>
    <w:rsid w:val="00E93651"/>
    <w:rsid w:val="00E936C2"/>
    <w:rsid w:val="00E93902"/>
    <w:rsid w:val="00E93A1E"/>
    <w:rsid w:val="00E93ADC"/>
    <w:rsid w:val="00E93B53"/>
    <w:rsid w:val="00E93BFF"/>
    <w:rsid w:val="00E93C00"/>
    <w:rsid w:val="00E93CD6"/>
    <w:rsid w:val="00E93F0B"/>
    <w:rsid w:val="00E940C7"/>
    <w:rsid w:val="00E942C8"/>
    <w:rsid w:val="00E9447D"/>
    <w:rsid w:val="00E946C4"/>
    <w:rsid w:val="00E94845"/>
    <w:rsid w:val="00E94884"/>
    <w:rsid w:val="00E949A1"/>
    <w:rsid w:val="00E94CA8"/>
    <w:rsid w:val="00E94ECD"/>
    <w:rsid w:val="00E94F6E"/>
    <w:rsid w:val="00E94FBD"/>
    <w:rsid w:val="00E951B7"/>
    <w:rsid w:val="00E951F7"/>
    <w:rsid w:val="00E952C9"/>
    <w:rsid w:val="00E95331"/>
    <w:rsid w:val="00E9551D"/>
    <w:rsid w:val="00E95566"/>
    <w:rsid w:val="00E95682"/>
    <w:rsid w:val="00E9587A"/>
    <w:rsid w:val="00E95A60"/>
    <w:rsid w:val="00E95ADA"/>
    <w:rsid w:val="00E95C5C"/>
    <w:rsid w:val="00E95CFE"/>
    <w:rsid w:val="00E95F57"/>
    <w:rsid w:val="00E95F8C"/>
    <w:rsid w:val="00E964B3"/>
    <w:rsid w:val="00E966D0"/>
    <w:rsid w:val="00E9673B"/>
    <w:rsid w:val="00E9690E"/>
    <w:rsid w:val="00E96965"/>
    <w:rsid w:val="00E969CA"/>
    <w:rsid w:val="00E96A56"/>
    <w:rsid w:val="00E96A70"/>
    <w:rsid w:val="00E96BF4"/>
    <w:rsid w:val="00E96F73"/>
    <w:rsid w:val="00E96FC8"/>
    <w:rsid w:val="00E96FD6"/>
    <w:rsid w:val="00E972AF"/>
    <w:rsid w:val="00E97535"/>
    <w:rsid w:val="00E9766F"/>
    <w:rsid w:val="00E976BA"/>
    <w:rsid w:val="00E97763"/>
    <w:rsid w:val="00E9792A"/>
    <w:rsid w:val="00E97943"/>
    <w:rsid w:val="00E97A71"/>
    <w:rsid w:val="00E97AD8"/>
    <w:rsid w:val="00E97B4A"/>
    <w:rsid w:val="00E97B9D"/>
    <w:rsid w:val="00E97BFF"/>
    <w:rsid w:val="00E97C05"/>
    <w:rsid w:val="00E97C3E"/>
    <w:rsid w:val="00E97C42"/>
    <w:rsid w:val="00E97C8F"/>
    <w:rsid w:val="00E97CF4"/>
    <w:rsid w:val="00E97DF4"/>
    <w:rsid w:val="00E97FDF"/>
    <w:rsid w:val="00E97FEA"/>
    <w:rsid w:val="00E97FFE"/>
    <w:rsid w:val="00EA000A"/>
    <w:rsid w:val="00EA01F0"/>
    <w:rsid w:val="00EA0525"/>
    <w:rsid w:val="00EA0D6C"/>
    <w:rsid w:val="00EA0E66"/>
    <w:rsid w:val="00EA0ED4"/>
    <w:rsid w:val="00EA0F59"/>
    <w:rsid w:val="00EA1111"/>
    <w:rsid w:val="00EA1427"/>
    <w:rsid w:val="00EA1455"/>
    <w:rsid w:val="00EA189A"/>
    <w:rsid w:val="00EA18A8"/>
    <w:rsid w:val="00EA193A"/>
    <w:rsid w:val="00EA196B"/>
    <w:rsid w:val="00EA19CD"/>
    <w:rsid w:val="00EA1E08"/>
    <w:rsid w:val="00EA1EA1"/>
    <w:rsid w:val="00EA1F7F"/>
    <w:rsid w:val="00EA25CF"/>
    <w:rsid w:val="00EA2641"/>
    <w:rsid w:val="00EA26C1"/>
    <w:rsid w:val="00EA28E8"/>
    <w:rsid w:val="00EA2A39"/>
    <w:rsid w:val="00EA2A69"/>
    <w:rsid w:val="00EA2B96"/>
    <w:rsid w:val="00EA2BA7"/>
    <w:rsid w:val="00EA2F60"/>
    <w:rsid w:val="00EA2FA6"/>
    <w:rsid w:val="00EA33C8"/>
    <w:rsid w:val="00EA342F"/>
    <w:rsid w:val="00EA366C"/>
    <w:rsid w:val="00EA3762"/>
    <w:rsid w:val="00EA3778"/>
    <w:rsid w:val="00EA3B45"/>
    <w:rsid w:val="00EA3C52"/>
    <w:rsid w:val="00EA3C99"/>
    <w:rsid w:val="00EA3E25"/>
    <w:rsid w:val="00EA3E77"/>
    <w:rsid w:val="00EA4081"/>
    <w:rsid w:val="00EA40A7"/>
    <w:rsid w:val="00EA4163"/>
    <w:rsid w:val="00EA4476"/>
    <w:rsid w:val="00EA479E"/>
    <w:rsid w:val="00EA4B07"/>
    <w:rsid w:val="00EA4B72"/>
    <w:rsid w:val="00EA4C16"/>
    <w:rsid w:val="00EA4C78"/>
    <w:rsid w:val="00EA50A2"/>
    <w:rsid w:val="00EA518C"/>
    <w:rsid w:val="00EA51AA"/>
    <w:rsid w:val="00EA5288"/>
    <w:rsid w:val="00EA531E"/>
    <w:rsid w:val="00EA544C"/>
    <w:rsid w:val="00EA54DF"/>
    <w:rsid w:val="00EA5739"/>
    <w:rsid w:val="00EA5AA7"/>
    <w:rsid w:val="00EA5B05"/>
    <w:rsid w:val="00EA5C44"/>
    <w:rsid w:val="00EA5CE0"/>
    <w:rsid w:val="00EA60C8"/>
    <w:rsid w:val="00EA630C"/>
    <w:rsid w:val="00EA64EE"/>
    <w:rsid w:val="00EA673C"/>
    <w:rsid w:val="00EA6961"/>
    <w:rsid w:val="00EA6A7B"/>
    <w:rsid w:val="00EA6BCE"/>
    <w:rsid w:val="00EA6C3B"/>
    <w:rsid w:val="00EA6CF4"/>
    <w:rsid w:val="00EA6D04"/>
    <w:rsid w:val="00EA6D4F"/>
    <w:rsid w:val="00EA6E71"/>
    <w:rsid w:val="00EA70BF"/>
    <w:rsid w:val="00EA70C9"/>
    <w:rsid w:val="00EA70D5"/>
    <w:rsid w:val="00EA7188"/>
    <w:rsid w:val="00EA734D"/>
    <w:rsid w:val="00EA7385"/>
    <w:rsid w:val="00EA7417"/>
    <w:rsid w:val="00EA75B3"/>
    <w:rsid w:val="00EA77CB"/>
    <w:rsid w:val="00EA7820"/>
    <w:rsid w:val="00EA79A2"/>
    <w:rsid w:val="00EA7A1D"/>
    <w:rsid w:val="00EA7C78"/>
    <w:rsid w:val="00EA7D4E"/>
    <w:rsid w:val="00EA7F95"/>
    <w:rsid w:val="00EB014D"/>
    <w:rsid w:val="00EB0425"/>
    <w:rsid w:val="00EB059E"/>
    <w:rsid w:val="00EB05EF"/>
    <w:rsid w:val="00EB0883"/>
    <w:rsid w:val="00EB0A4F"/>
    <w:rsid w:val="00EB0A79"/>
    <w:rsid w:val="00EB0A8D"/>
    <w:rsid w:val="00EB0D97"/>
    <w:rsid w:val="00EB0E73"/>
    <w:rsid w:val="00EB1130"/>
    <w:rsid w:val="00EB128F"/>
    <w:rsid w:val="00EB1757"/>
    <w:rsid w:val="00EB1961"/>
    <w:rsid w:val="00EB1994"/>
    <w:rsid w:val="00EB1C44"/>
    <w:rsid w:val="00EB1CE5"/>
    <w:rsid w:val="00EB1ECB"/>
    <w:rsid w:val="00EB2020"/>
    <w:rsid w:val="00EB2096"/>
    <w:rsid w:val="00EB213F"/>
    <w:rsid w:val="00EB2356"/>
    <w:rsid w:val="00EB2718"/>
    <w:rsid w:val="00EB2789"/>
    <w:rsid w:val="00EB2813"/>
    <w:rsid w:val="00EB2815"/>
    <w:rsid w:val="00EB28B0"/>
    <w:rsid w:val="00EB28EC"/>
    <w:rsid w:val="00EB29C7"/>
    <w:rsid w:val="00EB29DB"/>
    <w:rsid w:val="00EB2A61"/>
    <w:rsid w:val="00EB2C47"/>
    <w:rsid w:val="00EB2E93"/>
    <w:rsid w:val="00EB2F81"/>
    <w:rsid w:val="00EB314D"/>
    <w:rsid w:val="00EB3558"/>
    <w:rsid w:val="00EB35D1"/>
    <w:rsid w:val="00EB3724"/>
    <w:rsid w:val="00EB37DB"/>
    <w:rsid w:val="00EB38B9"/>
    <w:rsid w:val="00EB3C86"/>
    <w:rsid w:val="00EB3D7B"/>
    <w:rsid w:val="00EB3D92"/>
    <w:rsid w:val="00EB3EE3"/>
    <w:rsid w:val="00EB3F70"/>
    <w:rsid w:val="00EB4135"/>
    <w:rsid w:val="00EB427A"/>
    <w:rsid w:val="00EB42FE"/>
    <w:rsid w:val="00EB4326"/>
    <w:rsid w:val="00EB4360"/>
    <w:rsid w:val="00EB43CD"/>
    <w:rsid w:val="00EB447C"/>
    <w:rsid w:val="00EB4579"/>
    <w:rsid w:val="00EB45A2"/>
    <w:rsid w:val="00EB4600"/>
    <w:rsid w:val="00EB46C2"/>
    <w:rsid w:val="00EB4852"/>
    <w:rsid w:val="00EB48B8"/>
    <w:rsid w:val="00EB4980"/>
    <w:rsid w:val="00EB4A49"/>
    <w:rsid w:val="00EB4C7E"/>
    <w:rsid w:val="00EB4CCB"/>
    <w:rsid w:val="00EB4CF3"/>
    <w:rsid w:val="00EB50B3"/>
    <w:rsid w:val="00EB536B"/>
    <w:rsid w:val="00EB55F8"/>
    <w:rsid w:val="00EB5781"/>
    <w:rsid w:val="00EB5854"/>
    <w:rsid w:val="00EB58AF"/>
    <w:rsid w:val="00EB5B73"/>
    <w:rsid w:val="00EB5C48"/>
    <w:rsid w:val="00EB5CB5"/>
    <w:rsid w:val="00EB5D4A"/>
    <w:rsid w:val="00EB5F53"/>
    <w:rsid w:val="00EB5F64"/>
    <w:rsid w:val="00EB6013"/>
    <w:rsid w:val="00EB6096"/>
    <w:rsid w:val="00EB6498"/>
    <w:rsid w:val="00EB653C"/>
    <w:rsid w:val="00EB67FB"/>
    <w:rsid w:val="00EB683F"/>
    <w:rsid w:val="00EB6A9A"/>
    <w:rsid w:val="00EB6E46"/>
    <w:rsid w:val="00EB6F43"/>
    <w:rsid w:val="00EB6FFA"/>
    <w:rsid w:val="00EB7076"/>
    <w:rsid w:val="00EB7184"/>
    <w:rsid w:val="00EB72C5"/>
    <w:rsid w:val="00EB72F3"/>
    <w:rsid w:val="00EB738D"/>
    <w:rsid w:val="00EB74FC"/>
    <w:rsid w:val="00EB7D06"/>
    <w:rsid w:val="00EC00AA"/>
    <w:rsid w:val="00EC00BA"/>
    <w:rsid w:val="00EC0167"/>
    <w:rsid w:val="00EC037F"/>
    <w:rsid w:val="00EC0399"/>
    <w:rsid w:val="00EC06FC"/>
    <w:rsid w:val="00EC0828"/>
    <w:rsid w:val="00EC0A4C"/>
    <w:rsid w:val="00EC0D6E"/>
    <w:rsid w:val="00EC0EBC"/>
    <w:rsid w:val="00EC0FE1"/>
    <w:rsid w:val="00EC1050"/>
    <w:rsid w:val="00EC1267"/>
    <w:rsid w:val="00EC12BB"/>
    <w:rsid w:val="00EC16BD"/>
    <w:rsid w:val="00EC16C6"/>
    <w:rsid w:val="00EC1817"/>
    <w:rsid w:val="00EC18BD"/>
    <w:rsid w:val="00EC19AB"/>
    <w:rsid w:val="00EC1B27"/>
    <w:rsid w:val="00EC1B92"/>
    <w:rsid w:val="00EC1C71"/>
    <w:rsid w:val="00EC1DFB"/>
    <w:rsid w:val="00EC1E1E"/>
    <w:rsid w:val="00EC1F05"/>
    <w:rsid w:val="00EC1F35"/>
    <w:rsid w:val="00EC209D"/>
    <w:rsid w:val="00EC20D6"/>
    <w:rsid w:val="00EC21A1"/>
    <w:rsid w:val="00EC222F"/>
    <w:rsid w:val="00EC2244"/>
    <w:rsid w:val="00EC2322"/>
    <w:rsid w:val="00EC2444"/>
    <w:rsid w:val="00EC247B"/>
    <w:rsid w:val="00EC247F"/>
    <w:rsid w:val="00EC27EC"/>
    <w:rsid w:val="00EC2ADA"/>
    <w:rsid w:val="00EC2E2A"/>
    <w:rsid w:val="00EC30DD"/>
    <w:rsid w:val="00EC32A3"/>
    <w:rsid w:val="00EC3320"/>
    <w:rsid w:val="00EC33D3"/>
    <w:rsid w:val="00EC34A1"/>
    <w:rsid w:val="00EC35C1"/>
    <w:rsid w:val="00EC3699"/>
    <w:rsid w:val="00EC36FB"/>
    <w:rsid w:val="00EC37E6"/>
    <w:rsid w:val="00EC37FE"/>
    <w:rsid w:val="00EC38BE"/>
    <w:rsid w:val="00EC38F1"/>
    <w:rsid w:val="00EC3A54"/>
    <w:rsid w:val="00EC4063"/>
    <w:rsid w:val="00EC4123"/>
    <w:rsid w:val="00EC41C3"/>
    <w:rsid w:val="00EC41EA"/>
    <w:rsid w:val="00EC43A4"/>
    <w:rsid w:val="00EC4749"/>
    <w:rsid w:val="00EC48D6"/>
    <w:rsid w:val="00EC4942"/>
    <w:rsid w:val="00EC49FD"/>
    <w:rsid w:val="00EC4C42"/>
    <w:rsid w:val="00EC4C70"/>
    <w:rsid w:val="00EC4FB4"/>
    <w:rsid w:val="00EC52B1"/>
    <w:rsid w:val="00EC52DC"/>
    <w:rsid w:val="00EC540B"/>
    <w:rsid w:val="00EC5AE5"/>
    <w:rsid w:val="00EC5CC0"/>
    <w:rsid w:val="00EC5E61"/>
    <w:rsid w:val="00EC6020"/>
    <w:rsid w:val="00EC65AB"/>
    <w:rsid w:val="00EC6629"/>
    <w:rsid w:val="00EC6695"/>
    <w:rsid w:val="00EC66A0"/>
    <w:rsid w:val="00EC6771"/>
    <w:rsid w:val="00EC6923"/>
    <w:rsid w:val="00EC6BF6"/>
    <w:rsid w:val="00EC6C2F"/>
    <w:rsid w:val="00EC6C86"/>
    <w:rsid w:val="00EC70E1"/>
    <w:rsid w:val="00EC72A4"/>
    <w:rsid w:val="00EC7432"/>
    <w:rsid w:val="00EC74BB"/>
    <w:rsid w:val="00EC76C7"/>
    <w:rsid w:val="00EC785A"/>
    <w:rsid w:val="00EC7A55"/>
    <w:rsid w:val="00EC7AEC"/>
    <w:rsid w:val="00EC7CFB"/>
    <w:rsid w:val="00EC7E0E"/>
    <w:rsid w:val="00ED06B7"/>
    <w:rsid w:val="00ED08CA"/>
    <w:rsid w:val="00ED0BC1"/>
    <w:rsid w:val="00ED0BCA"/>
    <w:rsid w:val="00ED0E04"/>
    <w:rsid w:val="00ED10C3"/>
    <w:rsid w:val="00ED1108"/>
    <w:rsid w:val="00ED13A5"/>
    <w:rsid w:val="00ED152F"/>
    <w:rsid w:val="00ED17F2"/>
    <w:rsid w:val="00ED1807"/>
    <w:rsid w:val="00ED1897"/>
    <w:rsid w:val="00ED1A99"/>
    <w:rsid w:val="00ED1B29"/>
    <w:rsid w:val="00ED1CAE"/>
    <w:rsid w:val="00ED1D78"/>
    <w:rsid w:val="00ED1F23"/>
    <w:rsid w:val="00ED1FC8"/>
    <w:rsid w:val="00ED2050"/>
    <w:rsid w:val="00ED24C2"/>
    <w:rsid w:val="00ED28D8"/>
    <w:rsid w:val="00ED2BEC"/>
    <w:rsid w:val="00ED2DA0"/>
    <w:rsid w:val="00ED2F15"/>
    <w:rsid w:val="00ED2FEC"/>
    <w:rsid w:val="00ED3078"/>
    <w:rsid w:val="00ED3124"/>
    <w:rsid w:val="00ED3333"/>
    <w:rsid w:val="00ED3388"/>
    <w:rsid w:val="00ED3486"/>
    <w:rsid w:val="00ED3561"/>
    <w:rsid w:val="00ED3569"/>
    <w:rsid w:val="00ED35F4"/>
    <w:rsid w:val="00ED389B"/>
    <w:rsid w:val="00ED397D"/>
    <w:rsid w:val="00ED3B07"/>
    <w:rsid w:val="00ED3C28"/>
    <w:rsid w:val="00ED3E67"/>
    <w:rsid w:val="00ED40B6"/>
    <w:rsid w:val="00ED44D5"/>
    <w:rsid w:val="00ED4698"/>
    <w:rsid w:val="00ED4802"/>
    <w:rsid w:val="00ED4E38"/>
    <w:rsid w:val="00ED4FA7"/>
    <w:rsid w:val="00ED5000"/>
    <w:rsid w:val="00ED5021"/>
    <w:rsid w:val="00ED537E"/>
    <w:rsid w:val="00ED54E2"/>
    <w:rsid w:val="00ED552E"/>
    <w:rsid w:val="00ED5551"/>
    <w:rsid w:val="00ED5617"/>
    <w:rsid w:val="00ED563D"/>
    <w:rsid w:val="00ED56A3"/>
    <w:rsid w:val="00ED5786"/>
    <w:rsid w:val="00ED5A49"/>
    <w:rsid w:val="00ED5CB6"/>
    <w:rsid w:val="00ED5CFD"/>
    <w:rsid w:val="00ED5D1B"/>
    <w:rsid w:val="00ED5D35"/>
    <w:rsid w:val="00ED5ED1"/>
    <w:rsid w:val="00ED61A0"/>
    <w:rsid w:val="00ED6302"/>
    <w:rsid w:val="00ED63EB"/>
    <w:rsid w:val="00ED6429"/>
    <w:rsid w:val="00ED6A29"/>
    <w:rsid w:val="00ED6A34"/>
    <w:rsid w:val="00ED6A7C"/>
    <w:rsid w:val="00ED6C53"/>
    <w:rsid w:val="00ED6D8C"/>
    <w:rsid w:val="00ED6E44"/>
    <w:rsid w:val="00ED6F6B"/>
    <w:rsid w:val="00ED6F7C"/>
    <w:rsid w:val="00ED715D"/>
    <w:rsid w:val="00ED7290"/>
    <w:rsid w:val="00ED7571"/>
    <w:rsid w:val="00ED764C"/>
    <w:rsid w:val="00ED766F"/>
    <w:rsid w:val="00ED7722"/>
    <w:rsid w:val="00ED773F"/>
    <w:rsid w:val="00ED77ED"/>
    <w:rsid w:val="00ED78F2"/>
    <w:rsid w:val="00ED7957"/>
    <w:rsid w:val="00ED79B1"/>
    <w:rsid w:val="00ED7A66"/>
    <w:rsid w:val="00ED7B7A"/>
    <w:rsid w:val="00ED7B87"/>
    <w:rsid w:val="00ED7D9B"/>
    <w:rsid w:val="00ED7F25"/>
    <w:rsid w:val="00EE02DF"/>
    <w:rsid w:val="00EE051D"/>
    <w:rsid w:val="00EE05A7"/>
    <w:rsid w:val="00EE07B8"/>
    <w:rsid w:val="00EE0929"/>
    <w:rsid w:val="00EE0E12"/>
    <w:rsid w:val="00EE0E8C"/>
    <w:rsid w:val="00EE0EB7"/>
    <w:rsid w:val="00EE1238"/>
    <w:rsid w:val="00EE1299"/>
    <w:rsid w:val="00EE1557"/>
    <w:rsid w:val="00EE1730"/>
    <w:rsid w:val="00EE1A8C"/>
    <w:rsid w:val="00EE1B7D"/>
    <w:rsid w:val="00EE1D28"/>
    <w:rsid w:val="00EE1EFE"/>
    <w:rsid w:val="00EE1FB1"/>
    <w:rsid w:val="00EE21AE"/>
    <w:rsid w:val="00EE2207"/>
    <w:rsid w:val="00EE2232"/>
    <w:rsid w:val="00EE2319"/>
    <w:rsid w:val="00EE2394"/>
    <w:rsid w:val="00EE2785"/>
    <w:rsid w:val="00EE2ACE"/>
    <w:rsid w:val="00EE2AD3"/>
    <w:rsid w:val="00EE2CAA"/>
    <w:rsid w:val="00EE2F7C"/>
    <w:rsid w:val="00EE2FB5"/>
    <w:rsid w:val="00EE31BA"/>
    <w:rsid w:val="00EE3288"/>
    <w:rsid w:val="00EE34CA"/>
    <w:rsid w:val="00EE35D4"/>
    <w:rsid w:val="00EE3630"/>
    <w:rsid w:val="00EE36D5"/>
    <w:rsid w:val="00EE3CEC"/>
    <w:rsid w:val="00EE3FEF"/>
    <w:rsid w:val="00EE44FE"/>
    <w:rsid w:val="00EE463B"/>
    <w:rsid w:val="00EE4695"/>
    <w:rsid w:val="00EE46CC"/>
    <w:rsid w:val="00EE48AB"/>
    <w:rsid w:val="00EE49E9"/>
    <w:rsid w:val="00EE4D89"/>
    <w:rsid w:val="00EE4DF5"/>
    <w:rsid w:val="00EE567A"/>
    <w:rsid w:val="00EE575A"/>
    <w:rsid w:val="00EE5982"/>
    <w:rsid w:val="00EE5B25"/>
    <w:rsid w:val="00EE5EF6"/>
    <w:rsid w:val="00EE6034"/>
    <w:rsid w:val="00EE607C"/>
    <w:rsid w:val="00EE63C2"/>
    <w:rsid w:val="00EE63FE"/>
    <w:rsid w:val="00EE652B"/>
    <w:rsid w:val="00EE655E"/>
    <w:rsid w:val="00EE662E"/>
    <w:rsid w:val="00EE66FC"/>
    <w:rsid w:val="00EE680D"/>
    <w:rsid w:val="00EE6821"/>
    <w:rsid w:val="00EE6B45"/>
    <w:rsid w:val="00EE7092"/>
    <w:rsid w:val="00EE71E6"/>
    <w:rsid w:val="00EE7545"/>
    <w:rsid w:val="00EE7750"/>
    <w:rsid w:val="00EE7772"/>
    <w:rsid w:val="00EE7887"/>
    <w:rsid w:val="00EE7944"/>
    <w:rsid w:val="00EE7B68"/>
    <w:rsid w:val="00EE7D0E"/>
    <w:rsid w:val="00EE7D4F"/>
    <w:rsid w:val="00EE7DAD"/>
    <w:rsid w:val="00EF002A"/>
    <w:rsid w:val="00EF0175"/>
    <w:rsid w:val="00EF0374"/>
    <w:rsid w:val="00EF0398"/>
    <w:rsid w:val="00EF06BA"/>
    <w:rsid w:val="00EF070B"/>
    <w:rsid w:val="00EF0846"/>
    <w:rsid w:val="00EF093F"/>
    <w:rsid w:val="00EF0ABF"/>
    <w:rsid w:val="00EF0AF5"/>
    <w:rsid w:val="00EF0CA5"/>
    <w:rsid w:val="00EF0D24"/>
    <w:rsid w:val="00EF119E"/>
    <w:rsid w:val="00EF12D7"/>
    <w:rsid w:val="00EF13BD"/>
    <w:rsid w:val="00EF13D9"/>
    <w:rsid w:val="00EF1549"/>
    <w:rsid w:val="00EF1891"/>
    <w:rsid w:val="00EF1D8A"/>
    <w:rsid w:val="00EF2173"/>
    <w:rsid w:val="00EF22E2"/>
    <w:rsid w:val="00EF24F1"/>
    <w:rsid w:val="00EF2533"/>
    <w:rsid w:val="00EF27BE"/>
    <w:rsid w:val="00EF2814"/>
    <w:rsid w:val="00EF29D2"/>
    <w:rsid w:val="00EF2AE3"/>
    <w:rsid w:val="00EF2BFC"/>
    <w:rsid w:val="00EF2C83"/>
    <w:rsid w:val="00EF2CC3"/>
    <w:rsid w:val="00EF2CEC"/>
    <w:rsid w:val="00EF2EB4"/>
    <w:rsid w:val="00EF315F"/>
    <w:rsid w:val="00EF31EB"/>
    <w:rsid w:val="00EF325E"/>
    <w:rsid w:val="00EF3319"/>
    <w:rsid w:val="00EF3345"/>
    <w:rsid w:val="00EF336E"/>
    <w:rsid w:val="00EF37B6"/>
    <w:rsid w:val="00EF4229"/>
    <w:rsid w:val="00EF42FC"/>
    <w:rsid w:val="00EF435A"/>
    <w:rsid w:val="00EF4414"/>
    <w:rsid w:val="00EF44B3"/>
    <w:rsid w:val="00EF4574"/>
    <w:rsid w:val="00EF45D5"/>
    <w:rsid w:val="00EF4858"/>
    <w:rsid w:val="00EF495A"/>
    <w:rsid w:val="00EF4A3B"/>
    <w:rsid w:val="00EF4C3D"/>
    <w:rsid w:val="00EF4FC6"/>
    <w:rsid w:val="00EF5047"/>
    <w:rsid w:val="00EF51A4"/>
    <w:rsid w:val="00EF544F"/>
    <w:rsid w:val="00EF5536"/>
    <w:rsid w:val="00EF555B"/>
    <w:rsid w:val="00EF559D"/>
    <w:rsid w:val="00EF581A"/>
    <w:rsid w:val="00EF5859"/>
    <w:rsid w:val="00EF594B"/>
    <w:rsid w:val="00EF5962"/>
    <w:rsid w:val="00EF59CD"/>
    <w:rsid w:val="00EF5BE1"/>
    <w:rsid w:val="00EF5C1A"/>
    <w:rsid w:val="00EF5CA2"/>
    <w:rsid w:val="00EF6034"/>
    <w:rsid w:val="00EF6130"/>
    <w:rsid w:val="00EF640B"/>
    <w:rsid w:val="00EF650C"/>
    <w:rsid w:val="00EF6699"/>
    <w:rsid w:val="00EF68E6"/>
    <w:rsid w:val="00EF69F3"/>
    <w:rsid w:val="00EF6A51"/>
    <w:rsid w:val="00EF6B24"/>
    <w:rsid w:val="00EF6BE3"/>
    <w:rsid w:val="00EF6DAD"/>
    <w:rsid w:val="00EF6E5B"/>
    <w:rsid w:val="00EF6ECC"/>
    <w:rsid w:val="00EF700B"/>
    <w:rsid w:val="00EF712C"/>
    <w:rsid w:val="00EF73B0"/>
    <w:rsid w:val="00EF74F2"/>
    <w:rsid w:val="00EF7588"/>
    <w:rsid w:val="00EF75AF"/>
    <w:rsid w:val="00EF778D"/>
    <w:rsid w:val="00EF787C"/>
    <w:rsid w:val="00EF7F79"/>
    <w:rsid w:val="00EF7FB9"/>
    <w:rsid w:val="00EF7FFD"/>
    <w:rsid w:val="00F00128"/>
    <w:rsid w:val="00F00195"/>
    <w:rsid w:val="00F0019B"/>
    <w:rsid w:val="00F001F2"/>
    <w:rsid w:val="00F0039F"/>
    <w:rsid w:val="00F004A6"/>
    <w:rsid w:val="00F0068A"/>
    <w:rsid w:val="00F006E1"/>
    <w:rsid w:val="00F0087D"/>
    <w:rsid w:val="00F0095D"/>
    <w:rsid w:val="00F00E34"/>
    <w:rsid w:val="00F00FE0"/>
    <w:rsid w:val="00F0110F"/>
    <w:rsid w:val="00F0115E"/>
    <w:rsid w:val="00F01511"/>
    <w:rsid w:val="00F01624"/>
    <w:rsid w:val="00F01757"/>
    <w:rsid w:val="00F01784"/>
    <w:rsid w:val="00F018D0"/>
    <w:rsid w:val="00F01B2E"/>
    <w:rsid w:val="00F01B70"/>
    <w:rsid w:val="00F01E56"/>
    <w:rsid w:val="00F01FE8"/>
    <w:rsid w:val="00F0223C"/>
    <w:rsid w:val="00F0231D"/>
    <w:rsid w:val="00F02396"/>
    <w:rsid w:val="00F0242F"/>
    <w:rsid w:val="00F02441"/>
    <w:rsid w:val="00F02474"/>
    <w:rsid w:val="00F024FA"/>
    <w:rsid w:val="00F0254A"/>
    <w:rsid w:val="00F025C2"/>
    <w:rsid w:val="00F027E1"/>
    <w:rsid w:val="00F02A36"/>
    <w:rsid w:val="00F02A93"/>
    <w:rsid w:val="00F02CAE"/>
    <w:rsid w:val="00F02D03"/>
    <w:rsid w:val="00F02FAC"/>
    <w:rsid w:val="00F02FC5"/>
    <w:rsid w:val="00F03016"/>
    <w:rsid w:val="00F03121"/>
    <w:rsid w:val="00F03327"/>
    <w:rsid w:val="00F03366"/>
    <w:rsid w:val="00F03791"/>
    <w:rsid w:val="00F038D3"/>
    <w:rsid w:val="00F03C0C"/>
    <w:rsid w:val="00F03C3F"/>
    <w:rsid w:val="00F03CC1"/>
    <w:rsid w:val="00F040AE"/>
    <w:rsid w:val="00F041A4"/>
    <w:rsid w:val="00F041F5"/>
    <w:rsid w:val="00F0424D"/>
    <w:rsid w:val="00F04708"/>
    <w:rsid w:val="00F04810"/>
    <w:rsid w:val="00F04829"/>
    <w:rsid w:val="00F048D6"/>
    <w:rsid w:val="00F048DC"/>
    <w:rsid w:val="00F0490F"/>
    <w:rsid w:val="00F04B42"/>
    <w:rsid w:val="00F04D76"/>
    <w:rsid w:val="00F04EFD"/>
    <w:rsid w:val="00F04F00"/>
    <w:rsid w:val="00F050CC"/>
    <w:rsid w:val="00F0527C"/>
    <w:rsid w:val="00F05371"/>
    <w:rsid w:val="00F053A4"/>
    <w:rsid w:val="00F054F3"/>
    <w:rsid w:val="00F058CC"/>
    <w:rsid w:val="00F058EA"/>
    <w:rsid w:val="00F05BAF"/>
    <w:rsid w:val="00F05C33"/>
    <w:rsid w:val="00F05C58"/>
    <w:rsid w:val="00F05D84"/>
    <w:rsid w:val="00F05F86"/>
    <w:rsid w:val="00F06011"/>
    <w:rsid w:val="00F060AA"/>
    <w:rsid w:val="00F060CE"/>
    <w:rsid w:val="00F06210"/>
    <w:rsid w:val="00F0627C"/>
    <w:rsid w:val="00F062B1"/>
    <w:rsid w:val="00F06370"/>
    <w:rsid w:val="00F06559"/>
    <w:rsid w:val="00F0682C"/>
    <w:rsid w:val="00F06882"/>
    <w:rsid w:val="00F069C9"/>
    <w:rsid w:val="00F06D87"/>
    <w:rsid w:val="00F06EDC"/>
    <w:rsid w:val="00F06F2E"/>
    <w:rsid w:val="00F0701E"/>
    <w:rsid w:val="00F07080"/>
    <w:rsid w:val="00F071AE"/>
    <w:rsid w:val="00F07351"/>
    <w:rsid w:val="00F074E4"/>
    <w:rsid w:val="00F07613"/>
    <w:rsid w:val="00F07785"/>
    <w:rsid w:val="00F0780A"/>
    <w:rsid w:val="00F07B57"/>
    <w:rsid w:val="00F07BFB"/>
    <w:rsid w:val="00F07D9D"/>
    <w:rsid w:val="00F07DDA"/>
    <w:rsid w:val="00F07E9E"/>
    <w:rsid w:val="00F07F84"/>
    <w:rsid w:val="00F07FCC"/>
    <w:rsid w:val="00F10281"/>
    <w:rsid w:val="00F1034B"/>
    <w:rsid w:val="00F10452"/>
    <w:rsid w:val="00F1052C"/>
    <w:rsid w:val="00F106EE"/>
    <w:rsid w:val="00F10723"/>
    <w:rsid w:val="00F10732"/>
    <w:rsid w:val="00F107BF"/>
    <w:rsid w:val="00F107D1"/>
    <w:rsid w:val="00F10C63"/>
    <w:rsid w:val="00F10ED4"/>
    <w:rsid w:val="00F10F3F"/>
    <w:rsid w:val="00F1104C"/>
    <w:rsid w:val="00F114EC"/>
    <w:rsid w:val="00F11542"/>
    <w:rsid w:val="00F11849"/>
    <w:rsid w:val="00F11945"/>
    <w:rsid w:val="00F119BB"/>
    <w:rsid w:val="00F119EF"/>
    <w:rsid w:val="00F11BBE"/>
    <w:rsid w:val="00F11D02"/>
    <w:rsid w:val="00F11F43"/>
    <w:rsid w:val="00F121C8"/>
    <w:rsid w:val="00F12364"/>
    <w:rsid w:val="00F12522"/>
    <w:rsid w:val="00F12643"/>
    <w:rsid w:val="00F1284D"/>
    <w:rsid w:val="00F12860"/>
    <w:rsid w:val="00F128FA"/>
    <w:rsid w:val="00F12978"/>
    <w:rsid w:val="00F12BFF"/>
    <w:rsid w:val="00F12DB4"/>
    <w:rsid w:val="00F13161"/>
    <w:rsid w:val="00F131A6"/>
    <w:rsid w:val="00F131B2"/>
    <w:rsid w:val="00F131C8"/>
    <w:rsid w:val="00F131DA"/>
    <w:rsid w:val="00F1349F"/>
    <w:rsid w:val="00F13717"/>
    <w:rsid w:val="00F137A9"/>
    <w:rsid w:val="00F13B62"/>
    <w:rsid w:val="00F13D5A"/>
    <w:rsid w:val="00F13D5F"/>
    <w:rsid w:val="00F13E4B"/>
    <w:rsid w:val="00F13F76"/>
    <w:rsid w:val="00F13F79"/>
    <w:rsid w:val="00F1431D"/>
    <w:rsid w:val="00F143B2"/>
    <w:rsid w:val="00F143C3"/>
    <w:rsid w:val="00F1444B"/>
    <w:rsid w:val="00F14529"/>
    <w:rsid w:val="00F145ED"/>
    <w:rsid w:val="00F14682"/>
    <w:rsid w:val="00F148EC"/>
    <w:rsid w:val="00F14ABD"/>
    <w:rsid w:val="00F14B59"/>
    <w:rsid w:val="00F14C8F"/>
    <w:rsid w:val="00F14CFE"/>
    <w:rsid w:val="00F14DE0"/>
    <w:rsid w:val="00F14F88"/>
    <w:rsid w:val="00F14FB4"/>
    <w:rsid w:val="00F15099"/>
    <w:rsid w:val="00F150A7"/>
    <w:rsid w:val="00F1537A"/>
    <w:rsid w:val="00F154C8"/>
    <w:rsid w:val="00F155FC"/>
    <w:rsid w:val="00F156BE"/>
    <w:rsid w:val="00F157C4"/>
    <w:rsid w:val="00F159CA"/>
    <w:rsid w:val="00F15AB8"/>
    <w:rsid w:val="00F15D4F"/>
    <w:rsid w:val="00F15D53"/>
    <w:rsid w:val="00F15FFA"/>
    <w:rsid w:val="00F160BC"/>
    <w:rsid w:val="00F16352"/>
    <w:rsid w:val="00F16472"/>
    <w:rsid w:val="00F1678F"/>
    <w:rsid w:val="00F16E11"/>
    <w:rsid w:val="00F16E53"/>
    <w:rsid w:val="00F16F2D"/>
    <w:rsid w:val="00F16F4D"/>
    <w:rsid w:val="00F16FAD"/>
    <w:rsid w:val="00F170D5"/>
    <w:rsid w:val="00F17122"/>
    <w:rsid w:val="00F17618"/>
    <w:rsid w:val="00F17872"/>
    <w:rsid w:val="00F1792B"/>
    <w:rsid w:val="00F17943"/>
    <w:rsid w:val="00F17AF6"/>
    <w:rsid w:val="00F17B1D"/>
    <w:rsid w:val="00F17C8A"/>
    <w:rsid w:val="00F17D22"/>
    <w:rsid w:val="00F17D50"/>
    <w:rsid w:val="00F17FFB"/>
    <w:rsid w:val="00F20225"/>
    <w:rsid w:val="00F20275"/>
    <w:rsid w:val="00F203EB"/>
    <w:rsid w:val="00F20424"/>
    <w:rsid w:val="00F2073B"/>
    <w:rsid w:val="00F20A9F"/>
    <w:rsid w:val="00F20E6B"/>
    <w:rsid w:val="00F20EF3"/>
    <w:rsid w:val="00F20F4B"/>
    <w:rsid w:val="00F213E5"/>
    <w:rsid w:val="00F213FF"/>
    <w:rsid w:val="00F21757"/>
    <w:rsid w:val="00F2176B"/>
    <w:rsid w:val="00F2181F"/>
    <w:rsid w:val="00F21BC3"/>
    <w:rsid w:val="00F21BCD"/>
    <w:rsid w:val="00F21DD4"/>
    <w:rsid w:val="00F21E5D"/>
    <w:rsid w:val="00F22013"/>
    <w:rsid w:val="00F22047"/>
    <w:rsid w:val="00F2213E"/>
    <w:rsid w:val="00F2247C"/>
    <w:rsid w:val="00F22497"/>
    <w:rsid w:val="00F224C6"/>
    <w:rsid w:val="00F224EE"/>
    <w:rsid w:val="00F22BBD"/>
    <w:rsid w:val="00F22CAE"/>
    <w:rsid w:val="00F22D33"/>
    <w:rsid w:val="00F22E8D"/>
    <w:rsid w:val="00F22FFD"/>
    <w:rsid w:val="00F23068"/>
    <w:rsid w:val="00F23220"/>
    <w:rsid w:val="00F23300"/>
    <w:rsid w:val="00F235DD"/>
    <w:rsid w:val="00F23933"/>
    <w:rsid w:val="00F239D0"/>
    <w:rsid w:val="00F23E42"/>
    <w:rsid w:val="00F23F18"/>
    <w:rsid w:val="00F24104"/>
    <w:rsid w:val="00F243A6"/>
    <w:rsid w:val="00F244B8"/>
    <w:rsid w:val="00F24951"/>
    <w:rsid w:val="00F249E8"/>
    <w:rsid w:val="00F24BBA"/>
    <w:rsid w:val="00F24F4C"/>
    <w:rsid w:val="00F2505C"/>
    <w:rsid w:val="00F2520F"/>
    <w:rsid w:val="00F25264"/>
    <w:rsid w:val="00F25342"/>
    <w:rsid w:val="00F253B1"/>
    <w:rsid w:val="00F25506"/>
    <w:rsid w:val="00F25618"/>
    <w:rsid w:val="00F256D7"/>
    <w:rsid w:val="00F2582F"/>
    <w:rsid w:val="00F25867"/>
    <w:rsid w:val="00F258E4"/>
    <w:rsid w:val="00F259AD"/>
    <w:rsid w:val="00F25D2F"/>
    <w:rsid w:val="00F25E59"/>
    <w:rsid w:val="00F260F2"/>
    <w:rsid w:val="00F261FF"/>
    <w:rsid w:val="00F262DE"/>
    <w:rsid w:val="00F2633E"/>
    <w:rsid w:val="00F2655E"/>
    <w:rsid w:val="00F265AA"/>
    <w:rsid w:val="00F26840"/>
    <w:rsid w:val="00F2694E"/>
    <w:rsid w:val="00F26AF6"/>
    <w:rsid w:val="00F26AF9"/>
    <w:rsid w:val="00F26BF8"/>
    <w:rsid w:val="00F26DB7"/>
    <w:rsid w:val="00F26DD1"/>
    <w:rsid w:val="00F26DD3"/>
    <w:rsid w:val="00F26E19"/>
    <w:rsid w:val="00F26E76"/>
    <w:rsid w:val="00F26F14"/>
    <w:rsid w:val="00F26F3C"/>
    <w:rsid w:val="00F26FCB"/>
    <w:rsid w:val="00F26FEE"/>
    <w:rsid w:val="00F27147"/>
    <w:rsid w:val="00F271FB"/>
    <w:rsid w:val="00F27263"/>
    <w:rsid w:val="00F27283"/>
    <w:rsid w:val="00F27388"/>
    <w:rsid w:val="00F27546"/>
    <w:rsid w:val="00F27AEB"/>
    <w:rsid w:val="00F27E9C"/>
    <w:rsid w:val="00F27EFA"/>
    <w:rsid w:val="00F300D4"/>
    <w:rsid w:val="00F30121"/>
    <w:rsid w:val="00F3012D"/>
    <w:rsid w:val="00F306C3"/>
    <w:rsid w:val="00F30782"/>
    <w:rsid w:val="00F308AB"/>
    <w:rsid w:val="00F308FC"/>
    <w:rsid w:val="00F309FB"/>
    <w:rsid w:val="00F30A3F"/>
    <w:rsid w:val="00F30AB7"/>
    <w:rsid w:val="00F30ABD"/>
    <w:rsid w:val="00F30ACD"/>
    <w:rsid w:val="00F30B3C"/>
    <w:rsid w:val="00F30D0B"/>
    <w:rsid w:val="00F30DD7"/>
    <w:rsid w:val="00F30E40"/>
    <w:rsid w:val="00F3105C"/>
    <w:rsid w:val="00F31186"/>
    <w:rsid w:val="00F3134D"/>
    <w:rsid w:val="00F31472"/>
    <w:rsid w:val="00F31738"/>
    <w:rsid w:val="00F3186B"/>
    <w:rsid w:val="00F31A17"/>
    <w:rsid w:val="00F31DAA"/>
    <w:rsid w:val="00F31E6F"/>
    <w:rsid w:val="00F31F29"/>
    <w:rsid w:val="00F322D1"/>
    <w:rsid w:val="00F32561"/>
    <w:rsid w:val="00F3288F"/>
    <w:rsid w:val="00F32B37"/>
    <w:rsid w:val="00F32B97"/>
    <w:rsid w:val="00F32DDB"/>
    <w:rsid w:val="00F32F64"/>
    <w:rsid w:val="00F32FB2"/>
    <w:rsid w:val="00F32FFA"/>
    <w:rsid w:val="00F332D3"/>
    <w:rsid w:val="00F3331F"/>
    <w:rsid w:val="00F33331"/>
    <w:rsid w:val="00F333CC"/>
    <w:rsid w:val="00F334AE"/>
    <w:rsid w:val="00F33581"/>
    <w:rsid w:val="00F336F4"/>
    <w:rsid w:val="00F338DD"/>
    <w:rsid w:val="00F33992"/>
    <w:rsid w:val="00F33A72"/>
    <w:rsid w:val="00F33CDA"/>
    <w:rsid w:val="00F33E61"/>
    <w:rsid w:val="00F33ED3"/>
    <w:rsid w:val="00F3407E"/>
    <w:rsid w:val="00F34209"/>
    <w:rsid w:val="00F3421F"/>
    <w:rsid w:val="00F346E9"/>
    <w:rsid w:val="00F349C2"/>
    <w:rsid w:val="00F34B5D"/>
    <w:rsid w:val="00F34B8B"/>
    <w:rsid w:val="00F34E7A"/>
    <w:rsid w:val="00F34EA1"/>
    <w:rsid w:val="00F34F60"/>
    <w:rsid w:val="00F3504C"/>
    <w:rsid w:val="00F3513A"/>
    <w:rsid w:val="00F351B9"/>
    <w:rsid w:val="00F351D4"/>
    <w:rsid w:val="00F35358"/>
    <w:rsid w:val="00F35368"/>
    <w:rsid w:val="00F35408"/>
    <w:rsid w:val="00F354F2"/>
    <w:rsid w:val="00F357E1"/>
    <w:rsid w:val="00F35A49"/>
    <w:rsid w:val="00F35A9A"/>
    <w:rsid w:val="00F35D0B"/>
    <w:rsid w:val="00F35D1B"/>
    <w:rsid w:val="00F35D30"/>
    <w:rsid w:val="00F35D9E"/>
    <w:rsid w:val="00F35DA6"/>
    <w:rsid w:val="00F35EA1"/>
    <w:rsid w:val="00F35FE2"/>
    <w:rsid w:val="00F3603E"/>
    <w:rsid w:val="00F3631D"/>
    <w:rsid w:val="00F3639F"/>
    <w:rsid w:val="00F3666D"/>
    <w:rsid w:val="00F368DB"/>
    <w:rsid w:val="00F36AE7"/>
    <w:rsid w:val="00F36CE0"/>
    <w:rsid w:val="00F37149"/>
    <w:rsid w:val="00F37151"/>
    <w:rsid w:val="00F371AB"/>
    <w:rsid w:val="00F372F0"/>
    <w:rsid w:val="00F374DD"/>
    <w:rsid w:val="00F374E7"/>
    <w:rsid w:val="00F3750B"/>
    <w:rsid w:val="00F376B9"/>
    <w:rsid w:val="00F379EA"/>
    <w:rsid w:val="00F37A51"/>
    <w:rsid w:val="00F37A74"/>
    <w:rsid w:val="00F37B8F"/>
    <w:rsid w:val="00F37DC9"/>
    <w:rsid w:val="00F37E34"/>
    <w:rsid w:val="00F37E56"/>
    <w:rsid w:val="00F40027"/>
    <w:rsid w:val="00F40119"/>
    <w:rsid w:val="00F401E0"/>
    <w:rsid w:val="00F402D7"/>
    <w:rsid w:val="00F40530"/>
    <w:rsid w:val="00F40691"/>
    <w:rsid w:val="00F406B1"/>
    <w:rsid w:val="00F40718"/>
    <w:rsid w:val="00F4075B"/>
    <w:rsid w:val="00F409C2"/>
    <w:rsid w:val="00F40CCD"/>
    <w:rsid w:val="00F40FA4"/>
    <w:rsid w:val="00F41006"/>
    <w:rsid w:val="00F410A4"/>
    <w:rsid w:val="00F4112D"/>
    <w:rsid w:val="00F41264"/>
    <w:rsid w:val="00F414C2"/>
    <w:rsid w:val="00F4151B"/>
    <w:rsid w:val="00F41626"/>
    <w:rsid w:val="00F41670"/>
    <w:rsid w:val="00F41ACB"/>
    <w:rsid w:val="00F41B34"/>
    <w:rsid w:val="00F41F72"/>
    <w:rsid w:val="00F421A4"/>
    <w:rsid w:val="00F42294"/>
    <w:rsid w:val="00F4234F"/>
    <w:rsid w:val="00F423CD"/>
    <w:rsid w:val="00F42526"/>
    <w:rsid w:val="00F425D7"/>
    <w:rsid w:val="00F42757"/>
    <w:rsid w:val="00F42A2C"/>
    <w:rsid w:val="00F42CBB"/>
    <w:rsid w:val="00F42E6E"/>
    <w:rsid w:val="00F42EEC"/>
    <w:rsid w:val="00F42FFF"/>
    <w:rsid w:val="00F4300B"/>
    <w:rsid w:val="00F4303E"/>
    <w:rsid w:val="00F43407"/>
    <w:rsid w:val="00F4361E"/>
    <w:rsid w:val="00F4363D"/>
    <w:rsid w:val="00F4386B"/>
    <w:rsid w:val="00F439F5"/>
    <w:rsid w:val="00F43A4C"/>
    <w:rsid w:val="00F43C1A"/>
    <w:rsid w:val="00F43E79"/>
    <w:rsid w:val="00F43FFA"/>
    <w:rsid w:val="00F441BE"/>
    <w:rsid w:val="00F44201"/>
    <w:rsid w:val="00F443A3"/>
    <w:rsid w:val="00F4442A"/>
    <w:rsid w:val="00F4449E"/>
    <w:rsid w:val="00F444D8"/>
    <w:rsid w:val="00F444FD"/>
    <w:rsid w:val="00F44712"/>
    <w:rsid w:val="00F44760"/>
    <w:rsid w:val="00F447E5"/>
    <w:rsid w:val="00F449A7"/>
    <w:rsid w:val="00F44C57"/>
    <w:rsid w:val="00F44E11"/>
    <w:rsid w:val="00F44F2C"/>
    <w:rsid w:val="00F4507A"/>
    <w:rsid w:val="00F45280"/>
    <w:rsid w:val="00F4578C"/>
    <w:rsid w:val="00F45924"/>
    <w:rsid w:val="00F459C3"/>
    <w:rsid w:val="00F459E7"/>
    <w:rsid w:val="00F45AE7"/>
    <w:rsid w:val="00F45C12"/>
    <w:rsid w:val="00F45C38"/>
    <w:rsid w:val="00F45E19"/>
    <w:rsid w:val="00F461ED"/>
    <w:rsid w:val="00F462A0"/>
    <w:rsid w:val="00F463C1"/>
    <w:rsid w:val="00F46576"/>
    <w:rsid w:val="00F467FC"/>
    <w:rsid w:val="00F46832"/>
    <w:rsid w:val="00F46B1A"/>
    <w:rsid w:val="00F46CC8"/>
    <w:rsid w:val="00F46D5E"/>
    <w:rsid w:val="00F46DA4"/>
    <w:rsid w:val="00F47057"/>
    <w:rsid w:val="00F47261"/>
    <w:rsid w:val="00F472E4"/>
    <w:rsid w:val="00F47385"/>
    <w:rsid w:val="00F4746F"/>
    <w:rsid w:val="00F47490"/>
    <w:rsid w:val="00F475BB"/>
    <w:rsid w:val="00F47822"/>
    <w:rsid w:val="00F47964"/>
    <w:rsid w:val="00F4797C"/>
    <w:rsid w:val="00F47C01"/>
    <w:rsid w:val="00F47EA7"/>
    <w:rsid w:val="00F50162"/>
    <w:rsid w:val="00F5016F"/>
    <w:rsid w:val="00F50245"/>
    <w:rsid w:val="00F5051E"/>
    <w:rsid w:val="00F505D1"/>
    <w:rsid w:val="00F50631"/>
    <w:rsid w:val="00F50697"/>
    <w:rsid w:val="00F5072B"/>
    <w:rsid w:val="00F507D0"/>
    <w:rsid w:val="00F5092B"/>
    <w:rsid w:val="00F509B2"/>
    <w:rsid w:val="00F50B0F"/>
    <w:rsid w:val="00F50C4F"/>
    <w:rsid w:val="00F50E1C"/>
    <w:rsid w:val="00F50E57"/>
    <w:rsid w:val="00F51678"/>
    <w:rsid w:val="00F51996"/>
    <w:rsid w:val="00F51A07"/>
    <w:rsid w:val="00F51D91"/>
    <w:rsid w:val="00F51E4B"/>
    <w:rsid w:val="00F521D4"/>
    <w:rsid w:val="00F5276E"/>
    <w:rsid w:val="00F5276F"/>
    <w:rsid w:val="00F52A1A"/>
    <w:rsid w:val="00F52B8D"/>
    <w:rsid w:val="00F52CB1"/>
    <w:rsid w:val="00F52DAF"/>
    <w:rsid w:val="00F52FB1"/>
    <w:rsid w:val="00F53381"/>
    <w:rsid w:val="00F533E8"/>
    <w:rsid w:val="00F53480"/>
    <w:rsid w:val="00F535B9"/>
    <w:rsid w:val="00F535E8"/>
    <w:rsid w:val="00F53B52"/>
    <w:rsid w:val="00F53B86"/>
    <w:rsid w:val="00F5405D"/>
    <w:rsid w:val="00F54129"/>
    <w:rsid w:val="00F5414E"/>
    <w:rsid w:val="00F54235"/>
    <w:rsid w:val="00F54258"/>
    <w:rsid w:val="00F5430B"/>
    <w:rsid w:val="00F54424"/>
    <w:rsid w:val="00F54536"/>
    <w:rsid w:val="00F5468C"/>
    <w:rsid w:val="00F54892"/>
    <w:rsid w:val="00F54A3A"/>
    <w:rsid w:val="00F54B2C"/>
    <w:rsid w:val="00F54DAA"/>
    <w:rsid w:val="00F54EBA"/>
    <w:rsid w:val="00F54FBF"/>
    <w:rsid w:val="00F55080"/>
    <w:rsid w:val="00F551CE"/>
    <w:rsid w:val="00F5527C"/>
    <w:rsid w:val="00F552DA"/>
    <w:rsid w:val="00F5531F"/>
    <w:rsid w:val="00F5537B"/>
    <w:rsid w:val="00F555F5"/>
    <w:rsid w:val="00F55769"/>
    <w:rsid w:val="00F558D9"/>
    <w:rsid w:val="00F5597C"/>
    <w:rsid w:val="00F55ABA"/>
    <w:rsid w:val="00F55C58"/>
    <w:rsid w:val="00F55CF6"/>
    <w:rsid w:val="00F55D1C"/>
    <w:rsid w:val="00F55D86"/>
    <w:rsid w:val="00F56062"/>
    <w:rsid w:val="00F562F9"/>
    <w:rsid w:val="00F56352"/>
    <w:rsid w:val="00F56441"/>
    <w:rsid w:val="00F564AC"/>
    <w:rsid w:val="00F56558"/>
    <w:rsid w:val="00F567DD"/>
    <w:rsid w:val="00F56A09"/>
    <w:rsid w:val="00F56A50"/>
    <w:rsid w:val="00F56E0B"/>
    <w:rsid w:val="00F56FAE"/>
    <w:rsid w:val="00F57330"/>
    <w:rsid w:val="00F5738C"/>
    <w:rsid w:val="00F57816"/>
    <w:rsid w:val="00F57BF7"/>
    <w:rsid w:val="00F57CE8"/>
    <w:rsid w:val="00F57EE4"/>
    <w:rsid w:val="00F5F5FD"/>
    <w:rsid w:val="00F602EB"/>
    <w:rsid w:val="00F60329"/>
    <w:rsid w:val="00F603C4"/>
    <w:rsid w:val="00F60458"/>
    <w:rsid w:val="00F60737"/>
    <w:rsid w:val="00F6083F"/>
    <w:rsid w:val="00F60BEA"/>
    <w:rsid w:val="00F60C47"/>
    <w:rsid w:val="00F60CB4"/>
    <w:rsid w:val="00F60CC4"/>
    <w:rsid w:val="00F60CF0"/>
    <w:rsid w:val="00F60EFA"/>
    <w:rsid w:val="00F610EF"/>
    <w:rsid w:val="00F611C8"/>
    <w:rsid w:val="00F61664"/>
    <w:rsid w:val="00F616B9"/>
    <w:rsid w:val="00F617E8"/>
    <w:rsid w:val="00F61919"/>
    <w:rsid w:val="00F6191D"/>
    <w:rsid w:val="00F6192F"/>
    <w:rsid w:val="00F61CA3"/>
    <w:rsid w:val="00F61E2D"/>
    <w:rsid w:val="00F61E31"/>
    <w:rsid w:val="00F61E91"/>
    <w:rsid w:val="00F621A4"/>
    <w:rsid w:val="00F622F4"/>
    <w:rsid w:val="00F623B3"/>
    <w:rsid w:val="00F6269D"/>
    <w:rsid w:val="00F62924"/>
    <w:rsid w:val="00F62AA0"/>
    <w:rsid w:val="00F62AD7"/>
    <w:rsid w:val="00F62B7D"/>
    <w:rsid w:val="00F62F33"/>
    <w:rsid w:val="00F63079"/>
    <w:rsid w:val="00F6327D"/>
    <w:rsid w:val="00F634EE"/>
    <w:rsid w:val="00F63629"/>
    <w:rsid w:val="00F63AAF"/>
    <w:rsid w:val="00F63B3A"/>
    <w:rsid w:val="00F63BD9"/>
    <w:rsid w:val="00F64061"/>
    <w:rsid w:val="00F6415D"/>
    <w:rsid w:val="00F641D0"/>
    <w:rsid w:val="00F647F6"/>
    <w:rsid w:val="00F649BF"/>
    <w:rsid w:val="00F64BFC"/>
    <w:rsid w:val="00F64E6E"/>
    <w:rsid w:val="00F6507D"/>
    <w:rsid w:val="00F6533B"/>
    <w:rsid w:val="00F65439"/>
    <w:rsid w:val="00F65488"/>
    <w:rsid w:val="00F654B6"/>
    <w:rsid w:val="00F65519"/>
    <w:rsid w:val="00F65631"/>
    <w:rsid w:val="00F65685"/>
    <w:rsid w:val="00F658A2"/>
    <w:rsid w:val="00F65905"/>
    <w:rsid w:val="00F65D11"/>
    <w:rsid w:val="00F65DC1"/>
    <w:rsid w:val="00F66090"/>
    <w:rsid w:val="00F662F1"/>
    <w:rsid w:val="00F66463"/>
    <w:rsid w:val="00F66608"/>
    <w:rsid w:val="00F66698"/>
    <w:rsid w:val="00F6683B"/>
    <w:rsid w:val="00F669A0"/>
    <w:rsid w:val="00F66D4F"/>
    <w:rsid w:val="00F66ED9"/>
    <w:rsid w:val="00F67082"/>
    <w:rsid w:val="00F67189"/>
    <w:rsid w:val="00F677E0"/>
    <w:rsid w:val="00F6797E"/>
    <w:rsid w:val="00F67BF9"/>
    <w:rsid w:val="00F67C5D"/>
    <w:rsid w:val="00F67CF3"/>
    <w:rsid w:val="00F70686"/>
    <w:rsid w:val="00F7078F"/>
    <w:rsid w:val="00F70BAB"/>
    <w:rsid w:val="00F7117A"/>
    <w:rsid w:val="00F71247"/>
    <w:rsid w:val="00F71349"/>
    <w:rsid w:val="00F714A2"/>
    <w:rsid w:val="00F714CA"/>
    <w:rsid w:val="00F714ED"/>
    <w:rsid w:val="00F71511"/>
    <w:rsid w:val="00F71672"/>
    <w:rsid w:val="00F7167B"/>
    <w:rsid w:val="00F7176D"/>
    <w:rsid w:val="00F71981"/>
    <w:rsid w:val="00F71A2B"/>
    <w:rsid w:val="00F71B44"/>
    <w:rsid w:val="00F71B65"/>
    <w:rsid w:val="00F72028"/>
    <w:rsid w:val="00F7209C"/>
    <w:rsid w:val="00F721FF"/>
    <w:rsid w:val="00F72272"/>
    <w:rsid w:val="00F72402"/>
    <w:rsid w:val="00F72499"/>
    <w:rsid w:val="00F72587"/>
    <w:rsid w:val="00F726B8"/>
    <w:rsid w:val="00F72993"/>
    <w:rsid w:val="00F72A93"/>
    <w:rsid w:val="00F72A97"/>
    <w:rsid w:val="00F72AB7"/>
    <w:rsid w:val="00F72C07"/>
    <w:rsid w:val="00F72C8A"/>
    <w:rsid w:val="00F73045"/>
    <w:rsid w:val="00F730BE"/>
    <w:rsid w:val="00F73183"/>
    <w:rsid w:val="00F732B5"/>
    <w:rsid w:val="00F73634"/>
    <w:rsid w:val="00F736BE"/>
    <w:rsid w:val="00F7386C"/>
    <w:rsid w:val="00F7388F"/>
    <w:rsid w:val="00F738A2"/>
    <w:rsid w:val="00F738ED"/>
    <w:rsid w:val="00F73E1A"/>
    <w:rsid w:val="00F73F6C"/>
    <w:rsid w:val="00F73F72"/>
    <w:rsid w:val="00F74048"/>
    <w:rsid w:val="00F74201"/>
    <w:rsid w:val="00F74486"/>
    <w:rsid w:val="00F745A6"/>
    <w:rsid w:val="00F7463E"/>
    <w:rsid w:val="00F746C5"/>
    <w:rsid w:val="00F7480C"/>
    <w:rsid w:val="00F74864"/>
    <w:rsid w:val="00F74A35"/>
    <w:rsid w:val="00F74C2F"/>
    <w:rsid w:val="00F74E95"/>
    <w:rsid w:val="00F74F0B"/>
    <w:rsid w:val="00F750CA"/>
    <w:rsid w:val="00F7521F"/>
    <w:rsid w:val="00F752FD"/>
    <w:rsid w:val="00F7544C"/>
    <w:rsid w:val="00F75562"/>
    <w:rsid w:val="00F756DC"/>
    <w:rsid w:val="00F75CEB"/>
    <w:rsid w:val="00F76147"/>
    <w:rsid w:val="00F761DE"/>
    <w:rsid w:val="00F7625D"/>
    <w:rsid w:val="00F76302"/>
    <w:rsid w:val="00F76596"/>
    <w:rsid w:val="00F765A4"/>
    <w:rsid w:val="00F7662F"/>
    <w:rsid w:val="00F767D2"/>
    <w:rsid w:val="00F768DA"/>
    <w:rsid w:val="00F76CD5"/>
    <w:rsid w:val="00F76D2B"/>
    <w:rsid w:val="00F7713A"/>
    <w:rsid w:val="00F774BA"/>
    <w:rsid w:val="00F7761E"/>
    <w:rsid w:val="00F779D7"/>
    <w:rsid w:val="00F77AE0"/>
    <w:rsid w:val="00F77C57"/>
    <w:rsid w:val="00F77F17"/>
    <w:rsid w:val="00F8000A"/>
    <w:rsid w:val="00F8013D"/>
    <w:rsid w:val="00F80189"/>
    <w:rsid w:val="00F801EA"/>
    <w:rsid w:val="00F80703"/>
    <w:rsid w:val="00F80728"/>
    <w:rsid w:val="00F80777"/>
    <w:rsid w:val="00F809E8"/>
    <w:rsid w:val="00F809F1"/>
    <w:rsid w:val="00F80E06"/>
    <w:rsid w:val="00F810E4"/>
    <w:rsid w:val="00F8112B"/>
    <w:rsid w:val="00F8114F"/>
    <w:rsid w:val="00F813AB"/>
    <w:rsid w:val="00F8143A"/>
    <w:rsid w:val="00F814C9"/>
    <w:rsid w:val="00F8168A"/>
    <w:rsid w:val="00F816E9"/>
    <w:rsid w:val="00F81810"/>
    <w:rsid w:val="00F81891"/>
    <w:rsid w:val="00F818D7"/>
    <w:rsid w:val="00F818DB"/>
    <w:rsid w:val="00F81988"/>
    <w:rsid w:val="00F8199D"/>
    <w:rsid w:val="00F81B29"/>
    <w:rsid w:val="00F81C28"/>
    <w:rsid w:val="00F81EED"/>
    <w:rsid w:val="00F820C8"/>
    <w:rsid w:val="00F82553"/>
    <w:rsid w:val="00F82E01"/>
    <w:rsid w:val="00F82FDC"/>
    <w:rsid w:val="00F8335D"/>
    <w:rsid w:val="00F83453"/>
    <w:rsid w:val="00F83472"/>
    <w:rsid w:val="00F834BD"/>
    <w:rsid w:val="00F836C7"/>
    <w:rsid w:val="00F836FA"/>
    <w:rsid w:val="00F83A84"/>
    <w:rsid w:val="00F83FFA"/>
    <w:rsid w:val="00F842A9"/>
    <w:rsid w:val="00F843E4"/>
    <w:rsid w:val="00F84C06"/>
    <w:rsid w:val="00F84DC2"/>
    <w:rsid w:val="00F84E3E"/>
    <w:rsid w:val="00F85020"/>
    <w:rsid w:val="00F8505E"/>
    <w:rsid w:val="00F85707"/>
    <w:rsid w:val="00F85B60"/>
    <w:rsid w:val="00F85DC4"/>
    <w:rsid w:val="00F85F58"/>
    <w:rsid w:val="00F85FBB"/>
    <w:rsid w:val="00F86112"/>
    <w:rsid w:val="00F861A7"/>
    <w:rsid w:val="00F86271"/>
    <w:rsid w:val="00F86412"/>
    <w:rsid w:val="00F86427"/>
    <w:rsid w:val="00F86753"/>
    <w:rsid w:val="00F86855"/>
    <w:rsid w:val="00F869A4"/>
    <w:rsid w:val="00F86D1D"/>
    <w:rsid w:val="00F86D58"/>
    <w:rsid w:val="00F86D9F"/>
    <w:rsid w:val="00F86EED"/>
    <w:rsid w:val="00F870A0"/>
    <w:rsid w:val="00F870BF"/>
    <w:rsid w:val="00F87151"/>
    <w:rsid w:val="00F87159"/>
    <w:rsid w:val="00F87281"/>
    <w:rsid w:val="00F872D4"/>
    <w:rsid w:val="00F873E2"/>
    <w:rsid w:val="00F87409"/>
    <w:rsid w:val="00F8751F"/>
    <w:rsid w:val="00F87681"/>
    <w:rsid w:val="00F877D1"/>
    <w:rsid w:val="00F87937"/>
    <w:rsid w:val="00F87A4A"/>
    <w:rsid w:val="00F87AB4"/>
    <w:rsid w:val="00F87AF5"/>
    <w:rsid w:val="00F87D22"/>
    <w:rsid w:val="00F87E63"/>
    <w:rsid w:val="00F901AC"/>
    <w:rsid w:val="00F901C9"/>
    <w:rsid w:val="00F9031C"/>
    <w:rsid w:val="00F90375"/>
    <w:rsid w:val="00F907C2"/>
    <w:rsid w:val="00F90A17"/>
    <w:rsid w:val="00F90AAA"/>
    <w:rsid w:val="00F90B5C"/>
    <w:rsid w:val="00F90FC3"/>
    <w:rsid w:val="00F91228"/>
    <w:rsid w:val="00F913AD"/>
    <w:rsid w:val="00F9146A"/>
    <w:rsid w:val="00F914C9"/>
    <w:rsid w:val="00F916BE"/>
    <w:rsid w:val="00F91AB6"/>
    <w:rsid w:val="00F91ABA"/>
    <w:rsid w:val="00F91B28"/>
    <w:rsid w:val="00F91CCC"/>
    <w:rsid w:val="00F91DF4"/>
    <w:rsid w:val="00F91E26"/>
    <w:rsid w:val="00F91FBC"/>
    <w:rsid w:val="00F921F7"/>
    <w:rsid w:val="00F922AD"/>
    <w:rsid w:val="00F92340"/>
    <w:rsid w:val="00F9258E"/>
    <w:rsid w:val="00F9265F"/>
    <w:rsid w:val="00F926C2"/>
    <w:rsid w:val="00F92736"/>
    <w:rsid w:val="00F9287E"/>
    <w:rsid w:val="00F928F7"/>
    <w:rsid w:val="00F929BA"/>
    <w:rsid w:val="00F92C49"/>
    <w:rsid w:val="00F92EAE"/>
    <w:rsid w:val="00F9304B"/>
    <w:rsid w:val="00F93057"/>
    <w:rsid w:val="00F930C3"/>
    <w:rsid w:val="00F9348C"/>
    <w:rsid w:val="00F934EF"/>
    <w:rsid w:val="00F9352C"/>
    <w:rsid w:val="00F937E6"/>
    <w:rsid w:val="00F938A1"/>
    <w:rsid w:val="00F93CEC"/>
    <w:rsid w:val="00F94040"/>
    <w:rsid w:val="00F94080"/>
    <w:rsid w:val="00F942CA"/>
    <w:rsid w:val="00F943D7"/>
    <w:rsid w:val="00F9441E"/>
    <w:rsid w:val="00F944EE"/>
    <w:rsid w:val="00F949E2"/>
    <w:rsid w:val="00F94C30"/>
    <w:rsid w:val="00F94D5F"/>
    <w:rsid w:val="00F94DF9"/>
    <w:rsid w:val="00F94E27"/>
    <w:rsid w:val="00F94F7F"/>
    <w:rsid w:val="00F95174"/>
    <w:rsid w:val="00F952D3"/>
    <w:rsid w:val="00F95396"/>
    <w:rsid w:val="00F953BA"/>
    <w:rsid w:val="00F95841"/>
    <w:rsid w:val="00F9588E"/>
    <w:rsid w:val="00F95A6D"/>
    <w:rsid w:val="00F95B4C"/>
    <w:rsid w:val="00F95C07"/>
    <w:rsid w:val="00F95C8F"/>
    <w:rsid w:val="00F95CBC"/>
    <w:rsid w:val="00F95D21"/>
    <w:rsid w:val="00F95F5C"/>
    <w:rsid w:val="00F9604B"/>
    <w:rsid w:val="00F96096"/>
    <w:rsid w:val="00F96131"/>
    <w:rsid w:val="00F96437"/>
    <w:rsid w:val="00F96ACE"/>
    <w:rsid w:val="00F96CF8"/>
    <w:rsid w:val="00F96F74"/>
    <w:rsid w:val="00F96FC0"/>
    <w:rsid w:val="00F971A5"/>
    <w:rsid w:val="00F971BB"/>
    <w:rsid w:val="00F97462"/>
    <w:rsid w:val="00F97559"/>
    <w:rsid w:val="00F977F3"/>
    <w:rsid w:val="00F97A1F"/>
    <w:rsid w:val="00F97BAD"/>
    <w:rsid w:val="00F97F23"/>
    <w:rsid w:val="00F9FB0E"/>
    <w:rsid w:val="00FA0021"/>
    <w:rsid w:val="00FA03A1"/>
    <w:rsid w:val="00FA0518"/>
    <w:rsid w:val="00FA060F"/>
    <w:rsid w:val="00FA07B6"/>
    <w:rsid w:val="00FA0878"/>
    <w:rsid w:val="00FA09C1"/>
    <w:rsid w:val="00FA0BB9"/>
    <w:rsid w:val="00FA0BFF"/>
    <w:rsid w:val="00FA0D6E"/>
    <w:rsid w:val="00FA0F79"/>
    <w:rsid w:val="00FA10A4"/>
    <w:rsid w:val="00FA1574"/>
    <w:rsid w:val="00FA175D"/>
    <w:rsid w:val="00FA1761"/>
    <w:rsid w:val="00FA17AA"/>
    <w:rsid w:val="00FA19E1"/>
    <w:rsid w:val="00FA1A15"/>
    <w:rsid w:val="00FA1BB1"/>
    <w:rsid w:val="00FA1CDC"/>
    <w:rsid w:val="00FA1DFC"/>
    <w:rsid w:val="00FA1E98"/>
    <w:rsid w:val="00FA214C"/>
    <w:rsid w:val="00FA2586"/>
    <w:rsid w:val="00FA25C3"/>
    <w:rsid w:val="00FA2A9B"/>
    <w:rsid w:val="00FA2E49"/>
    <w:rsid w:val="00FA2EA5"/>
    <w:rsid w:val="00FA2F68"/>
    <w:rsid w:val="00FA32DB"/>
    <w:rsid w:val="00FA337A"/>
    <w:rsid w:val="00FA344B"/>
    <w:rsid w:val="00FA34B9"/>
    <w:rsid w:val="00FA3531"/>
    <w:rsid w:val="00FA37E5"/>
    <w:rsid w:val="00FA3A25"/>
    <w:rsid w:val="00FA3AB3"/>
    <w:rsid w:val="00FA3D33"/>
    <w:rsid w:val="00FA3E13"/>
    <w:rsid w:val="00FA4156"/>
    <w:rsid w:val="00FA42EC"/>
    <w:rsid w:val="00FA4306"/>
    <w:rsid w:val="00FA443C"/>
    <w:rsid w:val="00FA4488"/>
    <w:rsid w:val="00FA4774"/>
    <w:rsid w:val="00FA47A2"/>
    <w:rsid w:val="00FA4AE9"/>
    <w:rsid w:val="00FA4C22"/>
    <w:rsid w:val="00FA5068"/>
    <w:rsid w:val="00FA529A"/>
    <w:rsid w:val="00FA52CF"/>
    <w:rsid w:val="00FA52E2"/>
    <w:rsid w:val="00FA5350"/>
    <w:rsid w:val="00FA55E4"/>
    <w:rsid w:val="00FA5E42"/>
    <w:rsid w:val="00FA5E44"/>
    <w:rsid w:val="00FA5F42"/>
    <w:rsid w:val="00FA5F81"/>
    <w:rsid w:val="00FA6015"/>
    <w:rsid w:val="00FA616C"/>
    <w:rsid w:val="00FA62DA"/>
    <w:rsid w:val="00FA63EA"/>
    <w:rsid w:val="00FA6421"/>
    <w:rsid w:val="00FA64AE"/>
    <w:rsid w:val="00FA6522"/>
    <w:rsid w:val="00FA6596"/>
    <w:rsid w:val="00FA691B"/>
    <w:rsid w:val="00FA6957"/>
    <w:rsid w:val="00FA69F4"/>
    <w:rsid w:val="00FA6B08"/>
    <w:rsid w:val="00FA6BCD"/>
    <w:rsid w:val="00FA6DBA"/>
    <w:rsid w:val="00FA6DEE"/>
    <w:rsid w:val="00FA6E00"/>
    <w:rsid w:val="00FA6F4A"/>
    <w:rsid w:val="00FA71FA"/>
    <w:rsid w:val="00FA7691"/>
    <w:rsid w:val="00FA76A3"/>
    <w:rsid w:val="00FA7782"/>
    <w:rsid w:val="00FA7893"/>
    <w:rsid w:val="00FA79ED"/>
    <w:rsid w:val="00FA7B47"/>
    <w:rsid w:val="00FA7D4B"/>
    <w:rsid w:val="00FA7DE0"/>
    <w:rsid w:val="00FA7EA8"/>
    <w:rsid w:val="00FA7FD2"/>
    <w:rsid w:val="00FB00BF"/>
    <w:rsid w:val="00FB04F1"/>
    <w:rsid w:val="00FB078B"/>
    <w:rsid w:val="00FB0945"/>
    <w:rsid w:val="00FB09C0"/>
    <w:rsid w:val="00FB0A36"/>
    <w:rsid w:val="00FB0A6A"/>
    <w:rsid w:val="00FB0D73"/>
    <w:rsid w:val="00FB0DB6"/>
    <w:rsid w:val="00FB0FF5"/>
    <w:rsid w:val="00FB10A9"/>
    <w:rsid w:val="00FB1308"/>
    <w:rsid w:val="00FB1387"/>
    <w:rsid w:val="00FB153B"/>
    <w:rsid w:val="00FB1974"/>
    <w:rsid w:val="00FB1A02"/>
    <w:rsid w:val="00FB1A23"/>
    <w:rsid w:val="00FB1D0E"/>
    <w:rsid w:val="00FB1DD5"/>
    <w:rsid w:val="00FB1E89"/>
    <w:rsid w:val="00FB1F00"/>
    <w:rsid w:val="00FB1FBA"/>
    <w:rsid w:val="00FB22C8"/>
    <w:rsid w:val="00FB22D7"/>
    <w:rsid w:val="00FB2379"/>
    <w:rsid w:val="00FB2423"/>
    <w:rsid w:val="00FB24BA"/>
    <w:rsid w:val="00FB2660"/>
    <w:rsid w:val="00FB26B5"/>
    <w:rsid w:val="00FB2852"/>
    <w:rsid w:val="00FB29EB"/>
    <w:rsid w:val="00FB2FEC"/>
    <w:rsid w:val="00FB3056"/>
    <w:rsid w:val="00FB30CF"/>
    <w:rsid w:val="00FB3119"/>
    <w:rsid w:val="00FB31A8"/>
    <w:rsid w:val="00FB329F"/>
    <w:rsid w:val="00FB32D9"/>
    <w:rsid w:val="00FB334E"/>
    <w:rsid w:val="00FB34C5"/>
    <w:rsid w:val="00FB3674"/>
    <w:rsid w:val="00FB398C"/>
    <w:rsid w:val="00FB3C0A"/>
    <w:rsid w:val="00FB3DD6"/>
    <w:rsid w:val="00FB3ED1"/>
    <w:rsid w:val="00FB41EC"/>
    <w:rsid w:val="00FB433A"/>
    <w:rsid w:val="00FB437D"/>
    <w:rsid w:val="00FB43BD"/>
    <w:rsid w:val="00FB457D"/>
    <w:rsid w:val="00FB45F2"/>
    <w:rsid w:val="00FB46CB"/>
    <w:rsid w:val="00FB476C"/>
    <w:rsid w:val="00FB47A8"/>
    <w:rsid w:val="00FB47B6"/>
    <w:rsid w:val="00FB4839"/>
    <w:rsid w:val="00FB4878"/>
    <w:rsid w:val="00FB4D08"/>
    <w:rsid w:val="00FB4E01"/>
    <w:rsid w:val="00FB4E76"/>
    <w:rsid w:val="00FB4EFE"/>
    <w:rsid w:val="00FB520E"/>
    <w:rsid w:val="00FB5238"/>
    <w:rsid w:val="00FB532E"/>
    <w:rsid w:val="00FB53B5"/>
    <w:rsid w:val="00FB58F8"/>
    <w:rsid w:val="00FB58FF"/>
    <w:rsid w:val="00FB593C"/>
    <w:rsid w:val="00FB5EC2"/>
    <w:rsid w:val="00FB61B4"/>
    <w:rsid w:val="00FB62D3"/>
    <w:rsid w:val="00FB63BE"/>
    <w:rsid w:val="00FB6414"/>
    <w:rsid w:val="00FB68F0"/>
    <w:rsid w:val="00FB6B8D"/>
    <w:rsid w:val="00FB6C61"/>
    <w:rsid w:val="00FB6FD5"/>
    <w:rsid w:val="00FB70DB"/>
    <w:rsid w:val="00FB7340"/>
    <w:rsid w:val="00FB73FB"/>
    <w:rsid w:val="00FB7614"/>
    <w:rsid w:val="00FB78D2"/>
    <w:rsid w:val="00FB7BFA"/>
    <w:rsid w:val="00FB7FF8"/>
    <w:rsid w:val="00FBB081"/>
    <w:rsid w:val="00FC0043"/>
    <w:rsid w:val="00FC0165"/>
    <w:rsid w:val="00FC0169"/>
    <w:rsid w:val="00FC0437"/>
    <w:rsid w:val="00FC04F9"/>
    <w:rsid w:val="00FC0628"/>
    <w:rsid w:val="00FC068C"/>
    <w:rsid w:val="00FC0AB6"/>
    <w:rsid w:val="00FC122D"/>
    <w:rsid w:val="00FC1307"/>
    <w:rsid w:val="00FC1407"/>
    <w:rsid w:val="00FC168B"/>
    <w:rsid w:val="00FC1BA8"/>
    <w:rsid w:val="00FC1EBD"/>
    <w:rsid w:val="00FC2028"/>
    <w:rsid w:val="00FC2246"/>
    <w:rsid w:val="00FC2361"/>
    <w:rsid w:val="00FC240D"/>
    <w:rsid w:val="00FC251E"/>
    <w:rsid w:val="00FC261C"/>
    <w:rsid w:val="00FC28C6"/>
    <w:rsid w:val="00FC2B17"/>
    <w:rsid w:val="00FC2D15"/>
    <w:rsid w:val="00FC2DA6"/>
    <w:rsid w:val="00FC2DEA"/>
    <w:rsid w:val="00FC2DFC"/>
    <w:rsid w:val="00FC2FDB"/>
    <w:rsid w:val="00FC30A2"/>
    <w:rsid w:val="00FC31D8"/>
    <w:rsid w:val="00FC33E2"/>
    <w:rsid w:val="00FC342A"/>
    <w:rsid w:val="00FC3B41"/>
    <w:rsid w:val="00FC3B9D"/>
    <w:rsid w:val="00FC4098"/>
    <w:rsid w:val="00FC4156"/>
    <w:rsid w:val="00FC4512"/>
    <w:rsid w:val="00FC4535"/>
    <w:rsid w:val="00FC45F6"/>
    <w:rsid w:val="00FC46C0"/>
    <w:rsid w:val="00FC4A3D"/>
    <w:rsid w:val="00FC4AFE"/>
    <w:rsid w:val="00FC4CF0"/>
    <w:rsid w:val="00FC4D7F"/>
    <w:rsid w:val="00FC5262"/>
    <w:rsid w:val="00FC52C9"/>
    <w:rsid w:val="00FC52FA"/>
    <w:rsid w:val="00FC53B9"/>
    <w:rsid w:val="00FC53FD"/>
    <w:rsid w:val="00FC55AC"/>
    <w:rsid w:val="00FC55EE"/>
    <w:rsid w:val="00FC5670"/>
    <w:rsid w:val="00FC5BA6"/>
    <w:rsid w:val="00FC5CF1"/>
    <w:rsid w:val="00FC5DD5"/>
    <w:rsid w:val="00FC5EA2"/>
    <w:rsid w:val="00FC60BA"/>
    <w:rsid w:val="00FC60D9"/>
    <w:rsid w:val="00FC649D"/>
    <w:rsid w:val="00FC65EB"/>
    <w:rsid w:val="00FC66CE"/>
    <w:rsid w:val="00FC6910"/>
    <w:rsid w:val="00FC6A2B"/>
    <w:rsid w:val="00FC6D6A"/>
    <w:rsid w:val="00FC6DC5"/>
    <w:rsid w:val="00FC7194"/>
    <w:rsid w:val="00FC749C"/>
    <w:rsid w:val="00FC74DE"/>
    <w:rsid w:val="00FC7520"/>
    <w:rsid w:val="00FC767A"/>
    <w:rsid w:val="00FC76A7"/>
    <w:rsid w:val="00FC776E"/>
    <w:rsid w:val="00FC78F8"/>
    <w:rsid w:val="00FC79E0"/>
    <w:rsid w:val="00FC7C0F"/>
    <w:rsid w:val="00FC7DF3"/>
    <w:rsid w:val="00FC7F21"/>
    <w:rsid w:val="00FC7F5A"/>
    <w:rsid w:val="00FCA02C"/>
    <w:rsid w:val="00FD01C1"/>
    <w:rsid w:val="00FD034D"/>
    <w:rsid w:val="00FD0365"/>
    <w:rsid w:val="00FD0498"/>
    <w:rsid w:val="00FD06A6"/>
    <w:rsid w:val="00FD07FC"/>
    <w:rsid w:val="00FD09D7"/>
    <w:rsid w:val="00FD0BAA"/>
    <w:rsid w:val="00FD0CEE"/>
    <w:rsid w:val="00FD0DFC"/>
    <w:rsid w:val="00FD0F67"/>
    <w:rsid w:val="00FD1223"/>
    <w:rsid w:val="00FD15F8"/>
    <w:rsid w:val="00FD1641"/>
    <w:rsid w:val="00FD17ED"/>
    <w:rsid w:val="00FD180C"/>
    <w:rsid w:val="00FD18AE"/>
    <w:rsid w:val="00FD19CC"/>
    <w:rsid w:val="00FD1AB4"/>
    <w:rsid w:val="00FD1D42"/>
    <w:rsid w:val="00FD1DD6"/>
    <w:rsid w:val="00FD1E5B"/>
    <w:rsid w:val="00FD2068"/>
    <w:rsid w:val="00FD2078"/>
    <w:rsid w:val="00FD2163"/>
    <w:rsid w:val="00FD2305"/>
    <w:rsid w:val="00FD26E6"/>
    <w:rsid w:val="00FD26EF"/>
    <w:rsid w:val="00FD2929"/>
    <w:rsid w:val="00FD2C23"/>
    <w:rsid w:val="00FD2DE2"/>
    <w:rsid w:val="00FD30F4"/>
    <w:rsid w:val="00FD34BF"/>
    <w:rsid w:val="00FD375E"/>
    <w:rsid w:val="00FD39A1"/>
    <w:rsid w:val="00FD3A3B"/>
    <w:rsid w:val="00FD3B60"/>
    <w:rsid w:val="00FD3BAE"/>
    <w:rsid w:val="00FD3BBE"/>
    <w:rsid w:val="00FD3BC7"/>
    <w:rsid w:val="00FD3C51"/>
    <w:rsid w:val="00FD3EBD"/>
    <w:rsid w:val="00FD40FB"/>
    <w:rsid w:val="00FD420A"/>
    <w:rsid w:val="00FD43B4"/>
    <w:rsid w:val="00FD44A0"/>
    <w:rsid w:val="00FD47EA"/>
    <w:rsid w:val="00FD483A"/>
    <w:rsid w:val="00FD4C32"/>
    <w:rsid w:val="00FD4C90"/>
    <w:rsid w:val="00FD4CC2"/>
    <w:rsid w:val="00FD4D89"/>
    <w:rsid w:val="00FD4F8A"/>
    <w:rsid w:val="00FD4FBF"/>
    <w:rsid w:val="00FD4FCE"/>
    <w:rsid w:val="00FD55A9"/>
    <w:rsid w:val="00FD56B4"/>
    <w:rsid w:val="00FD57A6"/>
    <w:rsid w:val="00FD58AC"/>
    <w:rsid w:val="00FD58E6"/>
    <w:rsid w:val="00FD59A6"/>
    <w:rsid w:val="00FD5A2F"/>
    <w:rsid w:val="00FD5EC3"/>
    <w:rsid w:val="00FD6165"/>
    <w:rsid w:val="00FD616A"/>
    <w:rsid w:val="00FD61F2"/>
    <w:rsid w:val="00FD628D"/>
    <w:rsid w:val="00FD63BE"/>
    <w:rsid w:val="00FD63CE"/>
    <w:rsid w:val="00FD6847"/>
    <w:rsid w:val="00FD69A2"/>
    <w:rsid w:val="00FD69F4"/>
    <w:rsid w:val="00FD6EA0"/>
    <w:rsid w:val="00FD6ECC"/>
    <w:rsid w:val="00FD6ED1"/>
    <w:rsid w:val="00FD6FEA"/>
    <w:rsid w:val="00FD7314"/>
    <w:rsid w:val="00FD7452"/>
    <w:rsid w:val="00FD768D"/>
    <w:rsid w:val="00FD76D2"/>
    <w:rsid w:val="00FD78A6"/>
    <w:rsid w:val="00FD796F"/>
    <w:rsid w:val="00FD7C24"/>
    <w:rsid w:val="00FD7CA9"/>
    <w:rsid w:val="00FD7E81"/>
    <w:rsid w:val="00FD7EB4"/>
    <w:rsid w:val="00FD7ED8"/>
    <w:rsid w:val="00FE01F0"/>
    <w:rsid w:val="00FE0260"/>
    <w:rsid w:val="00FE02D6"/>
    <w:rsid w:val="00FE05F3"/>
    <w:rsid w:val="00FE077C"/>
    <w:rsid w:val="00FE07E1"/>
    <w:rsid w:val="00FE0806"/>
    <w:rsid w:val="00FE093F"/>
    <w:rsid w:val="00FE0A82"/>
    <w:rsid w:val="00FE0C77"/>
    <w:rsid w:val="00FE0ECC"/>
    <w:rsid w:val="00FE13A6"/>
    <w:rsid w:val="00FE14F1"/>
    <w:rsid w:val="00FE1581"/>
    <w:rsid w:val="00FE1588"/>
    <w:rsid w:val="00FE1915"/>
    <w:rsid w:val="00FE1979"/>
    <w:rsid w:val="00FE1A9E"/>
    <w:rsid w:val="00FE1BBC"/>
    <w:rsid w:val="00FE1BE7"/>
    <w:rsid w:val="00FE1CE5"/>
    <w:rsid w:val="00FE1CED"/>
    <w:rsid w:val="00FE1D8A"/>
    <w:rsid w:val="00FE1E0F"/>
    <w:rsid w:val="00FE1E7F"/>
    <w:rsid w:val="00FE1F0E"/>
    <w:rsid w:val="00FE20FF"/>
    <w:rsid w:val="00FE2243"/>
    <w:rsid w:val="00FE230E"/>
    <w:rsid w:val="00FE23A2"/>
    <w:rsid w:val="00FE2585"/>
    <w:rsid w:val="00FE261D"/>
    <w:rsid w:val="00FE2630"/>
    <w:rsid w:val="00FE289B"/>
    <w:rsid w:val="00FE29B8"/>
    <w:rsid w:val="00FE2B35"/>
    <w:rsid w:val="00FE2BD3"/>
    <w:rsid w:val="00FE2D31"/>
    <w:rsid w:val="00FE2D3D"/>
    <w:rsid w:val="00FE2E47"/>
    <w:rsid w:val="00FE2E65"/>
    <w:rsid w:val="00FE2FAF"/>
    <w:rsid w:val="00FE2FC3"/>
    <w:rsid w:val="00FE3254"/>
    <w:rsid w:val="00FE345D"/>
    <w:rsid w:val="00FE3C27"/>
    <w:rsid w:val="00FE3DB5"/>
    <w:rsid w:val="00FE427E"/>
    <w:rsid w:val="00FE42FC"/>
    <w:rsid w:val="00FE436A"/>
    <w:rsid w:val="00FE4502"/>
    <w:rsid w:val="00FE483D"/>
    <w:rsid w:val="00FE49C2"/>
    <w:rsid w:val="00FE49F2"/>
    <w:rsid w:val="00FE4C8E"/>
    <w:rsid w:val="00FE4D70"/>
    <w:rsid w:val="00FE4D7D"/>
    <w:rsid w:val="00FE4F0E"/>
    <w:rsid w:val="00FE5028"/>
    <w:rsid w:val="00FE504F"/>
    <w:rsid w:val="00FE541B"/>
    <w:rsid w:val="00FE55DF"/>
    <w:rsid w:val="00FE561E"/>
    <w:rsid w:val="00FE5763"/>
    <w:rsid w:val="00FE5889"/>
    <w:rsid w:val="00FE593E"/>
    <w:rsid w:val="00FE597E"/>
    <w:rsid w:val="00FE5A63"/>
    <w:rsid w:val="00FE5B0B"/>
    <w:rsid w:val="00FE5B8A"/>
    <w:rsid w:val="00FE5BA5"/>
    <w:rsid w:val="00FE5BB4"/>
    <w:rsid w:val="00FE5C44"/>
    <w:rsid w:val="00FE5C89"/>
    <w:rsid w:val="00FE66C1"/>
    <w:rsid w:val="00FE6766"/>
    <w:rsid w:val="00FE688D"/>
    <w:rsid w:val="00FE68CD"/>
    <w:rsid w:val="00FE6994"/>
    <w:rsid w:val="00FE6EC9"/>
    <w:rsid w:val="00FE6F33"/>
    <w:rsid w:val="00FE6F72"/>
    <w:rsid w:val="00FE71E7"/>
    <w:rsid w:val="00FE74DB"/>
    <w:rsid w:val="00FE74F3"/>
    <w:rsid w:val="00FE75B0"/>
    <w:rsid w:val="00FE75BD"/>
    <w:rsid w:val="00FE774B"/>
    <w:rsid w:val="00FE7930"/>
    <w:rsid w:val="00FE79AD"/>
    <w:rsid w:val="00FE7A5C"/>
    <w:rsid w:val="00FE7D9A"/>
    <w:rsid w:val="00FE7F4E"/>
    <w:rsid w:val="00FE7FEA"/>
    <w:rsid w:val="00FECF66"/>
    <w:rsid w:val="00FEE92B"/>
    <w:rsid w:val="00FEFB98"/>
    <w:rsid w:val="00FF00F4"/>
    <w:rsid w:val="00FF0177"/>
    <w:rsid w:val="00FF01AD"/>
    <w:rsid w:val="00FF0329"/>
    <w:rsid w:val="00FF0345"/>
    <w:rsid w:val="00FF0453"/>
    <w:rsid w:val="00FF0561"/>
    <w:rsid w:val="00FF05A4"/>
    <w:rsid w:val="00FF0601"/>
    <w:rsid w:val="00FF068A"/>
    <w:rsid w:val="00FF08EF"/>
    <w:rsid w:val="00FF09A5"/>
    <w:rsid w:val="00FF0D16"/>
    <w:rsid w:val="00FF0D78"/>
    <w:rsid w:val="00FF0D8B"/>
    <w:rsid w:val="00FF0EE4"/>
    <w:rsid w:val="00FF0FCF"/>
    <w:rsid w:val="00FF11D4"/>
    <w:rsid w:val="00FF14AB"/>
    <w:rsid w:val="00FF14BA"/>
    <w:rsid w:val="00FF14FA"/>
    <w:rsid w:val="00FF18E3"/>
    <w:rsid w:val="00FF18EC"/>
    <w:rsid w:val="00FF1935"/>
    <w:rsid w:val="00FF19E2"/>
    <w:rsid w:val="00FF1AC6"/>
    <w:rsid w:val="00FF1C43"/>
    <w:rsid w:val="00FF1CDC"/>
    <w:rsid w:val="00FF1CF9"/>
    <w:rsid w:val="00FF1D12"/>
    <w:rsid w:val="00FF1D1A"/>
    <w:rsid w:val="00FF1FF9"/>
    <w:rsid w:val="00FF22C6"/>
    <w:rsid w:val="00FF2336"/>
    <w:rsid w:val="00FF233B"/>
    <w:rsid w:val="00FF23BB"/>
    <w:rsid w:val="00FF2482"/>
    <w:rsid w:val="00FF2548"/>
    <w:rsid w:val="00FF267D"/>
    <w:rsid w:val="00FF2A05"/>
    <w:rsid w:val="00FF2A5C"/>
    <w:rsid w:val="00FF2EAD"/>
    <w:rsid w:val="00FF3250"/>
    <w:rsid w:val="00FF328B"/>
    <w:rsid w:val="00FF328C"/>
    <w:rsid w:val="00FF3605"/>
    <w:rsid w:val="00FF3A93"/>
    <w:rsid w:val="00FF3B02"/>
    <w:rsid w:val="00FF3E83"/>
    <w:rsid w:val="00FF3F9F"/>
    <w:rsid w:val="00FF4025"/>
    <w:rsid w:val="00FF4114"/>
    <w:rsid w:val="00FF4181"/>
    <w:rsid w:val="00FF429E"/>
    <w:rsid w:val="00FF436B"/>
    <w:rsid w:val="00FF442D"/>
    <w:rsid w:val="00FF47BB"/>
    <w:rsid w:val="00FF4805"/>
    <w:rsid w:val="00FF480C"/>
    <w:rsid w:val="00FF48AE"/>
    <w:rsid w:val="00FF50D6"/>
    <w:rsid w:val="00FF5156"/>
    <w:rsid w:val="00FF5327"/>
    <w:rsid w:val="00FF578B"/>
    <w:rsid w:val="00FF58AB"/>
    <w:rsid w:val="00FF5B9D"/>
    <w:rsid w:val="00FF5BF7"/>
    <w:rsid w:val="00FF5C18"/>
    <w:rsid w:val="00FF5D38"/>
    <w:rsid w:val="00FF5D47"/>
    <w:rsid w:val="00FF60C2"/>
    <w:rsid w:val="00FF63F5"/>
    <w:rsid w:val="00FF6646"/>
    <w:rsid w:val="00FF6869"/>
    <w:rsid w:val="00FF6AFC"/>
    <w:rsid w:val="00FF6CD7"/>
    <w:rsid w:val="00FF6D58"/>
    <w:rsid w:val="00FF6DB3"/>
    <w:rsid w:val="00FF6E0E"/>
    <w:rsid w:val="00FF7053"/>
    <w:rsid w:val="00FF739E"/>
    <w:rsid w:val="00FF73BA"/>
    <w:rsid w:val="00FF766A"/>
    <w:rsid w:val="00FF76C3"/>
    <w:rsid w:val="00FF7920"/>
    <w:rsid w:val="00FF7984"/>
    <w:rsid w:val="00FF7AD8"/>
    <w:rsid w:val="00FF7CCA"/>
    <w:rsid w:val="00FF7DFE"/>
    <w:rsid w:val="00FF7ECA"/>
    <w:rsid w:val="00FF7FBE"/>
    <w:rsid w:val="00FFB393"/>
    <w:rsid w:val="0105B958"/>
    <w:rsid w:val="0106FE4A"/>
    <w:rsid w:val="010CAFE9"/>
    <w:rsid w:val="010CB50A"/>
    <w:rsid w:val="010D23D2"/>
    <w:rsid w:val="010E34A0"/>
    <w:rsid w:val="010F8C7F"/>
    <w:rsid w:val="0114B0EF"/>
    <w:rsid w:val="01151BB6"/>
    <w:rsid w:val="011628CA"/>
    <w:rsid w:val="011669E3"/>
    <w:rsid w:val="011B8192"/>
    <w:rsid w:val="011CFB5D"/>
    <w:rsid w:val="011E4BAB"/>
    <w:rsid w:val="011F85F6"/>
    <w:rsid w:val="01208D53"/>
    <w:rsid w:val="01214EDC"/>
    <w:rsid w:val="012364D8"/>
    <w:rsid w:val="0123E77F"/>
    <w:rsid w:val="012AE241"/>
    <w:rsid w:val="012B8A30"/>
    <w:rsid w:val="012F031D"/>
    <w:rsid w:val="0131CF49"/>
    <w:rsid w:val="01324A97"/>
    <w:rsid w:val="0133C4F0"/>
    <w:rsid w:val="0138E8CA"/>
    <w:rsid w:val="0141F406"/>
    <w:rsid w:val="0147DEA1"/>
    <w:rsid w:val="0148155C"/>
    <w:rsid w:val="01481C8C"/>
    <w:rsid w:val="014AF0BB"/>
    <w:rsid w:val="014C68C4"/>
    <w:rsid w:val="0150A04B"/>
    <w:rsid w:val="015B01C9"/>
    <w:rsid w:val="015FCD7C"/>
    <w:rsid w:val="01660833"/>
    <w:rsid w:val="016A7257"/>
    <w:rsid w:val="016BC775"/>
    <w:rsid w:val="016C93E4"/>
    <w:rsid w:val="0179F0C8"/>
    <w:rsid w:val="017C3232"/>
    <w:rsid w:val="018103E7"/>
    <w:rsid w:val="0181A633"/>
    <w:rsid w:val="0185EE7C"/>
    <w:rsid w:val="01883ACF"/>
    <w:rsid w:val="0189C252"/>
    <w:rsid w:val="018B4315"/>
    <w:rsid w:val="018C1745"/>
    <w:rsid w:val="018D15AB"/>
    <w:rsid w:val="018EF9BE"/>
    <w:rsid w:val="01956765"/>
    <w:rsid w:val="01961D26"/>
    <w:rsid w:val="01991FDC"/>
    <w:rsid w:val="019AA091"/>
    <w:rsid w:val="019E340A"/>
    <w:rsid w:val="01A047C5"/>
    <w:rsid w:val="01A2D1EB"/>
    <w:rsid w:val="01A5343F"/>
    <w:rsid w:val="01A8A075"/>
    <w:rsid w:val="01AC3A80"/>
    <w:rsid w:val="01ACD719"/>
    <w:rsid w:val="01AE5719"/>
    <w:rsid w:val="01B0B76B"/>
    <w:rsid w:val="01B106DB"/>
    <w:rsid w:val="01B2FB76"/>
    <w:rsid w:val="01B3B882"/>
    <w:rsid w:val="01B44093"/>
    <w:rsid w:val="01BBDF83"/>
    <w:rsid w:val="01BCA5F1"/>
    <w:rsid w:val="01C91820"/>
    <w:rsid w:val="01CD758D"/>
    <w:rsid w:val="01D0ECBA"/>
    <w:rsid w:val="01DAE859"/>
    <w:rsid w:val="01DAFDBD"/>
    <w:rsid w:val="01DC4E34"/>
    <w:rsid w:val="01DDF10B"/>
    <w:rsid w:val="01E27527"/>
    <w:rsid w:val="01E7A975"/>
    <w:rsid w:val="01EC8485"/>
    <w:rsid w:val="01ECD0B7"/>
    <w:rsid w:val="01EDC314"/>
    <w:rsid w:val="01F04622"/>
    <w:rsid w:val="01F144F2"/>
    <w:rsid w:val="01F27D1A"/>
    <w:rsid w:val="01F60409"/>
    <w:rsid w:val="01F6F056"/>
    <w:rsid w:val="01F795A9"/>
    <w:rsid w:val="01FFEF43"/>
    <w:rsid w:val="0202A528"/>
    <w:rsid w:val="0204D7D5"/>
    <w:rsid w:val="020561BA"/>
    <w:rsid w:val="0206C331"/>
    <w:rsid w:val="0209CE17"/>
    <w:rsid w:val="02111993"/>
    <w:rsid w:val="0224FE94"/>
    <w:rsid w:val="0228FEA1"/>
    <w:rsid w:val="022F5E8D"/>
    <w:rsid w:val="023495FD"/>
    <w:rsid w:val="023697B6"/>
    <w:rsid w:val="023B1851"/>
    <w:rsid w:val="023BA776"/>
    <w:rsid w:val="0241EA7C"/>
    <w:rsid w:val="0245A97B"/>
    <w:rsid w:val="0245CD7E"/>
    <w:rsid w:val="02487BF9"/>
    <w:rsid w:val="0249AF60"/>
    <w:rsid w:val="024D0AF1"/>
    <w:rsid w:val="024DEB56"/>
    <w:rsid w:val="024E4818"/>
    <w:rsid w:val="024E7148"/>
    <w:rsid w:val="0251BB65"/>
    <w:rsid w:val="025A7B12"/>
    <w:rsid w:val="025CE169"/>
    <w:rsid w:val="0266BFA0"/>
    <w:rsid w:val="026708E7"/>
    <w:rsid w:val="026830E2"/>
    <w:rsid w:val="0270BC27"/>
    <w:rsid w:val="0277CBAC"/>
    <w:rsid w:val="027877E4"/>
    <w:rsid w:val="0279A668"/>
    <w:rsid w:val="027BFF1D"/>
    <w:rsid w:val="028399F3"/>
    <w:rsid w:val="0283B624"/>
    <w:rsid w:val="028AA49C"/>
    <w:rsid w:val="028B6D09"/>
    <w:rsid w:val="028D508E"/>
    <w:rsid w:val="028EE34D"/>
    <w:rsid w:val="0296547D"/>
    <w:rsid w:val="029A78F4"/>
    <w:rsid w:val="02A27CE1"/>
    <w:rsid w:val="02A2A59F"/>
    <w:rsid w:val="02A381E1"/>
    <w:rsid w:val="02A9ED5C"/>
    <w:rsid w:val="02B05DBC"/>
    <w:rsid w:val="02B2CF57"/>
    <w:rsid w:val="02B7B8EA"/>
    <w:rsid w:val="02B829AE"/>
    <w:rsid w:val="02BA9CBF"/>
    <w:rsid w:val="02BB6696"/>
    <w:rsid w:val="02BCE6F8"/>
    <w:rsid w:val="02C07905"/>
    <w:rsid w:val="02C3D541"/>
    <w:rsid w:val="02C49B73"/>
    <w:rsid w:val="02C52077"/>
    <w:rsid w:val="02C5BCFB"/>
    <w:rsid w:val="02C6755A"/>
    <w:rsid w:val="02C9EE64"/>
    <w:rsid w:val="02C9FD18"/>
    <w:rsid w:val="02CB3814"/>
    <w:rsid w:val="02CD7EA4"/>
    <w:rsid w:val="02D64166"/>
    <w:rsid w:val="02DA272C"/>
    <w:rsid w:val="02DABA02"/>
    <w:rsid w:val="02DC18A5"/>
    <w:rsid w:val="02E0D654"/>
    <w:rsid w:val="02E9750F"/>
    <w:rsid w:val="02ED4EB1"/>
    <w:rsid w:val="02F032F2"/>
    <w:rsid w:val="02F07ADE"/>
    <w:rsid w:val="02F225CD"/>
    <w:rsid w:val="02F8881C"/>
    <w:rsid w:val="02FC9CDC"/>
    <w:rsid w:val="02FEBB80"/>
    <w:rsid w:val="0301647F"/>
    <w:rsid w:val="03038B9E"/>
    <w:rsid w:val="03062D7F"/>
    <w:rsid w:val="0308CB62"/>
    <w:rsid w:val="0308F54A"/>
    <w:rsid w:val="030B7A79"/>
    <w:rsid w:val="030DA80C"/>
    <w:rsid w:val="030F95FF"/>
    <w:rsid w:val="03142F69"/>
    <w:rsid w:val="03168981"/>
    <w:rsid w:val="031EA854"/>
    <w:rsid w:val="031ED360"/>
    <w:rsid w:val="03203023"/>
    <w:rsid w:val="0322661E"/>
    <w:rsid w:val="0326CC0A"/>
    <w:rsid w:val="032B6BB0"/>
    <w:rsid w:val="0336866E"/>
    <w:rsid w:val="03373B90"/>
    <w:rsid w:val="0337D988"/>
    <w:rsid w:val="033CC627"/>
    <w:rsid w:val="033D3468"/>
    <w:rsid w:val="034A1C77"/>
    <w:rsid w:val="034A455B"/>
    <w:rsid w:val="034FCD17"/>
    <w:rsid w:val="035251E8"/>
    <w:rsid w:val="035587E4"/>
    <w:rsid w:val="0357170B"/>
    <w:rsid w:val="035D8EF5"/>
    <w:rsid w:val="0360671E"/>
    <w:rsid w:val="03637A95"/>
    <w:rsid w:val="0363BDD0"/>
    <w:rsid w:val="03674C83"/>
    <w:rsid w:val="0367AF10"/>
    <w:rsid w:val="036C8026"/>
    <w:rsid w:val="036DE8D4"/>
    <w:rsid w:val="03730F04"/>
    <w:rsid w:val="03743038"/>
    <w:rsid w:val="037696D8"/>
    <w:rsid w:val="03792D60"/>
    <w:rsid w:val="037A7EAF"/>
    <w:rsid w:val="037BC75E"/>
    <w:rsid w:val="037EBE18"/>
    <w:rsid w:val="0380709F"/>
    <w:rsid w:val="03848546"/>
    <w:rsid w:val="038B39E6"/>
    <w:rsid w:val="0398BD4E"/>
    <w:rsid w:val="0399428A"/>
    <w:rsid w:val="0399A43B"/>
    <w:rsid w:val="03A5DD14"/>
    <w:rsid w:val="03A647B4"/>
    <w:rsid w:val="03AAEB13"/>
    <w:rsid w:val="03B3BDDE"/>
    <w:rsid w:val="03B8631D"/>
    <w:rsid w:val="03BD2E7D"/>
    <w:rsid w:val="03BF8886"/>
    <w:rsid w:val="03C6BC29"/>
    <w:rsid w:val="03C743AD"/>
    <w:rsid w:val="03D0BF19"/>
    <w:rsid w:val="03D0E701"/>
    <w:rsid w:val="03D1822C"/>
    <w:rsid w:val="03D30E9F"/>
    <w:rsid w:val="03D68037"/>
    <w:rsid w:val="03DC1682"/>
    <w:rsid w:val="03DCEA38"/>
    <w:rsid w:val="03DFDDF2"/>
    <w:rsid w:val="03E03EA0"/>
    <w:rsid w:val="03E8DE97"/>
    <w:rsid w:val="03ED3F1A"/>
    <w:rsid w:val="03F22F01"/>
    <w:rsid w:val="03F257E4"/>
    <w:rsid w:val="03F3CEEC"/>
    <w:rsid w:val="03F710DA"/>
    <w:rsid w:val="03F811FE"/>
    <w:rsid w:val="03F9591C"/>
    <w:rsid w:val="040E3E16"/>
    <w:rsid w:val="041144B5"/>
    <w:rsid w:val="04155CBF"/>
    <w:rsid w:val="041885E9"/>
    <w:rsid w:val="04195A1F"/>
    <w:rsid w:val="041A8537"/>
    <w:rsid w:val="041D4D60"/>
    <w:rsid w:val="041F3E02"/>
    <w:rsid w:val="04289128"/>
    <w:rsid w:val="042BF8C5"/>
    <w:rsid w:val="04323213"/>
    <w:rsid w:val="043C3255"/>
    <w:rsid w:val="043C7841"/>
    <w:rsid w:val="043DC7EA"/>
    <w:rsid w:val="0440E992"/>
    <w:rsid w:val="0442A3D3"/>
    <w:rsid w:val="04450F16"/>
    <w:rsid w:val="0446D69B"/>
    <w:rsid w:val="044781B5"/>
    <w:rsid w:val="04526D92"/>
    <w:rsid w:val="0452AC07"/>
    <w:rsid w:val="0455C215"/>
    <w:rsid w:val="045B93C1"/>
    <w:rsid w:val="0460A4E2"/>
    <w:rsid w:val="04635322"/>
    <w:rsid w:val="04651C6C"/>
    <w:rsid w:val="047117DA"/>
    <w:rsid w:val="0474300B"/>
    <w:rsid w:val="04760F25"/>
    <w:rsid w:val="047B0890"/>
    <w:rsid w:val="047C1410"/>
    <w:rsid w:val="047D7281"/>
    <w:rsid w:val="0480B784"/>
    <w:rsid w:val="0483288F"/>
    <w:rsid w:val="0484C319"/>
    <w:rsid w:val="048811E1"/>
    <w:rsid w:val="048A9CD5"/>
    <w:rsid w:val="048CADAF"/>
    <w:rsid w:val="048FB0F2"/>
    <w:rsid w:val="0492DDA4"/>
    <w:rsid w:val="04936BCF"/>
    <w:rsid w:val="0495E862"/>
    <w:rsid w:val="0496BCF1"/>
    <w:rsid w:val="0497C5B3"/>
    <w:rsid w:val="0499D3FE"/>
    <w:rsid w:val="049AA924"/>
    <w:rsid w:val="049AC84E"/>
    <w:rsid w:val="04A0DC72"/>
    <w:rsid w:val="04AA00EE"/>
    <w:rsid w:val="04B1202A"/>
    <w:rsid w:val="04B1B0BB"/>
    <w:rsid w:val="04B2668C"/>
    <w:rsid w:val="04B8EEB0"/>
    <w:rsid w:val="04B975AF"/>
    <w:rsid w:val="04BA9BB9"/>
    <w:rsid w:val="04BAC93B"/>
    <w:rsid w:val="04C1E2E4"/>
    <w:rsid w:val="04C5211F"/>
    <w:rsid w:val="04CDB9BB"/>
    <w:rsid w:val="04CDCB14"/>
    <w:rsid w:val="04D2DBDE"/>
    <w:rsid w:val="04D71205"/>
    <w:rsid w:val="04D80CD0"/>
    <w:rsid w:val="04D9D870"/>
    <w:rsid w:val="04DF39C8"/>
    <w:rsid w:val="04DFCC13"/>
    <w:rsid w:val="04E59BE2"/>
    <w:rsid w:val="04EFDE82"/>
    <w:rsid w:val="050C07E7"/>
    <w:rsid w:val="050DF22C"/>
    <w:rsid w:val="05140707"/>
    <w:rsid w:val="05165D9F"/>
    <w:rsid w:val="0517C480"/>
    <w:rsid w:val="05194AD8"/>
    <w:rsid w:val="0519C13F"/>
    <w:rsid w:val="051CEBD9"/>
    <w:rsid w:val="051FC391"/>
    <w:rsid w:val="052345D7"/>
    <w:rsid w:val="0523ED78"/>
    <w:rsid w:val="05285C8A"/>
    <w:rsid w:val="05285F55"/>
    <w:rsid w:val="052C5ABE"/>
    <w:rsid w:val="052F618C"/>
    <w:rsid w:val="0532775C"/>
    <w:rsid w:val="0533CC3F"/>
    <w:rsid w:val="0537CD89"/>
    <w:rsid w:val="053CF590"/>
    <w:rsid w:val="0541082D"/>
    <w:rsid w:val="05417E75"/>
    <w:rsid w:val="05429AB1"/>
    <w:rsid w:val="054481D7"/>
    <w:rsid w:val="0545FCAB"/>
    <w:rsid w:val="0546EA27"/>
    <w:rsid w:val="054A63FD"/>
    <w:rsid w:val="054C5799"/>
    <w:rsid w:val="054F4203"/>
    <w:rsid w:val="0559460C"/>
    <w:rsid w:val="055E0690"/>
    <w:rsid w:val="05629D23"/>
    <w:rsid w:val="05648CB6"/>
    <w:rsid w:val="0565D4C7"/>
    <w:rsid w:val="0566A249"/>
    <w:rsid w:val="0567A3C5"/>
    <w:rsid w:val="056B9182"/>
    <w:rsid w:val="0571C4B8"/>
    <w:rsid w:val="0573A80D"/>
    <w:rsid w:val="05761E73"/>
    <w:rsid w:val="0579DA6C"/>
    <w:rsid w:val="057B98C3"/>
    <w:rsid w:val="057DAD97"/>
    <w:rsid w:val="05816D61"/>
    <w:rsid w:val="058457AF"/>
    <w:rsid w:val="05868B72"/>
    <w:rsid w:val="05894AA2"/>
    <w:rsid w:val="05896D0F"/>
    <w:rsid w:val="0590DC9C"/>
    <w:rsid w:val="0593020E"/>
    <w:rsid w:val="0596E3F1"/>
    <w:rsid w:val="059C27EA"/>
    <w:rsid w:val="059FFD99"/>
    <w:rsid w:val="05A64F83"/>
    <w:rsid w:val="05A74D56"/>
    <w:rsid w:val="05AA071A"/>
    <w:rsid w:val="05AB527E"/>
    <w:rsid w:val="05AB745D"/>
    <w:rsid w:val="05ACFD26"/>
    <w:rsid w:val="05ADA98B"/>
    <w:rsid w:val="05AF201A"/>
    <w:rsid w:val="05AF29A2"/>
    <w:rsid w:val="05B00538"/>
    <w:rsid w:val="05B2CAE8"/>
    <w:rsid w:val="05BA5BBD"/>
    <w:rsid w:val="05BAB584"/>
    <w:rsid w:val="05BC63E1"/>
    <w:rsid w:val="05BF9C39"/>
    <w:rsid w:val="05C10100"/>
    <w:rsid w:val="05C28E32"/>
    <w:rsid w:val="05C71C31"/>
    <w:rsid w:val="05C80507"/>
    <w:rsid w:val="05C96A3B"/>
    <w:rsid w:val="05CEECDB"/>
    <w:rsid w:val="05CF83F5"/>
    <w:rsid w:val="05D49CE2"/>
    <w:rsid w:val="05DE00B6"/>
    <w:rsid w:val="05DE9C7C"/>
    <w:rsid w:val="05DED7C7"/>
    <w:rsid w:val="05DFC7AB"/>
    <w:rsid w:val="05E198E9"/>
    <w:rsid w:val="05E41758"/>
    <w:rsid w:val="05E84992"/>
    <w:rsid w:val="05EE15D1"/>
    <w:rsid w:val="05EFF923"/>
    <w:rsid w:val="05F092CA"/>
    <w:rsid w:val="05F21E36"/>
    <w:rsid w:val="05F5A934"/>
    <w:rsid w:val="05F8879B"/>
    <w:rsid w:val="05FB57D2"/>
    <w:rsid w:val="05FF1B36"/>
    <w:rsid w:val="060574EA"/>
    <w:rsid w:val="06070795"/>
    <w:rsid w:val="060A1F29"/>
    <w:rsid w:val="060BDD9D"/>
    <w:rsid w:val="060C76B0"/>
    <w:rsid w:val="060FCC1C"/>
    <w:rsid w:val="06156288"/>
    <w:rsid w:val="061AC8C7"/>
    <w:rsid w:val="0622E2EF"/>
    <w:rsid w:val="0622EF56"/>
    <w:rsid w:val="06255343"/>
    <w:rsid w:val="06269C55"/>
    <w:rsid w:val="0628C865"/>
    <w:rsid w:val="062EB6C2"/>
    <w:rsid w:val="0631296C"/>
    <w:rsid w:val="06316374"/>
    <w:rsid w:val="06382F9B"/>
    <w:rsid w:val="063A014D"/>
    <w:rsid w:val="063CBF59"/>
    <w:rsid w:val="0640D99A"/>
    <w:rsid w:val="064450CC"/>
    <w:rsid w:val="0646373F"/>
    <w:rsid w:val="0647FE95"/>
    <w:rsid w:val="064E7C45"/>
    <w:rsid w:val="06557D97"/>
    <w:rsid w:val="065AA86C"/>
    <w:rsid w:val="065C8185"/>
    <w:rsid w:val="065DF7B2"/>
    <w:rsid w:val="065F4160"/>
    <w:rsid w:val="066271D5"/>
    <w:rsid w:val="06667D4F"/>
    <w:rsid w:val="0666F9A4"/>
    <w:rsid w:val="066826FE"/>
    <w:rsid w:val="0668ABAC"/>
    <w:rsid w:val="066A46D5"/>
    <w:rsid w:val="066D071F"/>
    <w:rsid w:val="066F0596"/>
    <w:rsid w:val="06767A80"/>
    <w:rsid w:val="067F56E6"/>
    <w:rsid w:val="06808F61"/>
    <w:rsid w:val="06809666"/>
    <w:rsid w:val="0685DF13"/>
    <w:rsid w:val="06863753"/>
    <w:rsid w:val="06866E92"/>
    <w:rsid w:val="0686F376"/>
    <w:rsid w:val="0689BA79"/>
    <w:rsid w:val="068A17E3"/>
    <w:rsid w:val="068B398C"/>
    <w:rsid w:val="068DF86C"/>
    <w:rsid w:val="06927A4D"/>
    <w:rsid w:val="0695FE31"/>
    <w:rsid w:val="069C9DA6"/>
    <w:rsid w:val="069E4152"/>
    <w:rsid w:val="069E9A1D"/>
    <w:rsid w:val="06A1F87C"/>
    <w:rsid w:val="06A57A86"/>
    <w:rsid w:val="06A87380"/>
    <w:rsid w:val="06ABC35F"/>
    <w:rsid w:val="06ABC68E"/>
    <w:rsid w:val="06AD7916"/>
    <w:rsid w:val="06ADB60A"/>
    <w:rsid w:val="06B4CCFA"/>
    <w:rsid w:val="06B9A05F"/>
    <w:rsid w:val="06C2C5EB"/>
    <w:rsid w:val="06C2D3C0"/>
    <w:rsid w:val="06C51043"/>
    <w:rsid w:val="06C7DCFE"/>
    <w:rsid w:val="06C7FB96"/>
    <w:rsid w:val="06CCB17F"/>
    <w:rsid w:val="06CCC953"/>
    <w:rsid w:val="06CF3E8C"/>
    <w:rsid w:val="06CFF752"/>
    <w:rsid w:val="06D2A86E"/>
    <w:rsid w:val="06D67ED3"/>
    <w:rsid w:val="06D91A27"/>
    <w:rsid w:val="06DBA7BA"/>
    <w:rsid w:val="06E17F0C"/>
    <w:rsid w:val="06E32AF9"/>
    <w:rsid w:val="06E5978A"/>
    <w:rsid w:val="06E9CCC5"/>
    <w:rsid w:val="06EEFB30"/>
    <w:rsid w:val="06F6C56E"/>
    <w:rsid w:val="06F6D8E2"/>
    <w:rsid w:val="06F83FA4"/>
    <w:rsid w:val="06F98D89"/>
    <w:rsid w:val="06FDCD2C"/>
    <w:rsid w:val="070243CF"/>
    <w:rsid w:val="0704DCCF"/>
    <w:rsid w:val="0705A979"/>
    <w:rsid w:val="0705F0EE"/>
    <w:rsid w:val="070C0CFE"/>
    <w:rsid w:val="070C20E8"/>
    <w:rsid w:val="07147427"/>
    <w:rsid w:val="0714C027"/>
    <w:rsid w:val="0716A7FC"/>
    <w:rsid w:val="0716E8DE"/>
    <w:rsid w:val="07175CF4"/>
    <w:rsid w:val="07198717"/>
    <w:rsid w:val="0720CDB5"/>
    <w:rsid w:val="0722651E"/>
    <w:rsid w:val="07231466"/>
    <w:rsid w:val="07240CFE"/>
    <w:rsid w:val="0728DABD"/>
    <w:rsid w:val="072F9F3B"/>
    <w:rsid w:val="0730B646"/>
    <w:rsid w:val="0735078C"/>
    <w:rsid w:val="0736C143"/>
    <w:rsid w:val="0737E7B5"/>
    <w:rsid w:val="0739C888"/>
    <w:rsid w:val="073B1EAA"/>
    <w:rsid w:val="073EC42F"/>
    <w:rsid w:val="07405125"/>
    <w:rsid w:val="07413B61"/>
    <w:rsid w:val="074267DA"/>
    <w:rsid w:val="0743A4B4"/>
    <w:rsid w:val="0745ACD6"/>
    <w:rsid w:val="0745BDD4"/>
    <w:rsid w:val="07462E30"/>
    <w:rsid w:val="0748613C"/>
    <w:rsid w:val="074A2EC3"/>
    <w:rsid w:val="075046A2"/>
    <w:rsid w:val="0750FD4D"/>
    <w:rsid w:val="0751110E"/>
    <w:rsid w:val="07553B88"/>
    <w:rsid w:val="075EE112"/>
    <w:rsid w:val="07616DB4"/>
    <w:rsid w:val="07671185"/>
    <w:rsid w:val="0767740A"/>
    <w:rsid w:val="076AC412"/>
    <w:rsid w:val="076CF408"/>
    <w:rsid w:val="07723397"/>
    <w:rsid w:val="077A1D15"/>
    <w:rsid w:val="077FADDD"/>
    <w:rsid w:val="0780164E"/>
    <w:rsid w:val="07803BD0"/>
    <w:rsid w:val="07825D8A"/>
    <w:rsid w:val="078634A1"/>
    <w:rsid w:val="0786D7C1"/>
    <w:rsid w:val="07886130"/>
    <w:rsid w:val="078A4A17"/>
    <w:rsid w:val="078B6652"/>
    <w:rsid w:val="078C423A"/>
    <w:rsid w:val="078CB1D6"/>
    <w:rsid w:val="078D4920"/>
    <w:rsid w:val="078E31E9"/>
    <w:rsid w:val="079190CD"/>
    <w:rsid w:val="0797FBF1"/>
    <w:rsid w:val="07981EEC"/>
    <w:rsid w:val="0799ADBC"/>
    <w:rsid w:val="079B9AC9"/>
    <w:rsid w:val="079CFA1B"/>
    <w:rsid w:val="079D2394"/>
    <w:rsid w:val="079DE8BE"/>
    <w:rsid w:val="07A04369"/>
    <w:rsid w:val="07A0CDCD"/>
    <w:rsid w:val="07A13A64"/>
    <w:rsid w:val="07A19952"/>
    <w:rsid w:val="07A4C964"/>
    <w:rsid w:val="07A62478"/>
    <w:rsid w:val="07A8DECD"/>
    <w:rsid w:val="07C203C3"/>
    <w:rsid w:val="07C21D3E"/>
    <w:rsid w:val="07C6C47B"/>
    <w:rsid w:val="07C9FE3D"/>
    <w:rsid w:val="07CA7533"/>
    <w:rsid w:val="07CB3653"/>
    <w:rsid w:val="07D14DEC"/>
    <w:rsid w:val="07D4E608"/>
    <w:rsid w:val="07D757CB"/>
    <w:rsid w:val="07DC966D"/>
    <w:rsid w:val="07DF9B3B"/>
    <w:rsid w:val="07E387EF"/>
    <w:rsid w:val="07E3EA8E"/>
    <w:rsid w:val="07E52F94"/>
    <w:rsid w:val="07E5488D"/>
    <w:rsid w:val="07EE5A0F"/>
    <w:rsid w:val="07F02BAF"/>
    <w:rsid w:val="07F2AA17"/>
    <w:rsid w:val="07F9FA5D"/>
    <w:rsid w:val="07FAE254"/>
    <w:rsid w:val="07FD3004"/>
    <w:rsid w:val="0801BDE3"/>
    <w:rsid w:val="08046AC5"/>
    <w:rsid w:val="080693BC"/>
    <w:rsid w:val="080928A0"/>
    <w:rsid w:val="080BFF01"/>
    <w:rsid w:val="080F6E39"/>
    <w:rsid w:val="0810257A"/>
    <w:rsid w:val="0812C2C3"/>
    <w:rsid w:val="0814FA49"/>
    <w:rsid w:val="081A5058"/>
    <w:rsid w:val="081BD881"/>
    <w:rsid w:val="0820405F"/>
    <w:rsid w:val="0824C354"/>
    <w:rsid w:val="082D4217"/>
    <w:rsid w:val="0832C5FE"/>
    <w:rsid w:val="08348811"/>
    <w:rsid w:val="0835F285"/>
    <w:rsid w:val="08361254"/>
    <w:rsid w:val="083619CA"/>
    <w:rsid w:val="08379ED1"/>
    <w:rsid w:val="0837B2CF"/>
    <w:rsid w:val="083C514F"/>
    <w:rsid w:val="0842CE3C"/>
    <w:rsid w:val="0846564D"/>
    <w:rsid w:val="08541B41"/>
    <w:rsid w:val="08546B5D"/>
    <w:rsid w:val="08562785"/>
    <w:rsid w:val="085927C2"/>
    <w:rsid w:val="085A7FFA"/>
    <w:rsid w:val="085C164A"/>
    <w:rsid w:val="085C27D4"/>
    <w:rsid w:val="086122E5"/>
    <w:rsid w:val="086619D5"/>
    <w:rsid w:val="08683DC8"/>
    <w:rsid w:val="0869D1BD"/>
    <w:rsid w:val="086AD59D"/>
    <w:rsid w:val="08711328"/>
    <w:rsid w:val="08783291"/>
    <w:rsid w:val="087D4778"/>
    <w:rsid w:val="08812E88"/>
    <w:rsid w:val="08822DB4"/>
    <w:rsid w:val="08879C99"/>
    <w:rsid w:val="088A470C"/>
    <w:rsid w:val="088B17D8"/>
    <w:rsid w:val="088BDC09"/>
    <w:rsid w:val="088F1DB9"/>
    <w:rsid w:val="089AB821"/>
    <w:rsid w:val="08A01E85"/>
    <w:rsid w:val="08A0D169"/>
    <w:rsid w:val="08A2E2A4"/>
    <w:rsid w:val="08A41CFC"/>
    <w:rsid w:val="08A6285D"/>
    <w:rsid w:val="08A76C8C"/>
    <w:rsid w:val="08A9960C"/>
    <w:rsid w:val="08AF2FD5"/>
    <w:rsid w:val="08AF698B"/>
    <w:rsid w:val="08BA574C"/>
    <w:rsid w:val="08BE0225"/>
    <w:rsid w:val="08C0BB48"/>
    <w:rsid w:val="08C72B1F"/>
    <w:rsid w:val="08CBF5EC"/>
    <w:rsid w:val="08CF1589"/>
    <w:rsid w:val="08D2D36D"/>
    <w:rsid w:val="08D40ADA"/>
    <w:rsid w:val="08D537EA"/>
    <w:rsid w:val="08D68D82"/>
    <w:rsid w:val="08D83206"/>
    <w:rsid w:val="08D83BC4"/>
    <w:rsid w:val="08DA0046"/>
    <w:rsid w:val="08DCD2F5"/>
    <w:rsid w:val="08DD2F9F"/>
    <w:rsid w:val="08E02529"/>
    <w:rsid w:val="08E0A3C5"/>
    <w:rsid w:val="08E6A683"/>
    <w:rsid w:val="08E7AD3B"/>
    <w:rsid w:val="08E7BC58"/>
    <w:rsid w:val="08EAF536"/>
    <w:rsid w:val="08EBA67F"/>
    <w:rsid w:val="08EE4796"/>
    <w:rsid w:val="08F033A3"/>
    <w:rsid w:val="08F0ED8A"/>
    <w:rsid w:val="08F2ADEB"/>
    <w:rsid w:val="08F50349"/>
    <w:rsid w:val="08FBBCA9"/>
    <w:rsid w:val="0904DD58"/>
    <w:rsid w:val="0905CF0B"/>
    <w:rsid w:val="09097511"/>
    <w:rsid w:val="0909792F"/>
    <w:rsid w:val="090B1A03"/>
    <w:rsid w:val="090C0D00"/>
    <w:rsid w:val="090F2997"/>
    <w:rsid w:val="0910154C"/>
    <w:rsid w:val="0910F728"/>
    <w:rsid w:val="0916D8CD"/>
    <w:rsid w:val="091D7EF1"/>
    <w:rsid w:val="092031DC"/>
    <w:rsid w:val="09241E28"/>
    <w:rsid w:val="0924534A"/>
    <w:rsid w:val="0924D42B"/>
    <w:rsid w:val="09269976"/>
    <w:rsid w:val="092A5F26"/>
    <w:rsid w:val="092AC932"/>
    <w:rsid w:val="092BEFA5"/>
    <w:rsid w:val="0935B8B9"/>
    <w:rsid w:val="093686E6"/>
    <w:rsid w:val="0937701D"/>
    <w:rsid w:val="093A3C3A"/>
    <w:rsid w:val="093EBF97"/>
    <w:rsid w:val="0947E239"/>
    <w:rsid w:val="0948B04A"/>
    <w:rsid w:val="094DEDC1"/>
    <w:rsid w:val="0954BDF1"/>
    <w:rsid w:val="095E30F0"/>
    <w:rsid w:val="0962ACA9"/>
    <w:rsid w:val="096316B1"/>
    <w:rsid w:val="096437EA"/>
    <w:rsid w:val="0965AFA0"/>
    <w:rsid w:val="096AB4F0"/>
    <w:rsid w:val="096E5321"/>
    <w:rsid w:val="096ED220"/>
    <w:rsid w:val="096F0896"/>
    <w:rsid w:val="09712E4A"/>
    <w:rsid w:val="0972F27F"/>
    <w:rsid w:val="09757776"/>
    <w:rsid w:val="097CCD2D"/>
    <w:rsid w:val="09819BD0"/>
    <w:rsid w:val="09840707"/>
    <w:rsid w:val="098AA3A0"/>
    <w:rsid w:val="098CAA80"/>
    <w:rsid w:val="098F4379"/>
    <w:rsid w:val="09913279"/>
    <w:rsid w:val="09964F75"/>
    <w:rsid w:val="099F464D"/>
    <w:rsid w:val="09A0C771"/>
    <w:rsid w:val="09A16A4B"/>
    <w:rsid w:val="09A1C99D"/>
    <w:rsid w:val="09A430AD"/>
    <w:rsid w:val="09A74366"/>
    <w:rsid w:val="09AAD0F7"/>
    <w:rsid w:val="09AE8685"/>
    <w:rsid w:val="09AE8C23"/>
    <w:rsid w:val="09B32B25"/>
    <w:rsid w:val="09B5D4AF"/>
    <w:rsid w:val="09B63ED4"/>
    <w:rsid w:val="09B83BA0"/>
    <w:rsid w:val="09B8451F"/>
    <w:rsid w:val="09B963B7"/>
    <w:rsid w:val="09BC2C5F"/>
    <w:rsid w:val="09BDEF94"/>
    <w:rsid w:val="09CA1AC9"/>
    <w:rsid w:val="09CE391A"/>
    <w:rsid w:val="09D57D39"/>
    <w:rsid w:val="09DD5C9F"/>
    <w:rsid w:val="09DDF089"/>
    <w:rsid w:val="09DFC2F5"/>
    <w:rsid w:val="09DFF3F5"/>
    <w:rsid w:val="09DFF45F"/>
    <w:rsid w:val="09E5454B"/>
    <w:rsid w:val="09EB7FC1"/>
    <w:rsid w:val="09EFEDD0"/>
    <w:rsid w:val="09F0B354"/>
    <w:rsid w:val="09F78738"/>
    <w:rsid w:val="09F81FC8"/>
    <w:rsid w:val="09FF726C"/>
    <w:rsid w:val="09FFEBBC"/>
    <w:rsid w:val="0A145238"/>
    <w:rsid w:val="0A150862"/>
    <w:rsid w:val="0A16BF80"/>
    <w:rsid w:val="0A1C68CD"/>
    <w:rsid w:val="0A1C8E2F"/>
    <w:rsid w:val="0A1D0C3D"/>
    <w:rsid w:val="0A1EDF58"/>
    <w:rsid w:val="0A20BC6C"/>
    <w:rsid w:val="0A22501C"/>
    <w:rsid w:val="0A284CA5"/>
    <w:rsid w:val="0A289D5C"/>
    <w:rsid w:val="0A28B32B"/>
    <w:rsid w:val="0A2C4AB6"/>
    <w:rsid w:val="0A2D71A9"/>
    <w:rsid w:val="0A334534"/>
    <w:rsid w:val="0A38609B"/>
    <w:rsid w:val="0A3C3967"/>
    <w:rsid w:val="0A425AF6"/>
    <w:rsid w:val="0A4453DB"/>
    <w:rsid w:val="0A491234"/>
    <w:rsid w:val="0A4A5419"/>
    <w:rsid w:val="0A4D04D9"/>
    <w:rsid w:val="0A500A22"/>
    <w:rsid w:val="0A52D349"/>
    <w:rsid w:val="0A5E97AB"/>
    <w:rsid w:val="0A60AA9D"/>
    <w:rsid w:val="0A619811"/>
    <w:rsid w:val="0A61E376"/>
    <w:rsid w:val="0A670F8F"/>
    <w:rsid w:val="0A68A434"/>
    <w:rsid w:val="0A69ED96"/>
    <w:rsid w:val="0A6E3086"/>
    <w:rsid w:val="0A6F7202"/>
    <w:rsid w:val="0A7E3D5A"/>
    <w:rsid w:val="0A7EDC39"/>
    <w:rsid w:val="0A7F2EDD"/>
    <w:rsid w:val="0A808340"/>
    <w:rsid w:val="0A8253D1"/>
    <w:rsid w:val="0A8698F8"/>
    <w:rsid w:val="0A87C2FA"/>
    <w:rsid w:val="0A87DF5A"/>
    <w:rsid w:val="0A8834D3"/>
    <w:rsid w:val="0A90FB05"/>
    <w:rsid w:val="0A930923"/>
    <w:rsid w:val="0A974D55"/>
    <w:rsid w:val="0A9A037E"/>
    <w:rsid w:val="0A9A5599"/>
    <w:rsid w:val="0A9B7F3E"/>
    <w:rsid w:val="0A9C38BF"/>
    <w:rsid w:val="0A9C96DF"/>
    <w:rsid w:val="0A9DEEED"/>
    <w:rsid w:val="0A9F0918"/>
    <w:rsid w:val="0AA0673C"/>
    <w:rsid w:val="0AA392AE"/>
    <w:rsid w:val="0AA3D371"/>
    <w:rsid w:val="0AA6961A"/>
    <w:rsid w:val="0AAA48C0"/>
    <w:rsid w:val="0AB12278"/>
    <w:rsid w:val="0AB3CB8C"/>
    <w:rsid w:val="0AB42825"/>
    <w:rsid w:val="0AB5FD8B"/>
    <w:rsid w:val="0AB92F1F"/>
    <w:rsid w:val="0ABAFD49"/>
    <w:rsid w:val="0ABBEDFE"/>
    <w:rsid w:val="0ABD30F9"/>
    <w:rsid w:val="0AC77B26"/>
    <w:rsid w:val="0ACD8C80"/>
    <w:rsid w:val="0ACE7765"/>
    <w:rsid w:val="0AD0EE30"/>
    <w:rsid w:val="0ADB7D00"/>
    <w:rsid w:val="0ADBAD9C"/>
    <w:rsid w:val="0AE05342"/>
    <w:rsid w:val="0AE55D70"/>
    <w:rsid w:val="0AE743A3"/>
    <w:rsid w:val="0AE862D4"/>
    <w:rsid w:val="0AEAFA5D"/>
    <w:rsid w:val="0AF039D5"/>
    <w:rsid w:val="0AF41F65"/>
    <w:rsid w:val="0AF4750B"/>
    <w:rsid w:val="0AF4EEEC"/>
    <w:rsid w:val="0AFA19E8"/>
    <w:rsid w:val="0B01FD70"/>
    <w:rsid w:val="0B02DFDB"/>
    <w:rsid w:val="0B039D6D"/>
    <w:rsid w:val="0B072B46"/>
    <w:rsid w:val="0B0CDAEE"/>
    <w:rsid w:val="0B0E8BCD"/>
    <w:rsid w:val="0B104930"/>
    <w:rsid w:val="0B12C0FA"/>
    <w:rsid w:val="0B15309D"/>
    <w:rsid w:val="0B15D460"/>
    <w:rsid w:val="0B18AC3B"/>
    <w:rsid w:val="0B1EECEF"/>
    <w:rsid w:val="0B2187B8"/>
    <w:rsid w:val="0B2188E8"/>
    <w:rsid w:val="0B238FB2"/>
    <w:rsid w:val="0B2AB4F2"/>
    <w:rsid w:val="0B2E960E"/>
    <w:rsid w:val="0B3088C6"/>
    <w:rsid w:val="0B364A9C"/>
    <w:rsid w:val="0B366820"/>
    <w:rsid w:val="0B389692"/>
    <w:rsid w:val="0B3A0AFB"/>
    <w:rsid w:val="0B3AEDFF"/>
    <w:rsid w:val="0B3BB8C3"/>
    <w:rsid w:val="0B3F86F4"/>
    <w:rsid w:val="0B45441C"/>
    <w:rsid w:val="0B45CD59"/>
    <w:rsid w:val="0B46C36B"/>
    <w:rsid w:val="0B4C92C2"/>
    <w:rsid w:val="0B543208"/>
    <w:rsid w:val="0B5A6BC7"/>
    <w:rsid w:val="0B66BAC9"/>
    <w:rsid w:val="0B677CCD"/>
    <w:rsid w:val="0B6A76B6"/>
    <w:rsid w:val="0B6E1B70"/>
    <w:rsid w:val="0B7077AE"/>
    <w:rsid w:val="0B7178D1"/>
    <w:rsid w:val="0B79D2C0"/>
    <w:rsid w:val="0B7BD4CB"/>
    <w:rsid w:val="0B7C4D9A"/>
    <w:rsid w:val="0B84D534"/>
    <w:rsid w:val="0B88390B"/>
    <w:rsid w:val="0B8D5746"/>
    <w:rsid w:val="0B953F11"/>
    <w:rsid w:val="0B99DAFC"/>
    <w:rsid w:val="0B9BFD43"/>
    <w:rsid w:val="0BA4D31B"/>
    <w:rsid w:val="0BA6CDFE"/>
    <w:rsid w:val="0BA6E297"/>
    <w:rsid w:val="0BA8FCC4"/>
    <w:rsid w:val="0BAE058C"/>
    <w:rsid w:val="0BAE6606"/>
    <w:rsid w:val="0BB32921"/>
    <w:rsid w:val="0BB3CB10"/>
    <w:rsid w:val="0BC03B80"/>
    <w:rsid w:val="0BC096D2"/>
    <w:rsid w:val="0BC29294"/>
    <w:rsid w:val="0BC2FA7F"/>
    <w:rsid w:val="0BC3FCD0"/>
    <w:rsid w:val="0BC4D65F"/>
    <w:rsid w:val="0BC65C12"/>
    <w:rsid w:val="0BC7C656"/>
    <w:rsid w:val="0BC87143"/>
    <w:rsid w:val="0BC9F445"/>
    <w:rsid w:val="0BD46AF8"/>
    <w:rsid w:val="0BD47AE1"/>
    <w:rsid w:val="0BD534CD"/>
    <w:rsid w:val="0BD5824B"/>
    <w:rsid w:val="0BD5CAE8"/>
    <w:rsid w:val="0BD83BB6"/>
    <w:rsid w:val="0BDC9758"/>
    <w:rsid w:val="0BDF2ECB"/>
    <w:rsid w:val="0BDFD31B"/>
    <w:rsid w:val="0BDFF041"/>
    <w:rsid w:val="0BE387C6"/>
    <w:rsid w:val="0BE57790"/>
    <w:rsid w:val="0BED3BEA"/>
    <w:rsid w:val="0BEDF92B"/>
    <w:rsid w:val="0BEE7A30"/>
    <w:rsid w:val="0BEF7AB7"/>
    <w:rsid w:val="0BF2DAE6"/>
    <w:rsid w:val="0BFF538F"/>
    <w:rsid w:val="0C014F1A"/>
    <w:rsid w:val="0C02192B"/>
    <w:rsid w:val="0C061422"/>
    <w:rsid w:val="0C0AE55F"/>
    <w:rsid w:val="0C0FB455"/>
    <w:rsid w:val="0C16EF19"/>
    <w:rsid w:val="0C1B6964"/>
    <w:rsid w:val="0C1FADA8"/>
    <w:rsid w:val="0C21A73B"/>
    <w:rsid w:val="0C28649C"/>
    <w:rsid w:val="0C34114D"/>
    <w:rsid w:val="0C3447F4"/>
    <w:rsid w:val="0C3587CC"/>
    <w:rsid w:val="0C4362A8"/>
    <w:rsid w:val="0C466B99"/>
    <w:rsid w:val="0C4DA563"/>
    <w:rsid w:val="0C4E784C"/>
    <w:rsid w:val="0C53D63A"/>
    <w:rsid w:val="0C5C4208"/>
    <w:rsid w:val="0C5D4E2D"/>
    <w:rsid w:val="0C5DAED5"/>
    <w:rsid w:val="0C5EE232"/>
    <w:rsid w:val="0C5F583D"/>
    <w:rsid w:val="0C5FE036"/>
    <w:rsid w:val="0C602E68"/>
    <w:rsid w:val="0C6D33F4"/>
    <w:rsid w:val="0C6E73BF"/>
    <w:rsid w:val="0C71A8F6"/>
    <w:rsid w:val="0C79A7E6"/>
    <w:rsid w:val="0C79FA6A"/>
    <w:rsid w:val="0C7C0B1C"/>
    <w:rsid w:val="0C825752"/>
    <w:rsid w:val="0C86E14B"/>
    <w:rsid w:val="0C8815BC"/>
    <w:rsid w:val="0C8B6144"/>
    <w:rsid w:val="0C8BB676"/>
    <w:rsid w:val="0C8DD661"/>
    <w:rsid w:val="0C8F6486"/>
    <w:rsid w:val="0C8FA194"/>
    <w:rsid w:val="0C909661"/>
    <w:rsid w:val="0C9ADB38"/>
    <w:rsid w:val="0C9E8D60"/>
    <w:rsid w:val="0CADFF32"/>
    <w:rsid w:val="0CB1E528"/>
    <w:rsid w:val="0CB36613"/>
    <w:rsid w:val="0CB480B2"/>
    <w:rsid w:val="0CBABF7A"/>
    <w:rsid w:val="0CBECED8"/>
    <w:rsid w:val="0CC0203A"/>
    <w:rsid w:val="0CC070A4"/>
    <w:rsid w:val="0CC16333"/>
    <w:rsid w:val="0CC97226"/>
    <w:rsid w:val="0CCD7612"/>
    <w:rsid w:val="0CCDFE51"/>
    <w:rsid w:val="0CD34E07"/>
    <w:rsid w:val="0CD3F69E"/>
    <w:rsid w:val="0CD4EA32"/>
    <w:rsid w:val="0CD67250"/>
    <w:rsid w:val="0CD72B2B"/>
    <w:rsid w:val="0CD9A438"/>
    <w:rsid w:val="0CDA65A9"/>
    <w:rsid w:val="0CDDDE5F"/>
    <w:rsid w:val="0CE10544"/>
    <w:rsid w:val="0CE61996"/>
    <w:rsid w:val="0CEF9625"/>
    <w:rsid w:val="0CFA1BEB"/>
    <w:rsid w:val="0CFABC72"/>
    <w:rsid w:val="0CFBB4D4"/>
    <w:rsid w:val="0CFD169F"/>
    <w:rsid w:val="0CFF02E8"/>
    <w:rsid w:val="0D058E52"/>
    <w:rsid w:val="0D0B490A"/>
    <w:rsid w:val="0D0C4965"/>
    <w:rsid w:val="0D0CF153"/>
    <w:rsid w:val="0D0ED8D7"/>
    <w:rsid w:val="0D0EFFE9"/>
    <w:rsid w:val="0D121AC1"/>
    <w:rsid w:val="0D137DD0"/>
    <w:rsid w:val="0D155D86"/>
    <w:rsid w:val="0D1F461F"/>
    <w:rsid w:val="0D24590E"/>
    <w:rsid w:val="0D2C3CAD"/>
    <w:rsid w:val="0D2F3667"/>
    <w:rsid w:val="0D324CEB"/>
    <w:rsid w:val="0D3E25CE"/>
    <w:rsid w:val="0D469D93"/>
    <w:rsid w:val="0D46E044"/>
    <w:rsid w:val="0D4729A6"/>
    <w:rsid w:val="0D51A2F8"/>
    <w:rsid w:val="0D54DA43"/>
    <w:rsid w:val="0D56F950"/>
    <w:rsid w:val="0D59012C"/>
    <w:rsid w:val="0D5F661C"/>
    <w:rsid w:val="0D60C51D"/>
    <w:rsid w:val="0D636EEF"/>
    <w:rsid w:val="0D64AE8B"/>
    <w:rsid w:val="0D6837C2"/>
    <w:rsid w:val="0D684C37"/>
    <w:rsid w:val="0D6FF87E"/>
    <w:rsid w:val="0D70BD3B"/>
    <w:rsid w:val="0D749802"/>
    <w:rsid w:val="0D78FC38"/>
    <w:rsid w:val="0D7A9E05"/>
    <w:rsid w:val="0D7CF0BF"/>
    <w:rsid w:val="0D7F5DCB"/>
    <w:rsid w:val="0D84CFCA"/>
    <w:rsid w:val="0D87310C"/>
    <w:rsid w:val="0D8A12BB"/>
    <w:rsid w:val="0D8A33E4"/>
    <w:rsid w:val="0D8B0D01"/>
    <w:rsid w:val="0D8B48F9"/>
    <w:rsid w:val="0D9486CC"/>
    <w:rsid w:val="0D94FAD7"/>
    <w:rsid w:val="0D980AAA"/>
    <w:rsid w:val="0D98185A"/>
    <w:rsid w:val="0D9D3E73"/>
    <w:rsid w:val="0D9D5DB9"/>
    <w:rsid w:val="0D9D8FCC"/>
    <w:rsid w:val="0D9E3AB8"/>
    <w:rsid w:val="0DA01BEB"/>
    <w:rsid w:val="0DA61C61"/>
    <w:rsid w:val="0DA630D9"/>
    <w:rsid w:val="0DAADCA5"/>
    <w:rsid w:val="0DACDF67"/>
    <w:rsid w:val="0DB8B5E3"/>
    <w:rsid w:val="0DB9CF66"/>
    <w:rsid w:val="0DBB7B86"/>
    <w:rsid w:val="0DBFA258"/>
    <w:rsid w:val="0DC0080D"/>
    <w:rsid w:val="0DC207E7"/>
    <w:rsid w:val="0DC4AAEC"/>
    <w:rsid w:val="0DC7EB48"/>
    <w:rsid w:val="0DC9CEFD"/>
    <w:rsid w:val="0DD022AF"/>
    <w:rsid w:val="0DD208C8"/>
    <w:rsid w:val="0DDCFA5E"/>
    <w:rsid w:val="0DDD99D1"/>
    <w:rsid w:val="0DDF92FC"/>
    <w:rsid w:val="0DE06025"/>
    <w:rsid w:val="0DE0E322"/>
    <w:rsid w:val="0DE5F7AF"/>
    <w:rsid w:val="0DE8F5C8"/>
    <w:rsid w:val="0DEBE66B"/>
    <w:rsid w:val="0DECF5F1"/>
    <w:rsid w:val="0DF20DA2"/>
    <w:rsid w:val="0DFB05DA"/>
    <w:rsid w:val="0DFC09AF"/>
    <w:rsid w:val="0DFC33B5"/>
    <w:rsid w:val="0E003175"/>
    <w:rsid w:val="0E029EF1"/>
    <w:rsid w:val="0E032EC1"/>
    <w:rsid w:val="0E03580F"/>
    <w:rsid w:val="0E0450CB"/>
    <w:rsid w:val="0E04BC5C"/>
    <w:rsid w:val="0E060D9A"/>
    <w:rsid w:val="0E084FB6"/>
    <w:rsid w:val="0E09EB0E"/>
    <w:rsid w:val="0E0BE513"/>
    <w:rsid w:val="0E0E5C35"/>
    <w:rsid w:val="0E12A674"/>
    <w:rsid w:val="0E14C78F"/>
    <w:rsid w:val="0E17001C"/>
    <w:rsid w:val="0E178913"/>
    <w:rsid w:val="0E18DB6A"/>
    <w:rsid w:val="0E1E1760"/>
    <w:rsid w:val="0E28AF8D"/>
    <w:rsid w:val="0E2938BC"/>
    <w:rsid w:val="0E298EC7"/>
    <w:rsid w:val="0E29EC10"/>
    <w:rsid w:val="0E330F5D"/>
    <w:rsid w:val="0E334A23"/>
    <w:rsid w:val="0E38BC9D"/>
    <w:rsid w:val="0E3B15B8"/>
    <w:rsid w:val="0E3BD276"/>
    <w:rsid w:val="0E402180"/>
    <w:rsid w:val="0E44B731"/>
    <w:rsid w:val="0E48BA0C"/>
    <w:rsid w:val="0E48C489"/>
    <w:rsid w:val="0E4B1992"/>
    <w:rsid w:val="0E4B8AF7"/>
    <w:rsid w:val="0E4D4FDB"/>
    <w:rsid w:val="0E503AC6"/>
    <w:rsid w:val="0E586D61"/>
    <w:rsid w:val="0E5ABBCF"/>
    <w:rsid w:val="0E602129"/>
    <w:rsid w:val="0E60EC0F"/>
    <w:rsid w:val="0E60EFF1"/>
    <w:rsid w:val="0E669D2D"/>
    <w:rsid w:val="0E679482"/>
    <w:rsid w:val="0E67A26F"/>
    <w:rsid w:val="0E6BC8D4"/>
    <w:rsid w:val="0E6BD54F"/>
    <w:rsid w:val="0E6BD6F4"/>
    <w:rsid w:val="0E6ED154"/>
    <w:rsid w:val="0E72D4B8"/>
    <w:rsid w:val="0E752CC1"/>
    <w:rsid w:val="0E7857BA"/>
    <w:rsid w:val="0E7D39A0"/>
    <w:rsid w:val="0E8665EB"/>
    <w:rsid w:val="0E8B9488"/>
    <w:rsid w:val="0E90E738"/>
    <w:rsid w:val="0E92764A"/>
    <w:rsid w:val="0E989AF9"/>
    <w:rsid w:val="0E98D735"/>
    <w:rsid w:val="0E9B02D5"/>
    <w:rsid w:val="0E9B6AA8"/>
    <w:rsid w:val="0EA10A08"/>
    <w:rsid w:val="0EA4856D"/>
    <w:rsid w:val="0EA9F28D"/>
    <w:rsid w:val="0EAD480E"/>
    <w:rsid w:val="0EB09AA6"/>
    <w:rsid w:val="0EB0A672"/>
    <w:rsid w:val="0EB76B68"/>
    <w:rsid w:val="0EB91D42"/>
    <w:rsid w:val="0EBEF6D6"/>
    <w:rsid w:val="0EC230C3"/>
    <w:rsid w:val="0EC511E4"/>
    <w:rsid w:val="0ECA0C90"/>
    <w:rsid w:val="0ECBCB6D"/>
    <w:rsid w:val="0ECE8152"/>
    <w:rsid w:val="0ECFEFAB"/>
    <w:rsid w:val="0ED0E350"/>
    <w:rsid w:val="0ED309EC"/>
    <w:rsid w:val="0ED43E2B"/>
    <w:rsid w:val="0EDC9513"/>
    <w:rsid w:val="0EE019C8"/>
    <w:rsid w:val="0EE1BBD2"/>
    <w:rsid w:val="0EE39C2E"/>
    <w:rsid w:val="0EE5E771"/>
    <w:rsid w:val="0EE89293"/>
    <w:rsid w:val="0EEF186F"/>
    <w:rsid w:val="0EF0B76E"/>
    <w:rsid w:val="0EF1FF03"/>
    <w:rsid w:val="0EF25561"/>
    <w:rsid w:val="0EF335A4"/>
    <w:rsid w:val="0EF58D76"/>
    <w:rsid w:val="0EF68586"/>
    <w:rsid w:val="0EF7C9BD"/>
    <w:rsid w:val="0EF86032"/>
    <w:rsid w:val="0EFFC6F3"/>
    <w:rsid w:val="0F00A938"/>
    <w:rsid w:val="0F0197B4"/>
    <w:rsid w:val="0F01E249"/>
    <w:rsid w:val="0F0285DF"/>
    <w:rsid w:val="0F04CC0C"/>
    <w:rsid w:val="0F078C1C"/>
    <w:rsid w:val="0F0EA14C"/>
    <w:rsid w:val="0F11890C"/>
    <w:rsid w:val="0F124776"/>
    <w:rsid w:val="0F139A7B"/>
    <w:rsid w:val="0F144088"/>
    <w:rsid w:val="0F178457"/>
    <w:rsid w:val="0F17FB38"/>
    <w:rsid w:val="0F1AFD8F"/>
    <w:rsid w:val="0F1D44F9"/>
    <w:rsid w:val="0F1F4FDA"/>
    <w:rsid w:val="0F23D9A4"/>
    <w:rsid w:val="0F287C51"/>
    <w:rsid w:val="0F29EC9B"/>
    <w:rsid w:val="0F2A064C"/>
    <w:rsid w:val="0F2BB01E"/>
    <w:rsid w:val="0F2BE720"/>
    <w:rsid w:val="0F2FB6DE"/>
    <w:rsid w:val="0F32C923"/>
    <w:rsid w:val="0F32E63C"/>
    <w:rsid w:val="0F388F67"/>
    <w:rsid w:val="0F3B04F2"/>
    <w:rsid w:val="0F3B2AF6"/>
    <w:rsid w:val="0F3B690B"/>
    <w:rsid w:val="0F3CF030"/>
    <w:rsid w:val="0F3FE0BA"/>
    <w:rsid w:val="0F4453E1"/>
    <w:rsid w:val="0F463E18"/>
    <w:rsid w:val="0F48BB86"/>
    <w:rsid w:val="0F48F54D"/>
    <w:rsid w:val="0F50EB42"/>
    <w:rsid w:val="0F531B01"/>
    <w:rsid w:val="0F53242D"/>
    <w:rsid w:val="0F535359"/>
    <w:rsid w:val="0F56FA87"/>
    <w:rsid w:val="0F58E145"/>
    <w:rsid w:val="0F5B12A4"/>
    <w:rsid w:val="0F5C63DF"/>
    <w:rsid w:val="0F654F7A"/>
    <w:rsid w:val="0F669049"/>
    <w:rsid w:val="0F6974D0"/>
    <w:rsid w:val="0F708DBF"/>
    <w:rsid w:val="0F710979"/>
    <w:rsid w:val="0F723B58"/>
    <w:rsid w:val="0F725F21"/>
    <w:rsid w:val="0F72BB34"/>
    <w:rsid w:val="0F744756"/>
    <w:rsid w:val="0F775735"/>
    <w:rsid w:val="0F7B602D"/>
    <w:rsid w:val="0F7BAD6A"/>
    <w:rsid w:val="0F7E9CE3"/>
    <w:rsid w:val="0F7EA63C"/>
    <w:rsid w:val="0F7F2466"/>
    <w:rsid w:val="0F8108E9"/>
    <w:rsid w:val="0F81D0AF"/>
    <w:rsid w:val="0F826A9D"/>
    <w:rsid w:val="0F8283B8"/>
    <w:rsid w:val="0F83CA21"/>
    <w:rsid w:val="0F84A237"/>
    <w:rsid w:val="0F8558DA"/>
    <w:rsid w:val="0F856B86"/>
    <w:rsid w:val="0F885507"/>
    <w:rsid w:val="0F9483D0"/>
    <w:rsid w:val="0F97E55B"/>
    <w:rsid w:val="0F9A8E31"/>
    <w:rsid w:val="0F9B4BA0"/>
    <w:rsid w:val="0FA16941"/>
    <w:rsid w:val="0FA676CA"/>
    <w:rsid w:val="0FA809DA"/>
    <w:rsid w:val="0FAC9B91"/>
    <w:rsid w:val="0FAD18AC"/>
    <w:rsid w:val="0FB4391E"/>
    <w:rsid w:val="0FB46640"/>
    <w:rsid w:val="0FBB0AD1"/>
    <w:rsid w:val="0FBBA03D"/>
    <w:rsid w:val="0FBBBE9C"/>
    <w:rsid w:val="0FBC2FFB"/>
    <w:rsid w:val="0FBFDBAE"/>
    <w:rsid w:val="0FC32D14"/>
    <w:rsid w:val="0FC54E8B"/>
    <w:rsid w:val="0FC58B88"/>
    <w:rsid w:val="0FC7BD5F"/>
    <w:rsid w:val="0FC91013"/>
    <w:rsid w:val="0FCC521B"/>
    <w:rsid w:val="0FCD9516"/>
    <w:rsid w:val="0FCEFC94"/>
    <w:rsid w:val="0FD0A37F"/>
    <w:rsid w:val="0FD20382"/>
    <w:rsid w:val="0FD372D2"/>
    <w:rsid w:val="0FD8405F"/>
    <w:rsid w:val="0FDCD41B"/>
    <w:rsid w:val="0FDE9934"/>
    <w:rsid w:val="0FE9534A"/>
    <w:rsid w:val="0FE9C811"/>
    <w:rsid w:val="0FEA00FD"/>
    <w:rsid w:val="0FEE4B89"/>
    <w:rsid w:val="0FEFB38A"/>
    <w:rsid w:val="0FF13FAB"/>
    <w:rsid w:val="0FF4CEB1"/>
    <w:rsid w:val="0FF5F653"/>
    <w:rsid w:val="0FF6361B"/>
    <w:rsid w:val="0FF73D06"/>
    <w:rsid w:val="0FF84440"/>
    <w:rsid w:val="0FFA4BB8"/>
    <w:rsid w:val="1004C3B5"/>
    <w:rsid w:val="1005CA93"/>
    <w:rsid w:val="1007A08F"/>
    <w:rsid w:val="1009362B"/>
    <w:rsid w:val="100BDE5C"/>
    <w:rsid w:val="10139C29"/>
    <w:rsid w:val="10171808"/>
    <w:rsid w:val="101A8E86"/>
    <w:rsid w:val="101E5348"/>
    <w:rsid w:val="101FCA83"/>
    <w:rsid w:val="1022065E"/>
    <w:rsid w:val="10276DAF"/>
    <w:rsid w:val="102ACBA9"/>
    <w:rsid w:val="10317EC5"/>
    <w:rsid w:val="10327AA7"/>
    <w:rsid w:val="1032A0C5"/>
    <w:rsid w:val="10345EC4"/>
    <w:rsid w:val="1035C0FA"/>
    <w:rsid w:val="103684F8"/>
    <w:rsid w:val="10368FA3"/>
    <w:rsid w:val="103D019A"/>
    <w:rsid w:val="103F6290"/>
    <w:rsid w:val="103F8D34"/>
    <w:rsid w:val="10407E99"/>
    <w:rsid w:val="10408BA0"/>
    <w:rsid w:val="1044F8A2"/>
    <w:rsid w:val="104526C1"/>
    <w:rsid w:val="1049498A"/>
    <w:rsid w:val="10496CAC"/>
    <w:rsid w:val="104A3644"/>
    <w:rsid w:val="104BB3D4"/>
    <w:rsid w:val="10505E5B"/>
    <w:rsid w:val="10560B49"/>
    <w:rsid w:val="10581320"/>
    <w:rsid w:val="105814C2"/>
    <w:rsid w:val="105B2ECF"/>
    <w:rsid w:val="105ECFB4"/>
    <w:rsid w:val="105FD214"/>
    <w:rsid w:val="1063B4D4"/>
    <w:rsid w:val="10693477"/>
    <w:rsid w:val="106B7834"/>
    <w:rsid w:val="106C952A"/>
    <w:rsid w:val="10737EC2"/>
    <w:rsid w:val="10767960"/>
    <w:rsid w:val="107F8C04"/>
    <w:rsid w:val="108247E1"/>
    <w:rsid w:val="10860653"/>
    <w:rsid w:val="1089B334"/>
    <w:rsid w:val="108FCD99"/>
    <w:rsid w:val="10919626"/>
    <w:rsid w:val="1093D009"/>
    <w:rsid w:val="10983CEA"/>
    <w:rsid w:val="1099A9D1"/>
    <w:rsid w:val="109BA711"/>
    <w:rsid w:val="109E570C"/>
    <w:rsid w:val="109F28F7"/>
    <w:rsid w:val="10A0E74F"/>
    <w:rsid w:val="10A0ED47"/>
    <w:rsid w:val="10A6DFA8"/>
    <w:rsid w:val="10ABB749"/>
    <w:rsid w:val="10AC85A7"/>
    <w:rsid w:val="10ACC80E"/>
    <w:rsid w:val="10AFA6D7"/>
    <w:rsid w:val="10B324D5"/>
    <w:rsid w:val="10B774A3"/>
    <w:rsid w:val="10B858F1"/>
    <w:rsid w:val="10B8AA93"/>
    <w:rsid w:val="10B93AD0"/>
    <w:rsid w:val="10BAFCBF"/>
    <w:rsid w:val="10BB2B33"/>
    <w:rsid w:val="10BB6E60"/>
    <w:rsid w:val="10BC11D1"/>
    <w:rsid w:val="10BE6187"/>
    <w:rsid w:val="10BEF2BF"/>
    <w:rsid w:val="10C28323"/>
    <w:rsid w:val="10C5D751"/>
    <w:rsid w:val="10CFDABF"/>
    <w:rsid w:val="10D14585"/>
    <w:rsid w:val="10D1688A"/>
    <w:rsid w:val="10D1D0FF"/>
    <w:rsid w:val="10D9C3B6"/>
    <w:rsid w:val="10DBFB0B"/>
    <w:rsid w:val="10DCC274"/>
    <w:rsid w:val="10E59F15"/>
    <w:rsid w:val="10E5EFE3"/>
    <w:rsid w:val="10E711A4"/>
    <w:rsid w:val="10EAB71C"/>
    <w:rsid w:val="10ECEE27"/>
    <w:rsid w:val="10EDA25B"/>
    <w:rsid w:val="10F16779"/>
    <w:rsid w:val="10F381BE"/>
    <w:rsid w:val="10F50B97"/>
    <w:rsid w:val="10F6EFD1"/>
    <w:rsid w:val="10F8F9F2"/>
    <w:rsid w:val="10FDE22A"/>
    <w:rsid w:val="10FE0855"/>
    <w:rsid w:val="11010132"/>
    <w:rsid w:val="1101658A"/>
    <w:rsid w:val="1102D88F"/>
    <w:rsid w:val="110CD736"/>
    <w:rsid w:val="110DBA56"/>
    <w:rsid w:val="111012E5"/>
    <w:rsid w:val="11102EF2"/>
    <w:rsid w:val="11110299"/>
    <w:rsid w:val="111174E0"/>
    <w:rsid w:val="11134BAD"/>
    <w:rsid w:val="111B3753"/>
    <w:rsid w:val="111BBDAA"/>
    <w:rsid w:val="1120E1CE"/>
    <w:rsid w:val="11293FB4"/>
    <w:rsid w:val="112E1860"/>
    <w:rsid w:val="112E6435"/>
    <w:rsid w:val="112F8CE5"/>
    <w:rsid w:val="113A47B8"/>
    <w:rsid w:val="113C481C"/>
    <w:rsid w:val="113D52DD"/>
    <w:rsid w:val="113DF88B"/>
    <w:rsid w:val="11417086"/>
    <w:rsid w:val="1141DFCB"/>
    <w:rsid w:val="114324DC"/>
    <w:rsid w:val="1145603C"/>
    <w:rsid w:val="11496D11"/>
    <w:rsid w:val="114AFEEA"/>
    <w:rsid w:val="114C3F98"/>
    <w:rsid w:val="114C495D"/>
    <w:rsid w:val="114FCBE5"/>
    <w:rsid w:val="1151D57A"/>
    <w:rsid w:val="115227ED"/>
    <w:rsid w:val="1155FF97"/>
    <w:rsid w:val="11586D2A"/>
    <w:rsid w:val="11595ABB"/>
    <w:rsid w:val="115C185A"/>
    <w:rsid w:val="115CFBAC"/>
    <w:rsid w:val="1165C12A"/>
    <w:rsid w:val="116607C9"/>
    <w:rsid w:val="11671F12"/>
    <w:rsid w:val="1167D1E8"/>
    <w:rsid w:val="1168A3D0"/>
    <w:rsid w:val="116A175A"/>
    <w:rsid w:val="116AB1FE"/>
    <w:rsid w:val="1170B4BB"/>
    <w:rsid w:val="11771870"/>
    <w:rsid w:val="1179528C"/>
    <w:rsid w:val="117A58EE"/>
    <w:rsid w:val="117F4D11"/>
    <w:rsid w:val="117FCFE2"/>
    <w:rsid w:val="1180B928"/>
    <w:rsid w:val="1189B9DC"/>
    <w:rsid w:val="118CB613"/>
    <w:rsid w:val="118DB964"/>
    <w:rsid w:val="118ECB57"/>
    <w:rsid w:val="11900F18"/>
    <w:rsid w:val="1197FCB0"/>
    <w:rsid w:val="119AA129"/>
    <w:rsid w:val="119B30F6"/>
    <w:rsid w:val="119CAF21"/>
    <w:rsid w:val="11A00C67"/>
    <w:rsid w:val="11A2AAD4"/>
    <w:rsid w:val="11A772F0"/>
    <w:rsid w:val="11A85B2D"/>
    <w:rsid w:val="11A97875"/>
    <w:rsid w:val="11AB5D47"/>
    <w:rsid w:val="11AD7B5A"/>
    <w:rsid w:val="11AE2F74"/>
    <w:rsid w:val="11B006DC"/>
    <w:rsid w:val="11C3E752"/>
    <w:rsid w:val="11CB8812"/>
    <w:rsid w:val="11CCF028"/>
    <w:rsid w:val="11D26083"/>
    <w:rsid w:val="11D654F1"/>
    <w:rsid w:val="11D976B1"/>
    <w:rsid w:val="11E245FD"/>
    <w:rsid w:val="11E45840"/>
    <w:rsid w:val="11E5ED47"/>
    <w:rsid w:val="11E5EF25"/>
    <w:rsid w:val="11EFBD4E"/>
    <w:rsid w:val="11F6DF0C"/>
    <w:rsid w:val="11F90BD5"/>
    <w:rsid w:val="12039963"/>
    <w:rsid w:val="1204DD06"/>
    <w:rsid w:val="12061EF3"/>
    <w:rsid w:val="121467D2"/>
    <w:rsid w:val="1214FE7E"/>
    <w:rsid w:val="12194D90"/>
    <w:rsid w:val="1224503B"/>
    <w:rsid w:val="1226459B"/>
    <w:rsid w:val="122E5913"/>
    <w:rsid w:val="12349B52"/>
    <w:rsid w:val="123862EE"/>
    <w:rsid w:val="1239C7E2"/>
    <w:rsid w:val="12420133"/>
    <w:rsid w:val="12434159"/>
    <w:rsid w:val="124376CE"/>
    <w:rsid w:val="1245F611"/>
    <w:rsid w:val="1249E247"/>
    <w:rsid w:val="124B951A"/>
    <w:rsid w:val="124EDFAF"/>
    <w:rsid w:val="124EE15C"/>
    <w:rsid w:val="1253A717"/>
    <w:rsid w:val="12540EEE"/>
    <w:rsid w:val="12591644"/>
    <w:rsid w:val="125B412D"/>
    <w:rsid w:val="12612759"/>
    <w:rsid w:val="12670F8E"/>
    <w:rsid w:val="126827C5"/>
    <w:rsid w:val="126B6424"/>
    <w:rsid w:val="126E42F6"/>
    <w:rsid w:val="126ECAAD"/>
    <w:rsid w:val="12772CA1"/>
    <w:rsid w:val="1279D7C3"/>
    <w:rsid w:val="127D6FF4"/>
    <w:rsid w:val="12848270"/>
    <w:rsid w:val="12850439"/>
    <w:rsid w:val="128553CD"/>
    <w:rsid w:val="128A13D5"/>
    <w:rsid w:val="128D28AD"/>
    <w:rsid w:val="1293C728"/>
    <w:rsid w:val="129643F4"/>
    <w:rsid w:val="12A4EAAB"/>
    <w:rsid w:val="12A6017C"/>
    <w:rsid w:val="12A63F23"/>
    <w:rsid w:val="12AACC61"/>
    <w:rsid w:val="12B6015A"/>
    <w:rsid w:val="12B6F2A6"/>
    <w:rsid w:val="12BCC996"/>
    <w:rsid w:val="12C2A7CC"/>
    <w:rsid w:val="12C704D5"/>
    <w:rsid w:val="12C893C6"/>
    <w:rsid w:val="12C8BE69"/>
    <w:rsid w:val="12D002F8"/>
    <w:rsid w:val="12D4EC81"/>
    <w:rsid w:val="12D52139"/>
    <w:rsid w:val="12D9831A"/>
    <w:rsid w:val="12E617A8"/>
    <w:rsid w:val="12E6A5E5"/>
    <w:rsid w:val="12EED8BE"/>
    <w:rsid w:val="12F00946"/>
    <w:rsid w:val="12F07BE3"/>
    <w:rsid w:val="12F15703"/>
    <w:rsid w:val="12F212E6"/>
    <w:rsid w:val="12FCA8D6"/>
    <w:rsid w:val="12FDCF82"/>
    <w:rsid w:val="12FF9ED0"/>
    <w:rsid w:val="1302F7F8"/>
    <w:rsid w:val="130565AB"/>
    <w:rsid w:val="130715C5"/>
    <w:rsid w:val="130C085E"/>
    <w:rsid w:val="130D4579"/>
    <w:rsid w:val="130EA4F1"/>
    <w:rsid w:val="13190161"/>
    <w:rsid w:val="131B5D89"/>
    <w:rsid w:val="131D5FB9"/>
    <w:rsid w:val="131DEF21"/>
    <w:rsid w:val="131F5B80"/>
    <w:rsid w:val="1322AACF"/>
    <w:rsid w:val="1323F381"/>
    <w:rsid w:val="1328A952"/>
    <w:rsid w:val="1329AD05"/>
    <w:rsid w:val="132F444E"/>
    <w:rsid w:val="132F5C7E"/>
    <w:rsid w:val="132F65F5"/>
    <w:rsid w:val="13337912"/>
    <w:rsid w:val="1333A7AD"/>
    <w:rsid w:val="133490BD"/>
    <w:rsid w:val="1334C9AA"/>
    <w:rsid w:val="1337480F"/>
    <w:rsid w:val="1337D46C"/>
    <w:rsid w:val="1339F7FA"/>
    <w:rsid w:val="133AFF86"/>
    <w:rsid w:val="1340677D"/>
    <w:rsid w:val="134500CA"/>
    <w:rsid w:val="134521F3"/>
    <w:rsid w:val="1349A2FA"/>
    <w:rsid w:val="134A66B1"/>
    <w:rsid w:val="134B95D3"/>
    <w:rsid w:val="134E3E74"/>
    <w:rsid w:val="134E59C3"/>
    <w:rsid w:val="134EEEDF"/>
    <w:rsid w:val="1351A6A3"/>
    <w:rsid w:val="1351DAB5"/>
    <w:rsid w:val="1358D7F4"/>
    <w:rsid w:val="1359626F"/>
    <w:rsid w:val="13597649"/>
    <w:rsid w:val="135B6D1B"/>
    <w:rsid w:val="135BFC26"/>
    <w:rsid w:val="13634734"/>
    <w:rsid w:val="1365BDBA"/>
    <w:rsid w:val="136B4563"/>
    <w:rsid w:val="136DCA78"/>
    <w:rsid w:val="137801E6"/>
    <w:rsid w:val="137AE746"/>
    <w:rsid w:val="137B1B88"/>
    <w:rsid w:val="138091BC"/>
    <w:rsid w:val="1380C482"/>
    <w:rsid w:val="138139A4"/>
    <w:rsid w:val="13872E64"/>
    <w:rsid w:val="138CF128"/>
    <w:rsid w:val="13948422"/>
    <w:rsid w:val="13985DA3"/>
    <w:rsid w:val="139A9F18"/>
    <w:rsid w:val="139D1CB4"/>
    <w:rsid w:val="139D1D34"/>
    <w:rsid w:val="13A17973"/>
    <w:rsid w:val="13A21ED5"/>
    <w:rsid w:val="13A6AC87"/>
    <w:rsid w:val="13A7313C"/>
    <w:rsid w:val="13A822DC"/>
    <w:rsid w:val="13A82DB3"/>
    <w:rsid w:val="13A8AEA2"/>
    <w:rsid w:val="13AA14E1"/>
    <w:rsid w:val="13AC3A8F"/>
    <w:rsid w:val="13AE8495"/>
    <w:rsid w:val="13B0FA3B"/>
    <w:rsid w:val="13B28342"/>
    <w:rsid w:val="13B57048"/>
    <w:rsid w:val="13B6A3A4"/>
    <w:rsid w:val="13B76AFB"/>
    <w:rsid w:val="13BC7E80"/>
    <w:rsid w:val="13BDC2BF"/>
    <w:rsid w:val="13BDCFE5"/>
    <w:rsid w:val="13C39E36"/>
    <w:rsid w:val="13C48F6F"/>
    <w:rsid w:val="13C693EC"/>
    <w:rsid w:val="13C9C97C"/>
    <w:rsid w:val="13CAD298"/>
    <w:rsid w:val="13CCE8F9"/>
    <w:rsid w:val="13CCED3C"/>
    <w:rsid w:val="13CD24DE"/>
    <w:rsid w:val="13D21487"/>
    <w:rsid w:val="13D4E2FC"/>
    <w:rsid w:val="13D7E143"/>
    <w:rsid w:val="13D98695"/>
    <w:rsid w:val="13DA5DA2"/>
    <w:rsid w:val="13DD6C56"/>
    <w:rsid w:val="13DF4D63"/>
    <w:rsid w:val="13EB2C34"/>
    <w:rsid w:val="13EF87C0"/>
    <w:rsid w:val="13F33A4C"/>
    <w:rsid w:val="13F58171"/>
    <w:rsid w:val="13F5832B"/>
    <w:rsid w:val="13F6BDD8"/>
    <w:rsid w:val="13FE9F3B"/>
    <w:rsid w:val="13FFB056"/>
    <w:rsid w:val="140044FA"/>
    <w:rsid w:val="14006F2D"/>
    <w:rsid w:val="140ACCF3"/>
    <w:rsid w:val="140C0E71"/>
    <w:rsid w:val="140E9B13"/>
    <w:rsid w:val="14132CE5"/>
    <w:rsid w:val="1415E0A4"/>
    <w:rsid w:val="1416F768"/>
    <w:rsid w:val="141877DB"/>
    <w:rsid w:val="1418D37F"/>
    <w:rsid w:val="14198A5A"/>
    <w:rsid w:val="141A9FEA"/>
    <w:rsid w:val="141C0294"/>
    <w:rsid w:val="14222B55"/>
    <w:rsid w:val="14256725"/>
    <w:rsid w:val="14275F1E"/>
    <w:rsid w:val="14284452"/>
    <w:rsid w:val="142926A4"/>
    <w:rsid w:val="1429CB20"/>
    <w:rsid w:val="143BD736"/>
    <w:rsid w:val="143DE5C5"/>
    <w:rsid w:val="1442BCED"/>
    <w:rsid w:val="1443214A"/>
    <w:rsid w:val="144389A1"/>
    <w:rsid w:val="1445055D"/>
    <w:rsid w:val="1448DD04"/>
    <w:rsid w:val="14573758"/>
    <w:rsid w:val="145747FD"/>
    <w:rsid w:val="145E47DF"/>
    <w:rsid w:val="1464033D"/>
    <w:rsid w:val="1464ED00"/>
    <w:rsid w:val="1469D6AA"/>
    <w:rsid w:val="146C3005"/>
    <w:rsid w:val="146F9318"/>
    <w:rsid w:val="146FE6BD"/>
    <w:rsid w:val="14704AB7"/>
    <w:rsid w:val="14705959"/>
    <w:rsid w:val="14727543"/>
    <w:rsid w:val="147454E0"/>
    <w:rsid w:val="1480F829"/>
    <w:rsid w:val="14838091"/>
    <w:rsid w:val="1488E48B"/>
    <w:rsid w:val="1489269D"/>
    <w:rsid w:val="148BB329"/>
    <w:rsid w:val="148BCC22"/>
    <w:rsid w:val="148CA5DE"/>
    <w:rsid w:val="14926C41"/>
    <w:rsid w:val="149FD4F9"/>
    <w:rsid w:val="14A2BEA9"/>
    <w:rsid w:val="14A414E7"/>
    <w:rsid w:val="14A58FF1"/>
    <w:rsid w:val="14A9AE99"/>
    <w:rsid w:val="14ABC2DE"/>
    <w:rsid w:val="14AFCC48"/>
    <w:rsid w:val="14B302A0"/>
    <w:rsid w:val="14B3513A"/>
    <w:rsid w:val="14B44439"/>
    <w:rsid w:val="14BAF256"/>
    <w:rsid w:val="14C0B366"/>
    <w:rsid w:val="14C0F829"/>
    <w:rsid w:val="14C12E95"/>
    <w:rsid w:val="14C14F51"/>
    <w:rsid w:val="14C170A1"/>
    <w:rsid w:val="14C3E057"/>
    <w:rsid w:val="14C52FFC"/>
    <w:rsid w:val="14C79709"/>
    <w:rsid w:val="14CA10BC"/>
    <w:rsid w:val="14CB608C"/>
    <w:rsid w:val="14CC481E"/>
    <w:rsid w:val="14CDC50A"/>
    <w:rsid w:val="14CEA3F8"/>
    <w:rsid w:val="14CF8AA2"/>
    <w:rsid w:val="14D51D78"/>
    <w:rsid w:val="14D88A2A"/>
    <w:rsid w:val="14D9DD16"/>
    <w:rsid w:val="14DF2A84"/>
    <w:rsid w:val="14DF49EB"/>
    <w:rsid w:val="14E20578"/>
    <w:rsid w:val="14E6256C"/>
    <w:rsid w:val="14EA58B3"/>
    <w:rsid w:val="14EC400A"/>
    <w:rsid w:val="14EEF560"/>
    <w:rsid w:val="14EF00D0"/>
    <w:rsid w:val="14F51E1C"/>
    <w:rsid w:val="14F544B4"/>
    <w:rsid w:val="14FC7F52"/>
    <w:rsid w:val="14FF3819"/>
    <w:rsid w:val="14FF73B5"/>
    <w:rsid w:val="1502C841"/>
    <w:rsid w:val="1503D25D"/>
    <w:rsid w:val="1504B166"/>
    <w:rsid w:val="150887A3"/>
    <w:rsid w:val="1509D3D2"/>
    <w:rsid w:val="150BFFFF"/>
    <w:rsid w:val="150E48A5"/>
    <w:rsid w:val="150F0FD6"/>
    <w:rsid w:val="1510139D"/>
    <w:rsid w:val="1513128D"/>
    <w:rsid w:val="15199D5E"/>
    <w:rsid w:val="151BE2C6"/>
    <w:rsid w:val="151F1FE5"/>
    <w:rsid w:val="151F470D"/>
    <w:rsid w:val="1522CFDB"/>
    <w:rsid w:val="1525E575"/>
    <w:rsid w:val="15270AA4"/>
    <w:rsid w:val="15298B06"/>
    <w:rsid w:val="152C2626"/>
    <w:rsid w:val="1535A186"/>
    <w:rsid w:val="153BEC26"/>
    <w:rsid w:val="15403EB2"/>
    <w:rsid w:val="15472EBA"/>
    <w:rsid w:val="154AAEDD"/>
    <w:rsid w:val="15504EFF"/>
    <w:rsid w:val="155A4C78"/>
    <w:rsid w:val="155B8AFB"/>
    <w:rsid w:val="1565945C"/>
    <w:rsid w:val="1567E5B8"/>
    <w:rsid w:val="15681B4F"/>
    <w:rsid w:val="156EAB6F"/>
    <w:rsid w:val="156F4E3A"/>
    <w:rsid w:val="157194B7"/>
    <w:rsid w:val="1573D139"/>
    <w:rsid w:val="157C3C6E"/>
    <w:rsid w:val="1580D9DF"/>
    <w:rsid w:val="158331B3"/>
    <w:rsid w:val="1583D00D"/>
    <w:rsid w:val="15853966"/>
    <w:rsid w:val="1589F9B5"/>
    <w:rsid w:val="158A59FD"/>
    <w:rsid w:val="158CA954"/>
    <w:rsid w:val="158E37EA"/>
    <w:rsid w:val="1591841E"/>
    <w:rsid w:val="1591BD7E"/>
    <w:rsid w:val="159FC93E"/>
    <w:rsid w:val="159FF15A"/>
    <w:rsid w:val="15A2559D"/>
    <w:rsid w:val="15A265C0"/>
    <w:rsid w:val="15A33F66"/>
    <w:rsid w:val="15AA4A06"/>
    <w:rsid w:val="15AC9F01"/>
    <w:rsid w:val="15B1C9CD"/>
    <w:rsid w:val="15B58EFA"/>
    <w:rsid w:val="15BBFF66"/>
    <w:rsid w:val="15C02432"/>
    <w:rsid w:val="15C1D3F7"/>
    <w:rsid w:val="15C35091"/>
    <w:rsid w:val="15C8B3D6"/>
    <w:rsid w:val="15CC33BC"/>
    <w:rsid w:val="15CE7EAF"/>
    <w:rsid w:val="15CF7386"/>
    <w:rsid w:val="15D4E306"/>
    <w:rsid w:val="15D4F909"/>
    <w:rsid w:val="15D71702"/>
    <w:rsid w:val="15D9A73F"/>
    <w:rsid w:val="15DBBDEF"/>
    <w:rsid w:val="15DDF287"/>
    <w:rsid w:val="15E1AF6A"/>
    <w:rsid w:val="15E2BC80"/>
    <w:rsid w:val="15E6B0ED"/>
    <w:rsid w:val="15ED8783"/>
    <w:rsid w:val="15EDC001"/>
    <w:rsid w:val="15EDD1A4"/>
    <w:rsid w:val="15F2005E"/>
    <w:rsid w:val="15F41872"/>
    <w:rsid w:val="15F448C9"/>
    <w:rsid w:val="15F534F1"/>
    <w:rsid w:val="15F5B2A2"/>
    <w:rsid w:val="15FDC82E"/>
    <w:rsid w:val="15FE4B78"/>
    <w:rsid w:val="1603E17B"/>
    <w:rsid w:val="16052C6A"/>
    <w:rsid w:val="160AC512"/>
    <w:rsid w:val="160B6D9A"/>
    <w:rsid w:val="1610E025"/>
    <w:rsid w:val="1616ED20"/>
    <w:rsid w:val="16174F4A"/>
    <w:rsid w:val="1618515B"/>
    <w:rsid w:val="161A155F"/>
    <w:rsid w:val="1625821C"/>
    <w:rsid w:val="1627694C"/>
    <w:rsid w:val="16282045"/>
    <w:rsid w:val="16350004"/>
    <w:rsid w:val="16350C36"/>
    <w:rsid w:val="1638778B"/>
    <w:rsid w:val="163BC5EF"/>
    <w:rsid w:val="163D492D"/>
    <w:rsid w:val="164447B4"/>
    <w:rsid w:val="164861EB"/>
    <w:rsid w:val="165041EB"/>
    <w:rsid w:val="1651442E"/>
    <w:rsid w:val="1651A718"/>
    <w:rsid w:val="16521FF7"/>
    <w:rsid w:val="16592800"/>
    <w:rsid w:val="16597353"/>
    <w:rsid w:val="165CD334"/>
    <w:rsid w:val="16600E48"/>
    <w:rsid w:val="1660638A"/>
    <w:rsid w:val="1663446D"/>
    <w:rsid w:val="16658B25"/>
    <w:rsid w:val="16674E3C"/>
    <w:rsid w:val="1667F7C6"/>
    <w:rsid w:val="16681F4A"/>
    <w:rsid w:val="166977BD"/>
    <w:rsid w:val="166B0EE1"/>
    <w:rsid w:val="166D18A4"/>
    <w:rsid w:val="166DA134"/>
    <w:rsid w:val="166EC2FA"/>
    <w:rsid w:val="166F56BC"/>
    <w:rsid w:val="167175C6"/>
    <w:rsid w:val="16785494"/>
    <w:rsid w:val="1679E6EE"/>
    <w:rsid w:val="167CC1B3"/>
    <w:rsid w:val="16803604"/>
    <w:rsid w:val="1681B10F"/>
    <w:rsid w:val="1682A333"/>
    <w:rsid w:val="168689FE"/>
    <w:rsid w:val="16882A80"/>
    <w:rsid w:val="168BBC1E"/>
    <w:rsid w:val="16907206"/>
    <w:rsid w:val="16916F6C"/>
    <w:rsid w:val="16929E05"/>
    <w:rsid w:val="16956EE4"/>
    <w:rsid w:val="1697D005"/>
    <w:rsid w:val="16999E89"/>
    <w:rsid w:val="169DF92E"/>
    <w:rsid w:val="16A71D91"/>
    <w:rsid w:val="16AB775C"/>
    <w:rsid w:val="16AE2E47"/>
    <w:rsid w:val="16AF0227"/>
    <w:rsid w:val="16B8948A"/>
    <w:rsid w:val="16BB8100"/>
    <w:rsid w:val="16BC62BF"/>
    <w:rsid w:val="16C3D7BF"/>
    <w:rsid w:val="16C724AA"/>
    <w:rsid w:val="16CB0EA7"/>
    <w:rsid w:val="16CBB0FD"/>
    <w:rsid w:val="16CD80BB"/>
    <w:rsid w:val="16CEAE21"/>
    <w:rsid w:val="16D105BD"/>
    <w:rsid w:val="16D1FF94"/>
    <w:rsid w:val="16D2DC25"/>
    <w:rsid w:val="16DA8ABD"/>
    <w:rsid w:val="16E4AB2F"/>
    <w:rsid w:val="16E4F701"/>
    <w:rsid w:val="16E85ED6"/>
    <w:rsid w:val="16ECDEB9"/>
    <w:rsid w:val="16EDA004"/>
    <w:rsid w:val="16EFB68F"/>
    <w:rsid w:val="16F10A1E"/>
    <w:rsid w:val="16F45AC3"/>
    <w:rsid w:val="16F6B52D"/>
    <w:rsid w:val="170113F4"/>
    <w:rsid w:val="17051CDB"/>
    <w:rsid w:val="1705D128"/>
    <w:rsid w:val="1707A511"/>
    <w:rsid w:val="171187D1"/>
    <w:rsid w:val="17141137"/>
    <w:rsid w:val="17163B60"/>
    <w:rsid w:val="1716D3B6"/>
    <w:rsid w:val="1719C902"/>
    <w:rsid w:val="171EBDCC"/>
    <w:rsid w:val="172059C6"/>
    <w:rsid w:val="172430CB"/>
    <w:rsid w:val="17253AE4"/>
    <w:rsid w:val="1726C8DC"/>
    <w:rsid w:val="17279381"/>
    <w:rsid w:val="172956A0"/>
    <w:rsid w:val="1729C447"/>
    <w:rsid w:val="172C5D98"/>
    <w:rsid w:val="172E969F"/>
    <w:rsid w:val="172F27B0"/>
    <w:rsid w:val="173D4FA7"/>
    <w:rsid w:val="173D5754"/>
    <w:rsid w:val="1741693E"/>
    <w:rsid w:val="1742823C"/>
    <w:rsid w:val="17490D61"/>
    <w:rsid w:val="1749C7C0"/>
    <w:rsid w:val="174B1850"/>
    <w:rsid w:val="174B4996"/>
    <w:rsid w:val="174F07FC"/>
    <w:rsid w:val="17541106"/>
    <w:rsid w:val="17573983"/>
    <w:rsid w:val="17577E03"/>
    <w:rsid w:val="175D0715"/>
    <w:rsid w:val="175DB242"/>
    <w:rsid w:val="1760E0C3"/>
    <w:rsid w:val="1761099E"/>
    <w:rsid w:val="1762C0D7"/>
    <w:rsid w:val="1763FDC5"/>
    <w:rsid w:val="17667607"/>
    <w:rsid w:val="1768DF9B"/>
    <w:rsid w:val="176D6A94"/>
    <w:rsid w:val="176EEBC1"/>
    <w:rsid w:val="1772F2B4"/>
    <w:rsid w:val="17758F55"/>
    <w:rsid w:val="17789B9B"/>
    <w:rsid w:val="17791116"/>
    <w:rsid w:val="1779D8D1"/>
    <w:rsid w:val="17839C15"/>
    <w:rsid w:val="1784745C"/>
    <w:rsid w:val="1785B013"/>
    <w:rsid w:val="1789AC85"/>
    <w:rsid w:val="179281EA"/>
    <w:rsid w:val="1793DDA6"/>
    <w:rsid w:val="179CC311"/>
    <w:rsid w:val="179EAEE5"/>
    <w:rsid w:val="17A34DEB"/>
    <w:rsid w:val="17A754C0"/>
    <w:rsid w:val="17ABCBC7"/>
    <w:rsid w:val="17AC9B75"/>
    <w:rsid w:val="17AEA6A0"/>
    <w:rsid w:val="17B15982"/>
    <w:rsid w:val="17B4F68B"/>
    <w:rsid w:val="17B514D7"/>
    <w:rsid w:val="17B75C68"/>
    <w:rsid w:val="17B78999"/>
    <w:rsid w:val="17B7F8E9"/>
    <w:rsid w:val="17C083E8"/>
    <w:rsid w:val="17C28954"/>
    <w:rsid w:val="17C73122"/>
    <w:rsid w:val="17C99315"/>
    <w:rsid w:val="17CD62ED"/>
    <w:rsid w:val="17CE333F"/>
    <w:rsid w:val="17CF42D8"/>
    <w:rsid w:val="17D05105"/>
    <w:rsid w:val="17D438FE"/>
    <w:rsid w:val="17D8AC2F"/>
    <w:rsid w:val="17D8BD11"/>
    <w:rsid w:val="17DEF005"/>
    <w:rsid w:val="17DFBC1D"/>
    <w:rsid w:val="17DFEF6D"/>
    <w:rsid w:val="17E43E77"/>
    <w:rsid w:val="17E4B256"/>
    <w:rsid w:val="17E66790"/>
    <w:rsid w:val="17E68B86"/>
    <w:rsid w:val="17E97221"/>
    <w:rsid w:val="17E990A0"/>
    <w:rsid w:val="17EDE1F3"/>
    <w:rsid w:val="17EF72DC"/>
    <w:rsid w:val="17F2C2BC"/>
    <w:rsid w:val="17F2D7B7"/>
    <w:rsid w:val="17F47617"/>
    <w:rsid w:val="17F4DC92"/>
    <w:rsid w:val="17F5E81C"/>
    <w:rsid w:val="17FC744F"/>
    <w:rsid w:val="1804B485"/>
    <w:rsid w:val="180894B0"/>
    <w:rsid w:val="180901F8"/>
    <w:rsid w:val="1829D57D"/>
    <w:rsid w:val="182B9A6C"/>
    <w:rsid w:val="183113FE"/>
    <w:rsid w:val="18425356"/>
    <w:rsid w:val="18433E81"/>
    <w:rsid w:val="18436940"/>
    <w:rsid w:val="184ACC0A"/>
    <w:rsid w:val="184B4287"/>
    <w:rsid w:val="18614B2B"/>
    <w:rsid w:val="1863B5F3"/>
    <w:rsid w:val="186788F3"/>
    <w:rsid w:val="1868A1FC"/>
    <w:rsid w:val="186AC10A"/>
    <w:rsid w:val="186D6DFE"/>
    <w:rsid w:val="186DB86A"/>
    <w:rsid w:val="1871285E"/>
    <w:rsid w:val="187EFC7F"/>
    <w:rsid w:val="187EFDCB"/>
    <w:rsid w:val="1880D473"/>
    <w:rsid w:val="18831621"/>
    <w:rsid w:val="18841315"/>
    <w:rsid w:val="1884F464"/>
    <w:rsid w:val="188639D2"/>
    <w:rsid w:val="188CA0D5"/>
    <w:rsid w:val="188F0AD9"/>
    <w:rsid w:val="189315FA"/>
    <w:rsid w:val="1897C6E8"/>
    <w:rsid w:val="18992BA3"/>
    <w:rsid w:val="18A027C5"/>
    <w:rsid w:val="18A24598"/>
    <w:rsid w:val="18A3FE0B"/>
    <w:rsid w:val="18A7E263"/>
    <w:rsid w:val="18AE4CEA"/>
    <w:rsid w:val="18B00574"/>
    <w:rsid w:val="18B38B9F"/>
    <w:rsid w:val="18B46E50"/>
    <w:rsid w:val="18BEB815"/>
    <w:rsid w:val="18C615ED"/>
    <w:rsid w:val="18C79666"/>
    <w:rsid w:val="18C8C349"/>
    <w:rsid w:val="18CB26E3"/>
    <w:rsid w:val="18CBD78C"/>
    <w:rsid w:val="18D332E0"/>
    <w:rsid w:val="18D3BDBD"/>
    <w:rsid w:val="18D9B04A"/>
    <w:rsid w:val="18D9B54F"/>
    <w:rsid w:val="18DC81C2"/>
    <w:rsid w:val="18DDD535"/>
    <w:rsid w:val="18DDD965"/>
    <w:rsid w:val="18DE625B"/>
    <w:rsid w:val="18DF9A53"/>
    <w:rsid w:val="18E29A6E"/>
    <w:rsid w:val="18ECC8D5"/>
    <w:rsid w:val="18ED8F25"/>
    <w:rsid w:val="18EDAC78"/>
    <w:rsid w:val="18F43351"/>
    <w:rsid w:val="19054CDF"/>
    <w:rsid w:val="190B278A"/>
    <w:rsid w:val="190C3064"/>
    <w:rsid w:val="190DBAAD"/>
    <w:rsid w:val="19129F88"/>
    <w:rsid w:val="19141DF7"/>
    <w:rsid w:val="1918B5E5"/>
    <w:rsid w:val="191A7813"/>
    <w:rsid w:val="191B048D"/>
    <w:rsid w:val="191DB485"/>
    <w:rsid w:val="191DD47E"/>
    <w:rsid w:val="1920FF6F"/>
    <w:rsid w:val="1921A0B6"/>
    <w:rsid w:val="1924E5AA"/>
    <w:rsid w:val="192B0778"/>
    <w:rsid w:val="192EB33E"/>
    <w:rsid w:val="1933416F"/>
    <w:rsid w:val="19338695"/>
    <w:rsid w:val="19349550"/>
    <w:rsid w:val="1939A97E"/>
    <w:rsid w:val="193BBD15"/>
    <w:rsid w:val="193D26EF"/>
    <w:rsid w:val="193D74A6"/>
    <w:rsid w:val="1942C6DB"/>
    <w:rsid w:val="194F0BAC"/>
    <w:rsid w:val="1954532F"/>
    <w:rsid w:val="19546D36"/>
    <w:rsid w:val="195796F8"/>
    <w:rsid w:val="195F408C"/>
    <w:rsid w:val="19602C60"/>
    <w:rsid w:val="19620820"/>
    <w:rsid w:val="19623B2F"/>
    <w:rsid w:val="196BF12D"/>
    <w:rsid w:val="19723886"/>
    <w:rsid w:val="197278A1"/>
    <w:rsid w:val="197290D9"/>
    <w:rsid w:val="197682CD"/>
    <w:rsid w:val="1976E420"/>
    <w:rsid w:val="197A1AA5"/>
    <w:rsid w:val="197B234E"/>
    <w:rsid w:val="197C8BE9"/>
    <w:rsid w:val="197D7360"/>
    <w:rsid w:val="197DC0AE"/>
    <w:rsid w:val="19809375"/>
    <w:rsid w:val="1982D982"/>
    <w:rsid w:val="198A1F2B"/>
    <w:rsid w:val="198AF6A5"/>
    <w:rsid w:val="198B6CF3"/>
    <w:rsid w:val="198C4B91"/>
    <w:rsid w:val="1995DE28"/>
    <w:rsid w:val="1996DB6D"/>
    <w:rsid w:val="199AFF9A"/>
    <w:rsid w:val="199C6C53"/>
    <w:rsid w:val="19A13CC4"/>
    <w:rsid w:val="19A28536"/>
    <w:rsid w:val="19A2A46E"/>
    <w:rsid w:val="19A5CA23"/>
    <w:rsid w:val="19AE128D"/>
    <w:rsid w:val="19B06454"/>
    <w:rsid w:val="19B3A79A"/>
    <w:rsid w:val="19B6876E"/>
    <w:rsid w:val="19B78792"/>
    <w:rsid w:val="19BB2C1C"/>
    <w:rsid w:val="19BBDBC3"/>
    <w:rsid w:val="19BF7066"/>
    <w:rsid w:val="19C07DF0"/>
    <w:rsid w:val="19C1D93C"/>
    <w:rsid w:val="19C3EAC8"/>
    <w:rsid w:val="19C9621C"/>
    <w:rsid w:val="19C9D6FF"/>
    <w:rsid w:val="19CB89A0"/>
    <w:rsid w:val="19CD7DA6"/>
    <w:rsid w:val="19CDBE43"/>
    <w:rsid w:val="19CE8B86"/>
    <w:rsid w:val="19D11BCE"/>
    <w:rsid w:val="19D67275"/>
    <w:rsid w:val="19D6C0AB"/>
    <w:rsid w:val="19D762D5"/>
    <w:rsid w:val="19DBC3B5"/>
    <w:rsid w:val="19DF51BF"/>
    <w:rsid w:val="19E14C4E"/>
    <w:rsid w:val="19E1C937"/>
    <w:rsid w:val="19E1FA33"/>
    <w:rsid w:val="19E38457"/>
    <w:rsid w:val="19E394BB"/>
    <w:rsid w:val="19EAE002"/>
    <w:rsid w:val="19F00A19"/>
    <w:rsid w:val="19F04519"/>
    <w:rsid w:val="19F2605A"/>
    <w:rsid w:val="19F47D26"/>
    <w:rsid w:val="19F47EF0"/>
    <w:rsid w:val="19FA85CC"/>
    <w:rsid w:val="19FB3D6D"/>
    <w:rsid w:val="19FB71BD"/>
    <w:rsid w:val="19FE9DD2"/>
    <w:rsid w:val="1A01BA17"/>
    <w:rsid w:val="1A039CF1"/>
    <w:rsid w:val="1A0439C4"/>
    <w:rsid w:val="1A05FA08"/>
    <w:rsid w:val="1A06D312"/>
    <w:rsid w:val="1A119199"/>
    <w:rsid w:val="1A11E3DC"/>
    <w:rsid w:val="1A142505"/>
    <w:rsid w:val="1A15E662"/>
    <w:rsid w:val="1A17032F"/>
    <w:rsid w:val="1A18D633"/>
    <w:rsid w:val="1A1C9748"/>
    <w:rsid w:val="1A1F6E50"/>
    <w:rsid w:val="1A204C08"/>
    <w:rsid w:val="1A2237C8"/>
    <w:rsid w:val="1A2538CA"/>
    <w:rsid w:val="1A294F23"/>
    <w:rsid w:val="1A2C490B"/>
    <w:rsid w:val="1A2DB70F"/>
    <w:rsid w:val="1A31027B"/>
    <w:rsid w:val="1A3487A7"/>
    <w:rsid w:val="1A3C128B"/>
    <w:rsid w:val="1A3C4844"/>
    <w:rsid w:val="1A3D27A4"/>
    <w:rsid w:val="1A3F068A"/>
    <w:rsid w:val="1A4016EE"/>
    <w:rsid w:val="1A412B8B"/>
    <w:rsid w:val="1A434EBE"/>
    <w:rsid w:val="1A441769"/>
    <w:rsid w:val="1A45E086"/>
    <w:rsid w:val="1A4C5E05"/>
    <w:rsid w:val="1A4C6609"/>
    <w:rsid w:val="1A4F0330"/>
    <w:rsid w:val="1A56EDEA"/>
    <w:rsid w:val="1A59C5EC"/>
    <w:rsid w:val="1A64CA81"/>
    <w:rsid w:val="1A66D184"/>
    <w:rsid w:val="1A6701B7"/>
    <w:rsid w:val="1A67FF5E"/>
    <w:rsid w:val="1A68F40F"/>
    <w:rsid w:val="1A6D9832"/>
    <w:rsid w:val="1A6DA944"/>
    <w:rsid w:val="1A6DDA45"/>
    <w:rsid w:val="1A6F0ECA"/>
    <w:rsid w:val="1A70544D"/>
    <w:rsid w:val="1A7066C3"/>
    <w:rsid w:val="1A71C14C"/>
    <w:rsid w:val="1A73BF3D"/>
    <w:rsid w:val="1A78BA19"/>
    <w:rsid w:val="1A7968DF"/>
    <w:rsid w:val="1A7BF10F"/>
    <w:rsid w:val="1A7C127C"/>
    <w:rsid w:val="1A86AADB"/>
    <w:rsid w:val="1A8CC891"/>
    <w:rsid w:val="1A8F922A"/>
    <w:rsid w:val="1A8FBBCB"/>
    <w:rsid w:val="1A929EC0"/>
    <w:rsid w:val="1A92CD66"/>
    <w:rsid w:val="1A93958B"/>
    <w:rsid w:val="1A9500DB"/>
    <w:rsid w:val="1A96E52C"/>
    <w:rsid w:val="1A9846DC"/>
    <w:rsid w:val="1A98C778"/>
    <w:rsid w:val="1A990AB0"/>
    <w:rsid w:val="1A99440D"/>
    <w:rsid w:val="1A9A9C34"/>
    <w:rsid w:val="1A9B20A2"/>
    <w:rsid w:val="1A9C2BDF"/>
    <w:rsid w:val="1AA34CF9"/>
    <w:rsid w:val="1AA9B346"/>
    <w:rsid w:val="1AAB54D8"/>
    <w:rsid w:val="1AACEF7B"/>
    <w:rsid w:val="1AB14A79"/>
    <w:rsid w:val="1AB1F567"/>
    <w:rsid w:val="1AB4FFE4"/>
    <w:rsid w:val="1AB83ECF"/>
    <w:rsid w:val="1ABB4F4B"/>
    <w:rsid w:val="1ABBABDD"/>
    <w:rsid w:val="1ABD1899"/>
    <w:rsid w:val="1AC1E146"/>
    <w:rsid w:val="1AC2850D"/>
    <w:rsid w:val="1AC31CDD"/>
    <w:rsid w:val="1AC4D251"/>
    <w:rsid w:val="1AC51C2F"/>
    <w:rsid w:val="1AC593C4"/>
    <w:rsid w:val="1ACB2731"/>
    <w:rsid w:val="1ACBBADC"/>
    <w:rsid w:val="1ACD5214"/>
    <w:rsid w:val="1AD04562"/>
    <w:rsid w:val="1AD475FC"/>
    <w:rsid w:val="1AD6424D"/>
    <w:rsid w:val="1AD8D1FD"/>
    <w:rsid w:val="1AD8E88F"/>
    <w:rsid w:val="1ADA074D"/>
    <w:rsid w:val="1ADA9483"/>
    <w:rsid w:val="1ADD6411"/>
    <w:rsid w:val="1ADF5D7E"/>
    <w:rsid w:val="1AE069EE"/>
    <w:rsid w:val="1AE41F2B"/>
    <w:rsid w:val="1AE8348C"/>
    <w:rsid w:val="1AED8A69"/>
    <w:rsid w:val="1AEFB448"/>
    <w:rsid w:val="1AF2D7BE"/>
    <w:rsid w:val="1AF45740"/>
    <w:rsid w:val="1AFA0C6C"/>
    <w:rsid w:val="1AFCE069"/>
    <w:rsid w:val="1B014251"/>
    <w:rsid w:val="1B0165DE"/>
    <w:rsid w:val="1B0A1692"/>
    <w:rsid w:val="1B0A89F8"/>
    <w:rsid w:val="1B0F2FD8"/>
    <w:rsid w:val="1B1348C3"/>
    <w:rsid w:val="1B13EEE0"/>
    <w:rsid w:val="1B19A94C"/>
    <w:rsid w:val="1B1B22CB"/>
    <w:rsid w:val="1B1F1E9B"/>
    <w:rsid w:val="1B1FE868"/>
    <w:rsid w:val="1B26D0D8"/>
    <w:rsid w:val="1B2B68B6"/>
    <w:rsid w:val="1B2BAEB0"/>
    <w:rsid w:val="1B2C6978"/>
    <w:rsid w:val="1B2D655C"/>
    <w:rsid w:val="1B2F88CF"/>
    <w:rsid w:val="1B32C1FD"/>
    <w:rsid w:val="1B34745B"/>
    <w:rsid w:val="1B377B51"/>
    <w:rsid w:val="1B3CCAE7"/>
    <w:rsid w:val="1B3CEEF7"/>
    <w:rsid w:val="1B41A5BB"/>
    <w:rsid w:val="1B49B82A"/>
    <w:rsid w:val="1B4D461E"/>
    <w:rsid w:val="1B4E83FF"/>
    <w:rsid w:val="1B568D6A"/>
    <w:rsid w:val="1B5CAAED"/>
    <w:rsid w:val="1B5E1A2D"/>
    <w:rsid w:val="1B651577"/>
    <w:rsid w:val="1B66C827"/>
    <w:rsid w:val="1B684A30"/>
    <w:rsid w:val="1B6AE171"/>
    <w:rsid w:val="1B6CC8A5"/>
    <w:rsid w:val="1B706B3F"/>
    <w:rsid w:val="1B718673"/>
    <w:rsid w:val="1B73235D"/>
    <w:rsid w:val="1B76E1F9"/>
    <w:rsid w:val="1B77FA54"/>
    <w:rsid w:val="1B78FA4D"/>
    <w:rsid w:val="1B7978AA"/>
    <w:rsid w:val="1B82A6D5"/>
    <w:rsid w:val="1B83F8E0"/>
    <w:rsid w:val="1B8607B9"/>
    <w:rsid w:val="1B87B9C0"/>
    <w:rsid w:val="1B88A2D2"/>
    <w:rsid w:val="1B8B252B"/>
    <w:rsid w:val="1B8C0ED2"/>
    <w:rsid w:val="1B8C27CA"/>
    <w:rsid w:val="1B8F424A"/>
    <w:rsid w:val="1B8F4FA1"/>
    <w:rsid w:val="1B90C5BE"/>
    <w:rsid w:val="1B922ECA"/>
    <w:rsid w:val="1B934F30"/>
    <w:rsid w:val="1B93C95E"/>
    <w:rsid w:val="1B958B26"/>
    <w:rsid w:val="1B96CC86"/>
    <w:rsid w:val="1B975F74"/>
    <w:rsid w:val="1B982258"/>
    <w:rsid w:val="1B9DA27D"/>
    <w:rsid w:val="1BA1EF63"/>
    <w:rsid w:val="1BA3F883"/>
    <w:rsid w:val="1BAAB886"/>
    <w:rsid w:val="1BAC9F47"/>
    <w:rsid w:val="1BAF3AAA"/>
    <w:rsid w:val="1BB39A7E"/>
    <w:rsid w:val="1BB69528"/>
    <w:rsid w:val="1BB6C9C5"/>
    <w:rsid w:val="1BB864AA"/>
    <w:rsid w:val="1BB94470"/>
    <w:rsid w:val="1BBA5F85"/>
    <w:rsid w:val="1BBCEB93"/>
    <w:rsid w:val="1BBE0EF3"/>
    <w:rsid w:val="1BC56B80"/>
    <w:rsid w:val="1BD0C2F2"/>
    <w:rsid w:val="1BD26B3B"/>
    <w:rsid w:val="1BD2962D"/>
    <w:rsid w:val="1BD5D5E0"/>
    <w:rsid w:val="1BD680E3"/>
    <w:rsid w:val="1BDCEB13"/>
    <w:rsid w:val="1BE13E05"/>
    <w:rsid w:val="1BE3579A"/>
    <w:rsid w:val="1BE6440F"/>
    <w:rsid w:val="1BE7F617"/>
    <w:rsid w:val="1BEB3A31"/>
    <w:rsid w:val="1BEBE3F0"/>
    <w:rsid w:val="1BF067AB"/>
    <w:rsid w:val="1BF13AA9"/>
    <w:rsid w:val="1BF5DE45"/>
    <w:rsid w:val="1C00C531"/>
    <w:rsid w:val="1C02A4BF"/>
    <w:rsid w:val="1C03F72C"/>
    <w:rsid w:val="1C0719CB"/>
    <w:rsid w:val="1C082599"/>
    <w:rsid w:val="1C098124"/>
    <w:rsid w:val="1C0AF522"/>
    <w:rsid w:val="1C0D0BFA"/>
    <w:rsid w:val="1C104D02"/>
    <w:rsid w:val="1C1147C4"/>
    <w:rsid w:val="1C145BA1"/>
    <w:rsid w:val="1C148FED"/>
    <w:rsid w:val="1C2082EE"/>
    <w:rsid w:val="1C252119"/>
    <w:rsid w:val="1C253A00"/>
    <w:rsid w:val="1C33D68F"/>
    <w:rsid w:val="1C3411EF"/>
    <w:rsid w:val="1C369C2B"/>
    <w:rsid w:val="1C380CF4"/>
    <w:rsid w:val="1C3837C7"/>
    <w:rsid w:val="1C38EEFF"/>
    <w:rsid w:val="1C39A482"/>
    <w:rsid w:val="1C3CB12E"/>
    <w:rsid w:val="1C416030"/>
    <w:rsid w:val="1C429D89"/>
    <w:rsid w:val="1C42F1C0"/>
    <w:rsid w:val="1C437EFF"/>
    <w:rsid w:val="1C43EC51"/>
    <w:rsid w:val="1C506883"/>
    <w:rsid w:val="1C52B2FE"/>
    <w:rsid w:val="1C541D61"/>
    <w:rsid w:val="1C5A42D6"/>
    <w:rsid w:val="1C5BF5CC"/>
    <w:rsid w:val="1C5E1886"/>
    <w:rsid w:val="1C606E43"/>
    <w:rsid w:val="1C642B57"/>
    <w:rsid w:val="1C667129"/>
    <w:rsid w:val="1C66FB3E"/>
    <w:rsid w:val="1C69641F"/>
    <w:rsid w:val="1C6AAE6D"/>
    <w:rsid w:val="1C6E3E4B"/>
    <w:rsid w:val="1C771F74"/>
    <w:rsid w:val="1C77247F"/>
    <w:rsid w:val="1C7B6016"/>
    <w:rsid w:val="1C87C37B"/>
    <w:rsid w:val="1C8964CC"/>
    <w:rsid w:val="1C89F143"/>
    <w:rsid w:val="1C8AE4F2"/>
    <w:rsid w:val="1C90A409"/>
    <w:rsid w:val="1C9136FB"/>
    <w:rsid w:val="1C91EF6D"/>
    <w:rsid w:val="1C9832B5"/>
    <w:rsid w:val="1C99BA50"/>
    <w:rsid w:val="1C9C1B60"/>
    <w:rsid w:val="1C9D3F4F"/>
    <w:rsid w:val="1C9E79D5"/>
    <w:rsid w:val="1C9E8617"/>
    <w:rsid w:val="1C9FC993"/>
    <w:rsid w:val="1CA17204"/>
    <w:rsid w:val="1CA3CCC8"/>
    <w:rsid w:val="1CA77FF9"/>
    <w:rsid w:val="1CA78F22"/>
    <w:rsid w:val="1CAC3B83"/>
    <w:rsid w:val="1CADF677"/>
    <w:rsid w:val="1CB0A76F"/>
    <w:rsid w:val="1CB60418"/>
    <w:rsid w:val="1CB7FFAB"/>
    <w:rsid w:val="1CB97314"/>
    <w:rsid w:val="1CBBDADB"/>
    <w:rsid w:val="1CC0196F"/>
    <w:rsid w:val="1CC04CB9"/>
    <w:rsid w:val="1CC8890B"/>
    <w:rsid w:val="1CC9580F"/>
    <w:rsid w:val="1CC9FA55"/>
    <w:rsid w:val="1CCEF5EB"/>
    <w:rsid w:val="1CCF8772"/>
    <w:rsid w:val="1CDE3F64"/>
    <w:rsid w:val="1CDE8498"/>
    <w:rsid w:val="1CDEA36E"/>
    <w:rsid w:val="1CE1958A"/>
    <w:rsid w:val="1CE6D4D9"/>
    <w:rsid w:val="1CE71BE0"/>
    <w:rsid w:val="1CEAD1F9"/>
    <w:rsid w:val="1CEB4853"/>
    <w:rsid w:val="1CF1C1D9"/>
    <w:rsid w:val="1CF4C079"/>
    <w:rsid w:val="1CF4C3DA"/>
    <w:rsid w:val="1CF6C915"/>
    <w:rsid w:val="1CF86892"/>
    <w:rsid w:val="1D02FA90"/>
    <w:rsid w:val="1D0F2C59"/>
    <w:rsid w:val="1D10577D"/>
    <w:rsid w:val="1D12F1FB"/>
    <w:rsid w:val="1D14AEBF"/>
    <w:rsid w:val="1D17D89F"/>
    <w:rsid w:val="1D1871E4"/>
    <w:rsid w:val="1D1B4CBF"/>
    <w:rsid w:val="1D1B840E"/>
    <w:rsid w:val="1D1BA741"/>
    <w:rsid w:val="1D1E641A"/>
    <w:rsid w:val="1D229A25"/>
    <w:rsid w:val="1D24A10F"/>
    <w:rsid w:val="1D258192"/>
    <w:rsid w:val="1D26DDF9"/>
    <w:rsid w:val="1D27C0CC"/>
    <w:rsid w:val="1D2DDEFC"/>
    <w:rsid w:val="1D2F5F07"/>
    <w:rsid w:val="1D3B9581"/>
    <w:rsid w:val="1D3C5F66"/>
    <w:rsid w:val="1D3DB32B"/>
    <w:rsid w:val="1D402DBD"/>
    <w:rsid w:val="1D444D67"/>
    <w:rsid w:val="1D45F260"/>
    <w:rsid w:val="1D4C000A"/>
    <w:rsid w:val="1D510431"/>
    <w:rsid w:val="1D59FFDD"/>
    <w:rsid w:val="1D5CB4C8"/>
    <w:rsid w:val="1D5F9D7F"/>
    <w:rsid w:val="1D68605D"/>
    <w:rsid w:val="1D68C5BC"/>
    <w:rsid w:val="1D6DC4BF"/>
    <w:rsid w:val="1D6ED14A"/>
    <w:rsid w:val="1D70D607"/>
    <w:rsid w:val="1D710CDF"/>
    <w:rsid w:val="1D742FB8"/>
    <w:rsid w:val="1D76A486"/>
    <w:rsid w:val="1D7FFB78"/>
    <w:rsid w:val="1D800EE8"/>
    <w:rsid w:val="1D81B482"/>
    <w:rsid w:val="1D83C49C"/>
    <w:rsid w:val="1D8781F2"/>
    <w:rsid w:val="1D87BF8C"/>
    <w:rsid w:val="1D88D744"/>
    <w:rsid w:val="1D88DD48"/>
    <w:rsid w:val="1D8D2FF1"/>
    <w:rsid w:val="1D92CED8"/>
    <w:rsid w:val="1D955B0C"/>
    <w:rsid w:val="1D976BA0"/>
    <w:rsid w:val="1D99E39E"/>
    <w:rsid w:val="1D9FFF4C"/>
    <w:rsid w:val="1DA2B74F"/>
    <w:rsid w:val="1DA6157A"/>
    <w:rsid w:val="1DADA5F4"/>
    <w:rsid w:val="1DAF925B"/>
    <w:rsid w:val="1DB2E7B6"/>
    <w:rsid w:val="1DB31F1E"/>
    <w:rsid w:val="1DB4BE3B"/>
    <w:rsid w:val="1DB51D1B"/>
    <w:rsid w:val="1DC1F449"/>
    <w:rsid w:val="1DC40781"/>
    <w:rsid w:val="1DC80AED"/>
    <w:rsid w:val="1DCB7097"/>
    <w:rsid w:val="1DCCA9A6"/>
    <w:rsid w:val="1DCE9E9B"/>
    <w:rsid w:val="1DD1B64E"/>
    <w:rsid w:val="1DD30031"/>
    <w:rsid w:val="1DD333C1"/>
    <w:rsid w:val="1DDBF296"/>
    <w:rsid w:val="1DDC7D00"/>
    <w:rsid w:val="1DE0F8CA"/>
    <w:rsid w:val="1DE95564"/>
    <w:rsid w:val="1DEC0ACF"/>
    <w:rsid w:val="1DECEF63"/>
    <w:rsid w:val="1DED2753"/>
    <w:rsid w:val="1DEE740F"/>
    <w:rsid w:val="1DEF1C48"/>
    <w:rsid w:val="1DEF9E63"/>
    <w:rsid w:val="1DF041DA"/>
    <w:rsid w:val="1DF09D74"/>
    <w:rsid w:val="1DF32CBF"/>
    <w:rsid w:val="1DF62D9A"/>
    <w:rsid w:val="1DF7B161"/>
    <w:rsid w:val="1DF882DF"/>
    <w:rsid w:val="1DFB41E5"/>
    <w:rsid w:val="1DFECAEC"/>
    <w:rsid w:val="1E066458"/>
    <w:rsid w:val="1E086B8F"/>
    <w:rsid w:val="1E0917E3"/>
    <w:rsid w:val="1E0BE6E0"/>
    <w:rsid w:val="1E0F429D"/>
    <w:rsid w:val="1E0FC856"/>
    <w:rsid w:val="1E128023"/>
    <w:rsid w:val="1E14A105"/>
    <w:rsid w:val="1E14DCE4"/>
    <w:rsid w:val="1E16B5DC"/>
    <w:rsid w:val="1E1B399D"/>
    <w:rsid w:val="1E1C5E07"/>
    <w:rsid w:val="1E23202E"/>
    <w:rsid w:val="1E2341B0"/>
    <w:rsid w:val="1E2C580C"/>
    <w:rsid w:val="1E3005EA"/>
    <w:rsid w:val="1E32D66C"/>
    <w:rsid w:val="1E34853B"/>
    <w:rsid w:val="1E35F0D6"/>
    <w:rsid w:val="1E361FF1"/>
    <w:rsid w:val="1E36A08A"/>
    <w:rsid w:val="1E3D9121"/>
    <w:rsid w:val="1E45717A"/>
    <w:rsid w:val="1E47B4BD"/>
    <w:rsid w:val="1E47F642"/>
    <w:rsid w:val="1E48A259"/>
    <w:rsid w:val="1E4A7A1C"/>
    <w:rsid w:val="1E4D3094"/>
    <w:rsid w:val="1E4FF762"/>
    <w:rsid w:val="1E535D2B"/>
    <w:rsid w:val="1E542667"/>
    <w:rsid w:val="1E54C1FB"/>
    <w:rsid w:val="1E5DADB5"/>
    <w:rsid w:val="1E61FFFF"/>
    <w:rsid w:val="1E653247"/>
    <w:rsid w:val="1E66390D"/>
    <w:rsid w:val="1E697358"/>
    <w:rsid w:val="1E6A897F"/>
    <w:rsid w:val="1E6C7BE3"/>
    <w:rsid w:val="1E6CFE70"/>
    <w:rsid w:val="1E6FB2D7"/>
    <w:rsid w:val="1E6FDF9D"/>
    <w:rsid w:val="1E70B46B"/>
    <w:rsid w:val="1E7A25DF"/>
    <w:rsid w:val="1E7A811F"/>
    <w:rsid w:val="1E7F01BA"/>
    <w:rsid w:val="1E812362"/>
    <w:rsid w:val="1E822A48"/>
    <w:rsid w:val="1E83FBA2"/>
    <w:rsid w:val="1E872903"/>
    <w:rsid w:val="1E877D27"/>
    <w:rsid w:val="1E87B938"/>
    <w:rsid w:val="1E8A478A"/>
    <w:rsid w:val="1E8B3CA7"/>
    <w:rsid w:val="1E8DEC15"/>
    <w:rsid w:val="1E8F97F9"/>
    <w:rsid w:val="1E900074"/>
    <w:rsid w:val="1E9277E9"/>
    <w:rsid w:val="1E94767C"/>
    <w:rsid w:val="1E9D7206"/>
    <w:rsid w:val="1E9FA5C9"/>
    <w:rsid w:val="1EA2C22C"/>
    <w:rsid w:val="1EA3C3B2"/>
    <w:rsid w:val="1EA96C7F"/>
    <w:rsid w:val="1EACCDF6"/>
    <w:rsid w:val="1EAE958F"/>
    <w:rsid w:val="1EB3696A"/>
    <w:rsid w:val="1EB486DC"/>
    <w:rsid w:val="1EB52A6B"/>
    <w:rsid w:val="1EB56081"/>
    <w:rsid w:val="1EBB7B64"/>
    <w:rsid w:val="1EBEB634"/>
    <w:rsid w:val="1EC2F3F3"/>
    <w:rsid w:val="1EC391AE"/>
    <w:rsid w:val="1EC6E2A6"/>
    <w:rsid w:val="1EC964A2"/>
    <w:rsid w:val="1ECCF59B"/>
    <w:rsid w:val="1ECDD112"/>
    <w:rsid w:val="1ED106AF"/>
    <w:rsid w:val="1ED773E4"/>
    <w:rsid w:val="1ED91167"/>
    <w:rsid w:val="1ED9889E"/>
    <w:rsid w:val="1ED98EA5"/>
    <w:rsid w:val="1EDD2498"/>
    <w:rsid w:val="1EE10F1D"/>
    <w:rsid w:val="1EE1A894"/>
    <w:rsid w:val="1EE4C971"/>
    <w:rsid w:val="1EE59E8E"/>
    <w:rsid w:val="1EEA4B84"/>
    <w:rsid w:val="1EECF277"/>
    <w:rsid w:val="1EEE0573"/>
    <w:rsid w:val="1EF13AE9"/>
    <w:rsid w:val="1EF66F24"/>
    <w:rsid w:val="1EFC0C1A"/>
    <w:rsid w:val="1F01F7EE"/>
    <w:rsid w:val="1F096EF0"/>
    <w:rsid w:val="1F0B2AB7"/>
    <w:rsid w:val="1F0CDEEC"/>
    <w:rsid w:val="1F10FC2B"/>
    <w:rsid w:val="1F1452F9"/>
    <w:rsid w:val="1F14C7BB"/>
    <w:rsid w:val="1F1A2C01"/>
    <w:rsid w:val="1F1CE862"/>
    <w:rsid w:val="1F1D6AF4"/>
    <w:rsid w:val="1F29E172"/>
    <w:rsid w:val="1F2B0ADD"/>
    <w:rsid w:val="1F2C5180"/>
    <w:rsid w:val="1F315AD1"/>
    <w:rsid w:val="1F31EF04"/>
    <w:rsid w:val="1F37739F"/>
    <w:rsid w:val="1F39C87E"/>
    <w:rsid w:val="1F40F21B"/>
    <w:rsid w:val="1F461C8C"/>
    <w:rsid w:val="1F4B2F7F"/>
    <w:rsid w:val="1F4C62C1"/>
    <w:rsid w:val="1F547241"/>
    <w:rsid w:val="1F569110"/>
    <w:rsid w:val="1F5A5465"/>
    <w:rsid w:val="1F5D229C"/>
    <w:rsid w:val="1F5E3E8D"/>
    <w:rsid w:val="1F60A69D"/>
    <w:rsid w:val="1F615A6A"/>
    <w:rsid w:val="1F661B23"/>
    <w:rsid w:val="1F71442D"/>
    <w:rsid w:val="1F714E82"/>
    <w:rsid w:val="1F76F25C"/>
    <w:rsid w:val="1F783C8C"/>
    <w:rsid w:val="1F80DA84"/>
    <w:rsid w:val="1F87482E"/>
    <w:rsid w:val="1F8B748E"/>
    <w:rsid w:val="1F8C8754"/>
    <w:rsid w:val="1F901352"/>
    <w:rsid w:val="1F96223C"/>
    <w:rsid w:val="1F9ADA2C"/>
    <w:rsid w:val="1F9D3C82"/>
    <w:rsid w:val="1F9DD6F0"/>
    <w:rsid w:val="1F9E9CA5"/>
    <w:rsid w:val="1F9F282D"/>
    <w:rsid w:val="1FA2B058"/>
    <w:rsid w:val="1FA6C22A"/>
    <w:rsid w:val="1FAD6F59"/>
    <w:rsid w:val="1FAE2795"/>
    <w:rsid w:val="1FB2066B"/>
    <w:rsid w:val="1FBEA440"/>
    <w:rsid w:val="1FC07F35"/>
    <w:rsid w:val="1FC12BDD"/>
    <w:rsid w:val="1FC301F6"/>
    <w:rsid w:val="1FC31FA5"/>
    <w:rsid w:val="1FC48E9B"/>
    <w:rsid w:val="1FCD9BED"/>
    <w:rsid w:val="1FD1FA72"/>
    <w:rsid w:val="1FD6A8D1"/>
    <w:rsid w:val="1FD7436E"/>
    <w:rsid w:val="1FDC2A28"/>
    <w:rsid w:val="1FDE5A01"/>
    <w:rsid w:val="1FE258F3"/>
    <w:rsid w:val="1FE524E4"/>
    <w:rsid w:val="1FE57CD7"/>
    <w:rsid w:val="1FE5A761"/>
    <w:rsid w:val="1FEBCC92"/>
    <w:rsid w:val="1FEEF861"/>
    <w:rsid w:val="1FF0095D"/>
    <w:rsid w:val="1FF7CF3D"/>
    <w:rsid w:val="1FFA2526"/>
    <w:rsid w:val="1FFB8BF4"/>
    <w:rsid w:val="1FFC9A30"/>
    <w:rsid w:val="20008195"/>
    <w:rsid w:val="20053FCD"/>
    <w:rsid w:val="2005922D"/>
    <w:rsid w:val="200AC00C"/>
    <w:rsid w:val="200B4168"/>
    <w:rsid w:val="200F606D"/>
    <w:rsid w:val="2015C351"/>
    <w:rsid w:val="2016004F"/>
    <w:rsid w:val="20180445"/>
    <w:rsid w:val="20187B72"/>
    <w:rsid w:val="20191D89"/>
    <w:rsid w:val="201E7F07"/>
    <w:rsid w:val="201ED15C"/>
    <w:rsid w:val="202854CB"/>
    <w:rsid w:val="202889F4"/>
    <w:rsid w:val="2029F27A"/>
    <w:rsid w:val="202F5882"/>
    <w:rsid w:val="2037627D"/>
    <w:rsid w:val="203C9693"/>
    <w:rsid w:val="203CBC5A"/>
    <w:rsid w:val="203EA6CF"/>
    <w:rsid w:val="2040EC8B"/>
    <w:rsid w:val="204350BD"/>
    <w:rsid w:val="20443040"/>
    <w:rsid w:val="2045FEE3"/>
    <w:rsid w:val="204D6636"/>
    <w:rsid w:val="2051D61B"/>
    <w:rsid w:val="2057999A"/>
    <w:rsid w:val="20584D5E"/>
    <w:rsid w:val="205A3D99"/>
    <w:rsid w:val="20622BB2"/>
    <w:rsid w:val="2062FEBC"/>
    <w:rsid w:val="20659EF7"/>
    <w:rsid w:val="206CF9EE"/>
    <w:rsid w:val="206E093D"/>
    <w:rsid w:val="2072685B"/>
    <w:rsid w:val="20772619"/>
    <w:rsid w:val="207A58EB"/>
    <w:rsid w:val="207AAAE4"/>
    <w:rsid w:val="207F021D"/>
    <w:rsid w:val="20808FED"/>
    <w:rsid w:val="2081BFEF"/>
    <w:rsid w:val="208497DD"/>
    <w:rsid w:val="20891F9B"/>
    <w:rsid w:val="2089DAB9"/>
    <w:rsid w:val="208A3CDC"/>
    <w:rsid w:val="208B1EA7"/>
    <w:rsid w:val="208B9E37"/>
    <w:rsid w:val="208EFC15"/>
    <w:rsid w:val="20905957"/>
    <w:rsid w:val="209516A6"/>
    <w:rsid w:val="209709B0"/>
    <w:rsid w:val="20999BEE"/>
    <w:rsid w:val="209B5DFE"/>
    <w:rsid w:val="209BFFA9"/>
    <w:rsid w:val="209C2CAA"/>
    <w:rsid w:val="209CDD9B"/>
    <w:rsid w:val="209F7815"/>
    <w:rsid w:val="20A1506C"/>
    <w:rsid w:val="20A7155C"/>
    <w:rsid w:val="20A7A8CF"/>
    <w:rsid w:val="20AB5561"/>
    <w:rsid w:val="20AC214F"/>
    <w:rsid w:val="20AFE1E9"/>
    <w:rsid w:val="20B1C7BE"/>
    <w:rsid w:val="20B32E20"/>
    <w:rsid w:val="20BCBA54"/>
    <w:rsid w:val="20C474AB"/>
    <w:rsid w:val="20C718DB"/>
    <w:rsid w:val="20C7F377"/>
    <w:rsid w:val="20CC20DC"/>
    <w:rsid w:val="20CFDEB4"/>
    <w:rsid w:val="20D21776"/>
    <w:rsid w:val="20D2D371"/>
    <w:rsid w:val="20D35BFD"/>
    <w:rsid w:val="20D3DF08"/>
    <w:rsid w:val="20D82374"/>
    <w:rsid w:val="20DF38CD"/>
    <w:rsid w:val="20E1EDE5"/>
    <w:rsid w:val="20E293AF"/>
    <w:rsid w:val="20E2C847"/>
    <w:rsid w:val="20E5B635"/>
    <w:rsid w:val="20E82253"/>
    <w:rsid w:val="20E8AA12"/>
    <w:rsid w:val="20EA2CBF"/>
    <w:rsid w:val="20F9ED3C"/>
    <w:rsid w:val="20FB2EE8"/>
    <w:rsid w:val="20FBB082"/>
    <w:rsid w:val="20FCE3EE"/>
    <w:rsid w:val="20FD7F56"/>
    <w:rsid w:val="2105F91A"/>
    <w:rsid w:val="21256D7E"/>
    <w:rsid w:val="212DCC1C"/>
    <w:rsid w:val="21309727"/>
    <w:rsid w:val="2133322C"/>
    <w:rsid w:val="21333BE5"/>
    <w:rsid w:val="21347938"/>
    <w:rsid w:val="2137BF94"/>
    <w:rsid w:val="213D0B12"/>
    <w:rsid w:val="213D1D3B"/>
    <w:rsid w:val="213E325B"/>
    <w:rsid w:val="2143A7FE"/>
    <w:rsid w:val="21458B44"/>
    <w:rsid w:val="214F958B"/>
    <w:rsid w:val="21510E88"/>
    <w:rsid w:val="215125EB"/>
    <w:rsid w:val="2152AE58"/>
    <w:rsid w:val="215783BF"/>
    <w:rsid w:val="215AD96C"/>
    <w:rsid w:val="215B6B7A"/>
    <w:rsid w:val="215F7D25"/>
    <w:rsid w:val="2160D238"/>
    <w:rsid w:val="2164568B"/>
    <w:rsid w:val="216473EE"/>
    <w:rsid w:val="216737BC"/>
    <w:rsid w:val="216E18FB"/>
    <w:rsid w:val="216EA811"/>
    <w:rsid w:val="217B7D66"/>
    <w:rsid w:val="217C636F"/>
    <w:rsid w:val="217CEC19"/>
    <w:rsid w:val="217D5FD6"/>
    <w:rsid w:val="217E4A08"/>
    <w:rsid w:val="218B25BC"/>
    <w:rsid w:val="218C322E"/>
    <w:rsid w:val="218DE82F"/>
    <w:rsid w:val="218F7ED8"/>
    <w:rsid w:val="2190AFD9"/>
    <w:rsid w:val="21923495"/>
    <w:rsid w:val="21999E8A"/>
    <w:rsid w:val="219DF406"/>
    <w:rsid w:val="21A3766C"/>
    <w:rsid w:val="21A9F0C2"/>
    <w:rsid w:val="21AD27B6"/>
    <w:rsid w:val="21AEB8A2"/>
    <w:rsid w:val="21AF504C"/>
    <w:rsid w:val="21AFE58D"/>
    <w:rsid w:val="21B34C2D"/>
    <w:rsid w:val="21B5C544"/>
    <w:rsid w:val="21BC8135"/>
    <w:rsid w:val="21BF8FC6"/>
    <w:rsid w:val="21C30EAE"/>
    <w:rsid w:val="21C453E6"/>
    <w:rsid w:val="21C4A0FE"/>
    <w:rsid w:val="21C57806"/>
    <w:rsid w:val="21C603A5"/>
    <w:rsid w:val="21CF79EC"/>
    <w:rsid w:val="21D287DC"/>
    <w:rsid w:val="21D419AF"/>
    <w:rsid w:val="21D45E8D"/>
    <w:rsid w:val="21D593A2"/>
    <w:rsid w:val="21D9F93B"/>
    <w:rsid w:val="21DF7F29"/>
    <w:rsid w:val="21E57869"/>
    <w:rsid w:val="21E5B624"/>
    <w:rsid w:val="21E65F2B"/>
    <w:rsid w:val="21E97CD1"/>
    <w:rsid w:val="21F07E0F"/>
    <w:rsid w:val="21F32600"/>
    <w:rsid w:val="21FD4634"/>
    <w:rsid w:val="22035DDD"/>
    <w:rsid w:val="22047C81"/>
    <w:rsid w:val="22069CBE"/>
    <w:rsid w:val="22085FE5"/>
    <w:rsid w:val="2209D730"/>
    <w:rsid w:val="2209F26C"/>
    <w:rsid w:val="220A07BA"/>
    <w:rsid w:val="220F82F2"/>
    <w:rsid w:val="2211C49D"/>
    <w:rsid w:val="22127408"/>
    <w:rsid w:val="22130D43"/>
    <w:rsid w:val="2215AA89"/>
    <w:rsid w:val="221CADA4"/>
    <w:rsid w:val="221EB266"/>
    <w:rsid w:val="22294F8E"/>
    <w:rsid w:val="222D44AD"/>
    <w:rsid w:val="223135E5"/>
    <w:rsid w:val="22359906"/>
    <w:rsid w:val="2239C9E6"/>
    <w:rsid w:val="2239CEED"/>
    <w:rsid w:val="22426151"/>
    <w:rsid w:val="224469FD"/>
    <w:rsid w:val="22461685"/>
    <w:rsid w:val="22462F16"/>
    <w:rsid w:val="224947E5"/>
    <w:rsid w:val="2257F924"/>
    <w:rsid w:val="2258C908"/>
    <w:rsid w:val="225AA590"/>
    <w:rsid w:val="225F324B"/>
    <w:rsid w:val="2262749A"/>
    <w:rsid w:val="2264C72C"/>
    <w:rsid w:val="2267C779"/>
    <w:rsid w:val="22687F53"/>
    <w:rsid w:val="226ABDB6"/>
    <w:rsid w:val="226D86A4"/>
    <w:rsid w:val="22714741"/>
    <w:rsid w:val="227427E0"/>
    <w:rsid w:val="2275C452"/>
    <w:rsid w:val="22788249"/>
    <w:rsid w:val="2285F3D7"/>
    <w:rsid w:val="228699B2"/>
    <w:rsid w:val="2289EBA1"/>
    <w:rsid w:val="228A6882"/>
    <w:rsid w:val="228BEE08"/>
    <w:rsid w:val="22935975"/>
    <w:rsid w:val="2294AB05"/>
    <w:rsid w:val="22990F93"/>
    <w:rsid w:val="229AFF7D"/>
    <w:rsid w:val="229B22F5"/>
    <w:rsid w:val="229CBC9D"/>
    <w:rsid w:val="229CC3D0"/>
    <w:rsid w:val="229F6A0D"/>
    <w:rsid w:val="22A2540C"/>
    <w:rsid w:val="22A5231D"/>
    <w:rsid w:val="22A59075"/>
    <w:rsid w:val="22A61D1E"/>
    <w:rsid w:val="22A7A5F0"/>
    <w:rsid w:val="22AB914B"/>
    <w:rsid w:val="22ABE11C"/>
    <w:rsid w:val="22AC23FF"/>
    <w:rsid w:val="22B52FBD"/>
    <w:rsid w:val="22B6C6A0"/>
    <w:rsid w:val="22BBF549"/>
    <w:rsid w:val="22C22DDF"/>
    <w:rsid w:val="22C7BBDE"/>
    <w:rsid w:val="22C8AF7F"/>
    <w:rsid w:val="22CEF632"/>
    <w:rsid w:val="22D47D7D"/>
    <w:rsid w:val="22D4ABC0"/>
    <w:rsid w:val="22D4AF14"/>
    <w:rsid w:val="22D57D58"/>
    <w:rsid w:val="22D5ABBC"/>
    <w:rsid w:val="22D610AF"/>
    <w:rsid w:val="22D94985"/>
    <w:rsid w:val="22DF6A15"/>
    <w:rsid w:val="22E0AF35"/>
    <w:rsid w:val="22E25B37"/>
    <w:rsid w:val="22E54173"/>
    <w:rsid w:val="22E674C9"/>
    <w:rsid w:val="22E7F80B"/>
    <w:rsid w:val="22EA1468"/>
    <w:rsid w:val="22F00DE1"/>
    <w:rsid w:val="22FD3379"/>
    <w:rsid w:val="22FD796A"/>
    <w:rsid w:val="230508B4"/>
    <w:rsid w:val="23059920"/>
    <w:rsid w:val="2306315C"/>
    <w:rsid w:val="230A97C1"/>
    <w:rsid w:val="230F3CB3"/>
    <w:rsid w:val="2310DE25"/>
    <w:rsid w:val="23117239"/>
    <w:rsid w:val="23150CA3"/>
    <w:rsid w:val="231604CB"/>
    <w:rsid w:val="231C4A21"/>
    <w:rsid w:val="231C9186"/>
    <w:rsid w:val="2320FB7F"/>
    <w:rsid w:val="23213025"/>
    <w:rsid w:val="23213E39"/>
    <w:rsid w:val="23242B8A"/>
    <w:rsid w:val="2326C7A0"/>
    <w:rsid w:val="2327317B"/>
    <w:rsid w:val="2328F0A4"/>
    <w:rsid w:val="23298084"/>
    <w:rsid w:val="232C685E"/>
    <w:rsid w:val="232EA607"/>
    <w:rsid w:val="233215D0"/>
    <w:rsid w:val="23329CC8"/>
    <w:rsid w:val="23368D2E"/>
    <w:rsid w:val="233BDF36"/>
    <w:rsid w:val="233C0FBF"/>
    <w:rsid w:val="233FDC80"/>
    <w:rsid w:val="2346B270"/>
    <w:rsid w:val="2348C9AE"/>
    <w:rsid w:val="234A20B5"/>
    <w:rsid w:val="234B6885"/>
    <w:rsid w:val="234C7601"/>
    <w:rsid w:val="2355ED38"/>
    <w:rsid w:val="23573BEB"/>
    <w:rsid w:val="23574629"/>
    <w:rsid w:val="235BDDD7"/>
    <w:rsid w:val="235D61A4"/>
    <w:rsid w:val="235E1DA0"/>
    <w:rsid w:val="23618154"/>
    <w:rsid w:val="236436B2"/>
    <w:rsid w:val="23650C3D"/>
    <w:rsid w:val="23695204"/>
    <w:rsid w:val="236A9FBE"/>
    <w:rsid w:val="236AC1E3"/>
    <w:rsid w:val="236C046C"/>
    <w:rsid w:val="236F2E07"/>
    <w:rsid w:val="23730025"/>
    <w:rsid w:val="2376C124"/>
    <w:rsid w:val="237A8764"/>
    <w:rsid w:val="237FC45B"/>
    <w:rsid w:val="23815955"/>
    <w:rsid w:val="238791EF"/>
    <w:rsid w:val="238807C0"/>
    <w:rsid w:val="238995C3"/>
    <w:rsid w:val="2389FDB8"/>
    <w:rsid w:val="238DE503"/>
    <w:rsid w:val="238E0C7E"/>
    <w:rsid w:val="238E7E09"/>
    <w:rsid w:val="238EE1D3"/>
    <w:rsid w:val="239507C9"/>
    <w:rsid w:val="2395F5F3"/>
    <w:rsid w:val="2398CD25"/>
    <w:rsid w:val="2399A244"/>
    <w:rsid w:val="239BEB30"/>
    <w:rsid w:val="239E0BCF"/>
    <w:rsid w:val="23A1BA81"/>
    <w:rsid w:val="23A3C9BA"/>
    <w:rsid w:val="23AE1BE1"/>
    <w:rsid w:val="23AEB871"/>
    <w:rsid w:val="23B66993"/>
    <w:rsid w:val="23B8BDC0"/>
    <w:rsid w:val="23BAAD58"/>
    <w:rsid w:val="23BC4BFB"/>
    <w:rsid w:val="23C06EE3"/>
    <w:rsid w:val="23C6BFF6"/>
    <w:rsid w:val="23C6D397"/>
    <w:rsid w:val="23C78125"/>
    <w:rsid w:val="23C7BE1D"/>
    <w:rsid w:val="23D052E9"/>
    <w:rsid w:val="23D7EA9D"/>
    <w:rsid w:val="23DA37CE"/>
    <w:rsid w:val="23E20266"/>
    <w:rsid w:val="23E5A99D"/>
    <w:rsid w:val="23FC34A7"/>
    <w:rsid w:val="23FD3895"/>
    <w:rsid w:val="23FDE173"/>
    <w:rsid w:val="240316E4"/>
    <w:rsid w:val="24044DEB"/>
    <w:rsid w:val="2405BD26"/>
    <w:rsid w:val="2413016F"/>
    <w:rsid w:val="2416CEA5"/>
    <w:rsid w:val="241B0308"/>
    <w:rsid w:val="241E8F2B"/>
    <w:rsid w:val="24214952"/>
    <w:rsid w:val="2421DA28"/>
    <w:rsid w:val="24267F3B"/>
    <w:rsid w:val="2426DFED"/>
    <w:rsid w:val="242D603D"/>
    <w:rsid w:val="2431C184"/>
    <w:rsid w:val="2431ECB8"/>
    <w:rsid w:val="243295E7"/>
    <w:rsid w:val="2439EEB0"/>
    <w:rsid w:val="243CAF5D"/>
    <w:rsid w:val="243FD406"/>
    <w:rsid w:val="24412C2D"/>
    <w:rsid w:val="244C87DF"/>
    <w:rsid w:val="244F7F49"/>
    <w:rsid w:val="24504518"/>
    <w:rsid w:val="2454DDED"/>
    <w:rsid w:val="245CA565"/>
    <w:rsid w:val="245E310E"/>
    <w:rsid w:val="2468FC4C"/>
    <w:rsid w:val="246C0F30"/>
    <w:rsid w:val="246DFF53"/>
    <w:rsid w:val="2470FD38"/>
    <w:rsid w:val="24719550"/>
    <w:rsid w:val="2473250E"/>
    <w:rsid w:val="2473C61A"/>
    <w:rsid w:val="2473EC49"/>
    <w:rsid w:val="24753D08"/>
    <w:rsid w:val="247ACA9D"/>
    <w:rsid w:val="247BA7C4"/>
    <w:rsid w:val="247BECCD"/>
    <w:rsid w:val="247DE7F7"/>
    <w:rsid w:val="24873F50"/>
    <w:rsid w:val="248E3995"/>
    <w:rsid w:val="248FECEC"/>
    <w:rsid w:val="2490C1FA"/>
    <w:rsid w:val="24910D88"/>
    <w:rsid w:val="2491681D"/>
    <w:rsid w:val="2493C42F"/>
    <w:rsid w:val="249ADF9D"/>
    <w:rsid w:val="249DF241"/>
    <w:rsid w:val="249ED076"/>
    <w:rsid w:val="249F80C9"/>
    <w:rsid w:val="24A7071F"/>
    <w:rsid w:val="24A950A8"/>
    <w:rsid w:val="24AC5722"/>
    <w:rsid w:val="24AD119A"/>
    <w:rsid w:val="24B20EF0"/>
    <w:rsid w:val="24B2C354"/>
    <w:rsid w:val="24B52FC4"/>
    <w:rsid w:val="24B7F2FD"/>
    <w:rsid w:val="24BAE165"/>
    <w:rsid w:val="24BE0066"/>
    <w:rsid w:val="24BE1A7D"/>
    <w:rsid w:val="24C06A41"/>
    <w:rsid w:val="24C1BD94"/>
    <w:rsid w:val="24C78516"/>
    <w:rsid w:val="24C9F7DB"/>
    <w:rsid w:val="24D018F6"/>
    <w:rsid w:val="24D3F9B5"/>
    <w:rsid w:val="24D4634E"/>
    <w:rsid w:val="24D62A26"/>
    <w:rsid w:val="24D852A6"/>
    <w:rsid w:val="24DA29BC"/>
    <w:rsid w:val="24DE0A0B"/>
    <w:rsid w:val="24DE0DA9"/>
    <w:rsid w:val="24DEFE73"/>
    <w:rsid w:val="24E3131C"/>
    <w:rsid w:val="24EDA849"/>
    <w:rsid w:val="24F33DFD"/>
    <w:rsid w:val="24FB638A"/>
    <w:rsid w:val="24FD5A82"/>
    <w:rsid w:val="2500B0FD"/>
    <w:rsid w:val="25038C4C"/>
    <w:rsid w:val="2505F06C"/>
    <w:rsid w:val="2505FFBA"/>
    <w:rsid w:val="2508A7A5"/>
    <w:rsid w:val="2508DBA2"/>
    <w:rsid w:val="2508EC98"/>
    <w:rsid w:val="2508F60C"/>
    <w:rsid w:val="250D3E6C"/>
    <w:rsid w:val="250DC536"/>
    <w:rsid w:val="25164B4C"/>
    <w:rsid w:val="25166EE7"/>
    <w:rsid w:val="251A2353"/>
    <w:rsid w:val="251A9530"/>
    <w:rsid w:val="251B59C5"/>
    <w:rsid w:val="251C8CCF"/>
    <w:rsid w:val="252311B4"/>
    <w:rsid w:val="2523C08C"/>
    <w:rsid w:val="25268DD2"/>
    <w:rsid w:val="2526F771"/>
    <w:rsid w:val="2530A2CD"/>
    <w:rsid w:val="2531FAAF"/>
    <w:rsid w:val="253AECEE"/>
    <w:rsid w:val="253AFAE9"/>
    <w:rsid w:val="253E7553"/>
    <w:rsid w:val="2544A6AB"/>
    <w:rsid w:val="2545F9BB"/>
    <w:rsid w:val="2548E8B2"/>
    <w:rsid w:val="2549036E"/>
    <w:rsid w:val="254B89C2"/>
    <w:rsid w:val="254FAB47"/>
    <w:rsid w:val="25517E3A"/>
    <w:rsid w:val="2553C8DF"/>
    <w:rsid w:val="255B5595"/>
    <w:rsid w:val="25634C5B"/>
    <w:rsid w:val="2563FED1"/>
    <w:rsid w:val="25669EC7"/>
    <w:rsid w:val="256FD800"/>
    <w:rsid w:val="2570D46D"/>
    <w:rsid w:val="2572254F"/>
    <w:rsid w:val="257435F4"/>
    <w:rsid w:val="25749380"/>
    <w:rsid w:val="25774A72"/>
    <w:rsid w:val="25785429"/>
    <w:rsid w:val="257A6874"/>
    <w:rsid w:val="257AC55E"/>
    <w:rsid w:val="257D1784"/>
    <w:rsid w:val="257E2619"/>
    <w:rsid w:val="25831B57"/>
    <w:rsid w:val="25836D72"/>
    <w:rsid w:val="25837B22"/>
    <w:rsid w:val="258920CF"/>
    <w:rsid w:val="25897227"/>
    <w:rsid w:val="2589955A"/>
    <w:rsid w:val="25939DC9"/>
    <w:rsid w:val="25941946"/>
    <w:rsid w:val="259C181C"/>
    <w:rsid w:val="25A32791"/>
    <w:rsid w:val="25A3D6CA"/>
    <w:rsid w:val="25A6ADA6"/>
    <w:rsid w:val="25A6B237"/>
    <w:rsid w:val="25ADFACB"/>
    <w:rsid w:val="25B3F366"/>
    <w:rsid w:val="25B6239D"/>
    <w:rsid w:val="25B64EE6"/>
    <w:rsid w:val="25BAEB48"/>
    <w:rsid w:val="25BDE4C0"/>
    <w:rsid w:val="25BFE674"/>
    <w:rsid w:val="25C03B60"/>
    <w:rsid w:val="25C35C38"/>
    <w:rsid w:val="25C3CBD2"/>
    <w:rsid w:val="25C41283"/>
    <w:rsid w:val="25C8C560"/>
    <w:rsid w:val="25D7F120"/>
    <w:rsid w:val="25DC3554"/>
    <w:rsid w:val="25E28230"/>
    <w:rsid w:val="25E5B58E"/>
    <w:rsid w:val="25E7DB38"/>
    <w:rsid w:val="25EB4319"/>
    <w:rsid w:val="25ED7D74"/>
    <w:rsid w:val="25EE338A"/>
    <w:rsid w:val="25EF5882"/>
    <w:rsid w:val="25F2AB4E"/>
    <w:rsid w:val="25F32722"/>
    <w:rsid w:val="25F4AFE4"/>
    <w:rsid w:val="25F70FB1"/>
    <w:rsid w:val="25F85B37"/>
    <w:rsid w:val="25FB21E9"/>
    <w:rsid w:val="25FD1E96"/>
    <w:rsid w:val="25FDD603"/>
    <w:rsid w:val="25FFDF30"/>
    <w:rsid w:val="2601D036"/>
    <w:rsid w:val="2602CC62"/>
    <w:rsid w:val="26039135"/>
    <w:rsid w:val="2605CDA7"/>
    <w:rsid w:val="260B21ED"/>
    <w:rsid w:val="260B6DCF"/>
    <w:rsid w:val="260C9296"/>
    <w:rsid w:val="260E5409"/>
    <w:rsid w:val="260E8040"/>
    <w:rsid w:val="260EFAD4"/>
    <w:rsid w:val="260F430B"/>
    <w:rsid w:val="261493E8"/>
    <w:rsid w:val="26156090"/>
    <w:rsid w:val="26241109"/>
    <w:rsid w:val="262BF673"/>
    <w:rsid w:val="262C0F73"/>
    <w:rsid w:val="2632805A"/>
    <w:rsid w:val="2633A2FD"/>
    <w:rsid w:val="263908B3"/>
    <w:rsid w:val="263AC5D8"/>
    <w:rsid w:val="263C0FA5"/>
    <w:rsid w:val="263C3567"/>
    <w:rsid w:val="263CB6B4"/>
    <w:rsid w:val="2649F7F2"/>
    <w:rsid w:val="264D0D14"/>
    <w:rsid w:val="264DF652"/>
    <w:rsid w:val="2650A5A4"/>
    <w:rsid w:val="26512943"/>
    <w:rsid w:val="2652FEBA"/>
    <w:rsid w:val="2655AA0B"/>
    <w:rsid w:val="26568C75"/>
    <w:rsid w:val="26590EA0"/>
    <w:rsid w:val="265E1102"/>
    <w:rsid w:val="265FE026"/>
    <w:rsid w:val="2662999C"/>
    <w:rsid w:val="2666F82F"/>
    <w:rsid w:val="2667FD9F"/>
    <w:rsid w:val="266D7349"/>
    <w:rsid w:val="266DF55D"/>
    <w:rsid w:val="266F006B"/>
    <w:rsid w:val="266FA8CF"/>
    <w:rsid w:val="2670D6A4"/>
    <w:rsid w:val="2672EFFD"/>
    <w:rsid w:val="267DE882"/>
    <w:rsid w:val="267FB104"/>
    <w:rsid w:val="26828DA4"/>
    <w:rsid w:val="26833A6B"/>
    <w:rsid w:val="268A608E"/>
    <w:rsid w:val="268D259D"/>
    <w:rsid w:val="269404EA"/>
    <w:rsid w:val="26979986"/>
    <w:rsid w:val="2697C9FC"/>
    <w:rsid w:val="269B6B08"/>
    <w:rsid w:val="26A01619"/>
    <w:rsid w:val="26A1DCC6"/>
    <w:rsid w:val="26A67CD3"/>
    <w:rsid w:val="26AA3BF5"/>
    <w:rsid w:val="26AC505E"/>
    <w:rsid w:val="26BB7DE3"/>
    <w:rsid w:val="26BD21A3"/>
    <w:rsid w:val="26BE9340"/>
    <w:rsid w:val="26C04D2B"/>
    <w:rsid w:val="26C0D62E"/>
    <w:rsid w:val="26C6C83A"/>
    <w:rsid w:val="26D31C86"/>
    <w:rsid w:val="26D3EA59"/>
    <w:rsid w:val="26DBDA62"/>
    <w:rsid w:val="26DC9E57"/>
    <w:rsid w:val="26E2E2F6"/>
    <w:rsid w:val="26E9D7C8"/>
    <w:rsid w:val="26EC8335"/>
    <w:rsid w:val="26EDB3A7"/>
    <w:rsid w:val="26EE31B8"/>
    <w:rsid w:val="26EE5C18"/>
    <w:rsid w:val="26EF8CC7"/>
    <w:rsid w:val="26F197E4"/>
    <w:rsid w:val="26F19CF2"/>
    <w:rsid w:val="26F4466B"/>
    <w:rsid w:val="26F446E4"/>
    <w:rsid w:val="26F51363"/>
    <w:rsid w:val="26F544C7"/>
    <w:rsid w:val="26F5518B"/>
    <w:rsid w:val="26F7CACE"/>
    <w:rsid w:val="26FBC31D"/>
    <w:rsid w:val="27017695"/>
    <w:rsid w:val="27068944"/>
    <w:rsid w:val="2706A136"/>
    <w:rsid w:val="2710F296"/>
    <w:rsid w:val="2716A130"/>
    <w:rsid w:val="271BC2E4"/>
    <w:rsid w:val="271EDB58"/>
    <w:rsid w:val="2724F49D"/>
    <w:rsid w:val="2729AC80"/>
    <w:rsid w:val="27338F66"/>
    <w:rsid w:val="27345568"/>
    <w:rsid w:val="27377807"/>
    <w:rsid w:val="2738905E"/>
    <w:rsid w:val="273F794D"/>
    <w:rsid w:val="27408EAE"/>
    <w:rsid w:val="2741F941"/>
    <w:rsid w:val="274596BB"/>
    <w:rsid w:val="27482C07"/>
    <w:rsid w:val="27498EFE"/>
    <w:rsid w:val="274C3F3C"/>
    <w:rsid w:val="274D681A"/>
    <w:rsid w:val="274F7B95"/>
    <w:rsid w:val="2751B87B"/>
    <w:rsid w:val="2751E94C"/>
    <w:rsid w:val="27543630"/>
    <w:rsid w:val="2757D6CD"/>
    <w:rsid w:val="27586FA6"/>
    <w:rsid w:val="275A04B9"/>
    <w:rsid w:val="275BCBDB"/>
    <w:rsid w:val="2760FD1B"/>
    <w:rsid w:val="27615E31"/>
    <w:rsid w:val="27663FA1"/>
    <w:rsid w:val="2767844D"/>
    <w:rsid w:val="27699B62"/>
    <w:rsid w:val="277474D9"/>
    <w:rsid w:val="2778B71C"/>
    <w:rsid w:val="2779D563"/>
    <w:rsid w:val="277B5240"/>
    <w:rsid w:val="277EB913"/>
    <w:rsid w:val="277F7CF2"/>
    <w:rsid w:val="278003FE"/>
    <w:rsid w:val="2781BD6C"/>
    <w:rsid w:val="2787EFB5"/>
    <w:rsid w:val="278CFB69"/>
    <w:rsid w:val="278ECFF7"/>
    <w:rsid w:val="278F7788"/>
    <w:rsid w:val="2799255C"/>
    <w:rsid w:val="27A487C9"/>
    <w:rsid w:val="27A9EEA6"/>
    <w:rsid w:val="27AA96C9"/>
    <w:rsid w:val="27AB5883"/>
    <w:rsid w:val="27AD2061"/>
    <w:rsid w:val="27AF26E0"/>
    <w:rsid w:val="27B30A2B"/>
    <w:rsid w:val="27B940DD"/>
    <w:rsid w:val="27BA36DE"/>
    <w:rsid w:val="27BADFCD"/>
    <w:rsid w:val="27BF7AE8"/>
    <w:rsid w:val="27C25946"/>
    <w:rsid w:val="27C25D9B"/>
    <w:rsid w:val="27C3F57D"/>
    <w:rsid w:val="27C47462"/>
    <w:rsid w:val="27C743CD"/>
    <w:rsid w:val="27C86094"/>
    <w:rsid w:val="27CF0251"/>
    <w:rsid w:val="27D0A3AF"/>
    <w:rsid w:val="27D25E38"/>
    <w:rsid w:val="27D502F7"/>
    <w:rsid w:val="27D5365E"/>
    <w:rsid w:val="27D5503A"/>
    <w:rsid w:val="27DA8EF8"/>
    <w:rsid w:val="27DB3115"/>
    <w:rsid w:val="27DDFC20"/>
    <w:rsid w:val="27DF33D2"/>
    <w:rsid w:val="27E3B0D7"/>
    <w:rsid w:val="27E5A229"/>
    <w:rsid w:val="27E66E3E"/>
    <w:rsid w:val="27E6A017"/>
    <w:rsid w:val="27ED86E0"/>
    <w:rsid w:val="27F3C6FC"/>
    <w:rsid w:val="27F76EB6"/>
    <w:rsid w:val="27FA9849"/>
    <w:rsid w:val="27FC08F7"/>
    <w:rsid w:val="27FDDF25"/>
    <w:rsid w:val="27FF332A"/>
    <w:rsid w:val="2801951C"/>
    <w:rsid w:val="280305D9"/>
    <w:rsid w:val="2804FB42"/>
    <w:rsid w:val="2805739A"/>
    <w:rsid w:val="280B7074"/>
    <w:rsid w:val="280BD27F"/>
    <w:rsid w:val="280EBEEF"/>
    <w:rsid w:val="2810506B"/>
    <w:rsid w:val="2813E0C6"/>
    <w:rsid w:val="2814952E"/>
    <w:rsid w:val="281598BD"/>
    <w:rsid w:val="2817B57B"/>
    <w:rsid w:val="281ADAB0"/>
    <w:rsid w:val="281E4544"/>
    <w:rsid w:val="28246C31"/>
    <w:rsid w:val="28248FAC"/>
    <w:rsid w:val="282A39AA"/>
    <w:rsid w:val="282A7467"/>
    <w:rsid w:val="282CD2EA"/>
    <w:rsid w:val="282E566A"/>
    <w:rsid w:val="2831D345"/>
    <w:rsid w:val="2833D528"/>
    <w:rsid w:val="2835E552"/>
    <w:rsid w:val="283833C0"/>
    <w:rsid w:val="283B7C30"/>
    <w:rsid w:val="283D4491"/>
    <w:rsid w:val="283DE782"/>
    <w:rsid w:val="2840191D"/>
    <w:rsid w:val="2841BA73"/>
    <w:rsid w:val="284552EC"/>
    <w:rsid w:val="2847ACD7"/>
    <w:rsid w:val="28481BC5"/>
    <w:rsid w:val="28487A34"/>
    <w:rsid w:val="284B0945"/>
    <w:rsid w:val="284C56DE"/>
    <w:rsid w:val="2850DC9E"/>
    <w:rsid w:val="28531BD9"/>
    <w:rsid w:val="2853BE76"/>
    <w:rsid w:val="28540C51"/>
    <w:rsid w:val="28593C7E"/>
    <w:rsid w:val="2859533F"/>
    <w:rsid w:val="2859845A"/>
    <w:rsid w:val="285BB120"/>
    <w:rsid w:val="285F4162"/>
    <w:rsid w:val="286A646E"/>
    <w:rsid w:val="286B7C75"/>
    <w:rsid w:val="286D54A3"/>
    <w:rsid w:val="286F7BD3"/>
    <w:rsid w:val="286F9952"/>
    <w:rsid w:val="2877925A"/>
    <w:rsid w:val="287829F6"/>
    <w:rsid w:val="2879622C"/>
    <w:rsid w:val="287D0D24"/>
    <w:rsid w:val="287D7839"/>
    <w:rsid w:val="28823C75"/>
    <w:rsid w:val="28843570"/>
    <w:rsid w:val="2888FC8A"/>
    <w:rsid w:val="288DB0EE"/>
    <w:rsid w:val="288E0807"/>
    <w:rsid w:val="288EACCA"/>
    <w:rsid w:val="28907399"/>
    <w:rsid w:val="28915676"/>
    <w:rsid w:val="2893221E"/>
    <w:rsid w:val="28936F2C"/>
    <w:rsid w:val="28939A02"/>
    <w:rsid w:val="2893B1AE"/>
    <w:rsid w:val="28985F50"/>
    <w:rsid w:val="289B9216"/>
    <w:rsid w:val="289DE00B"/>
    <w:rsid w:val="28A0C6C7"/>
    <w:rsid w:val="28A52F84"/>
    <w:rsid w:val="28A80FFB"/>
    <w:rsid w:val="28A83E39"/>
    <w:rsid w:val="28A9F51E"/>
    <w:rsid w:val="28AB49FC"/>
    <w:rsid w:val="28ACF5E0"/>
    <w:rsid w:val="28ADCA1D"/>
    <w:rsid w:val="28AE03BE"/>
    <w:rsid w:val="28AF69BE"/>
    <w:rsid w:val="28B79913"/>
    <w:rsid w:val="28BFA1B4"/>
    <w:rsid w:val="28CE27A2"/>
    <w:rsid w:val="28CEF7FF"/>
    <w:rsid w:val="28CF4DF0"/>
    <w:rsid w:val="28D07688"/>
    <w:rsid w:val="28D11137"/>
    <w:rsid w:val="28D131E5"/>
    <w:rsid w:val="28D8D12E"/>
    <w:rsid w:val="28DBE996"/>
    <w:rsid w:val="28DD03E4"/>
    <w:rsid w:val="28DE9810"/>
    <w:rsid w:val="28E16264"/>
    <w:rsid w:val="28EF873F"/>
    <w:rsid w:val="28F00245"/>
    <w:rsid w:val="28F511F2"/>
    <w:rsid w:val="28FA1EDC"/>
    <w:rsid w:val="290BC1E1"/>
    <w:rsid w:val="290CFC0D"/>
    <w:rsid w:val="290D5955"/>
    <w:rsid w:val="290EA1F5"/>
    <w:rsid w:val="290EE8DA"/>
    <w:rsid w:val="29105D83"/>
    <w:rsid w:val="29110681"/>
    <w:rsid w:val="291190C1"/>
    <w:rsid w:val="29131079"/>
    <w:rsid w:val="29164E79"/>
    <w:rsid w:val="2917D1C8"/>
    <w:rsid w:val="291883B3"/>
    <w:rsid w:val="291AB6EF"/>
    <w:rsid w:val="291FAE23"/>
    <w:rsid w:val="29207CC9"/>
    <w:rsid w:val="29218E57"/>
    <w:rsid w:val="292C3738"/>
    <w:rsid w:val="292E1A34"/>
    <w:rsid w:val="293522F7"/>
    <w:rsid w:val="29367640"/>
    <w:rsid w:val="293B9477"/>
    <w:rsid w:val="293BE9D4"/>
    <w:rsid w:val="2940955F"/>
    <w:rsid w:val="2941EAAB"/>
    <w:rsid w:val="2943EADA"/>
    <w:rsid w:val="2945C66F"/>
    <w:rsid w:val="29474A1F"/>
    <w:rsid w:val="2948504B"/>
    <w:rsid w:val="294B91C1"/>
    <w:rsid w:val="294C1AAE"/>
    <w:rsid w:val="2951591E"/>
    <w:rsid w:val="2954149F"/>
    <w:rsid w:val="2954ED5F"/>
    <w:rsid w:val="2964830D"/>
    <w:rsid w:val="296854F0"/>
    <w:rsid w:val="296B93BF"/>
    <w:rsid w:val="296E3E4A"/>
    <w:rsid w:val="296F97A9"/>
    <w:rsid w:val="2974C7FA"/>
    <w:rsid w:val="2974F909"/>
    <w:rsid w:val="29797C64"/>
    <w:rsid w:val="29825F36"/>
    <w:rsid w:val="2983027D"/>
    <w:rsid w:val="2983BD9D"/>
    <w:rsid w:val="298552A4"/>
    <w:rsid w:val="298ABACF"/>
    <w:rsid w:val="29906518"/>
    <w:rsid w:val="29910CAA"/>
    <w:rsid w:val="299D02A4"/>
    <w:rsid w:val="299DB386"/>
    <w:rsid w:val="299E4D5A"/>
    <w:rsid w:val="29A01E55"/>
    <w:rsid w:val="29A4DFE7"/>
    <w:rsid w:val="29A5C557"/>
    <w:rsid w:val="29A6CD46"/>
    <w:rsid w:val="29A9B8EE"/>
    <w:rsid w:val="29AB7ABC"/>
    <w:rsid w:val="29ADACA0"/>
    <w:rsid w:val="29AFFDD9"/>
    <w:rsid w:val="29B1E7A2"/>
    <w:rsid w:val="29B5AA6E"/>
    <w:rsid w:val="29BE3636"/>
    <w:rsid w:val="29BEBDD8"/>
    <w:rsid w:val="29C13C92"/>
    <w:rsid w:val="29C31DFE"/>
    <w:rsid w:val="29C4F83C"/>
    <w:rsid w:val="29C514C6"/>
    <w:rsid w:val="29DAF1E6"/>
    <w:rsid w:val="29DBC85F"/>
    <w:rsid w:val="29E0774E"/>
    <w:rsid w:val="29E42F9F"/>
    <w:rsid w:val="29E4E79E"/>
    <w:rsid w:val="29E4EFB3"/>
    <w:rsid w:val="29E64725"/>
    <w:rsid w:val="29E8153A"/>
    <w:rsid w:val="29EC1C16"/>
    <w:rsid w:val="29ECCE1D"/>
    <w:rsid w:val="29EE3B02"/>
    <w:rsid w:val="29F07BE6"/>
    <w:rsid w:val="29F13877"/>
    <w:rsid w:val="29F72A01"/>
    <w:rsid w:val="29FAEE41"/>
    <w:rsid w:val="29FC836E"/>
    <w:rsid w:val="2A004394"/>
    <w:rsid w:val="2A019EE6"/>
    <w:rsid w:val="2A01A5D5"/>
    <w:rsid w:val="2A022F16"/>
    <w:rsid w:val="2A0A1959"/>
    <w:rsid w:val="2A0AF182"/>
    <w:rsid w:val="2A0E226C"/>
    <w:rsid w:val="2A138771"/>
    <w:rsid w:val="2A156D88"/>
    <w:rsid w:val="2A16F47A"/>
    <w:rsid w:val="2A1E5C64"/>
    <w:rsid w:val="2A1ED5FF"/>
    <w:rsid w:val="2A25F10B"/>
    <w:rsid w:val="2A2A8E17"/>
    <w:rsid w:val="2A2C4D34"/>
    <w:rsid w:val="2A2E15FB"/>
    <w:rsid w:val="2A36A445"/>
    <w:rsid w:val="2A3781DD"/>
    <w:rsid w:val="2A3BA514"/>
    <w:rsid w:val="2A3E4A10"/>
    <w:rsid w:val="2A44469B"/>
    <w:rsid w:val="2A491D07"/>
    <w:rsid w:val="2A498D14"/>
    <w:rsid w:val="2A4CC2E7"/>
    <w:rsid w:val="2A502B8B"/>
    <w:rsid w:val="2A5244BD"/>
    <w:rsid w:val="2A534263"/>
    <w:rsid w:val="2A581EF0"/>
    <w:rsid w:val="2A5A298E"/>
    <w:rsid w:val="2A5ABD10"/>
    <w:rsid w:val="2A602015"/>
    <w:rsid w:val="2A6076A2"/>
    <w:rsid w:val="2A607E39"/>
    <w:rsid w:val="2A61DF20"/>
    <w:rsid w:val="2A664657"/>
    <w:rsid w:val="2A6847C4"/>
    <w:rsid w:val="2A6D6A57"/>
    <w:rsid w:val="2A6DFF89"/>
    <w:rsid w:val="2A6F4281"/>
    <w:rsid w:val="2A701063"/>
    <w:rsid w:val="2A71E197"/>
    <w:rsid w:val="2A764674"/>
    <w:rsid w:val="2A78AF8E"/>
    <w:rsid w:val="2A7A6BED"/>
    <w:rsid w:val="2A7C3BED"/>
    <w:rsid w:val="2A7EFC2A"/>
    <w:rsid w:val="2A8014A2"/>
    <w:rsid w:val="2A81AD8B"/>
    <w:rsid w:val="2A82BD15"/>
    <w:rsid w:val="2A899C6B"/>
    <w:rsid w:val="2A8A4D26"/>
    <w:rsid w:val="2A8B5F17"/>
    <w:rsid w:val="2A8CC86C"/>
    <w:rsid w:val="2A902C51"/>
    <w:rsid w:val="2A923B36"/>
    <w:rsid w:val="2A9CF98D"/>
    <w:rsid w:val="2AA470E4"/>
    <w:rsid w:val="2AABD0F4"/>
    <w:rsid w:val="2AAC7DDE"/>
    <w:rsid w:val="2AAE024A"/>
    <w:rsid w:val="2AB12F90"/>
    <w:rsid w:val="2AB13770"/>
    <w:rsid w:val="2AB74E6D"/>
    <w:rsid w:val="2ABAAB38"/>
    <w:rsid w:val="2ABF67C5"/>
    <w:rsid w:val="2AC59302"/>
    <w:rsid w:val="2ACAA131"/>
    <w:rsid w:val="2ACD7AA1"/>
    <w:rsid w:val="2ACD8D1F"/>
    <w:rsid w:val="2ACDF784"/>
    <w:rsid w:val="2ACF3DB3"/>
    <w:rsid w:val="2AD0083C"/>
    <w:rsid w:val="2AD2106D"/>
    <w:rsid w:val="2AD80160"/>
    <w:rsid w:val="2ADC5024"/>
    <w:rsid w:val="2ADC8490"/>
    <w:rsid w:val="2ADEEBD8"/>
    <w:rsid w:val="2ADF2372"/>
    <w:rsid w:val="2AE2440B"/>
    <w:rsid w:val="2AE36AAC"/>
    <w:rsid w:val="2AE3A1D0"/>
    <w:rsid w:val="2AE494B3"/>
    <w:rsid w:val="2AE80D5A"/>
    <w:rsid w:val="2AEB542B"/>
    <w:rsid w:val="2AEF3003"/>
    <w:rsid w:val="2AF09F48"/>
    <w:rsid w:val="2AF34FE7"/>
    <w:rsid w:val="2AF720E4"/>
    <w:rsid w:val="2AFCDE02"/>
    <w:rsid w:val="2AFD5DDD"/>
    <w:rsid w:val="2AFFA1E7"/>
    <w:rsid w:val="2B02BE21"/>
    <w:rsid w:val="2B0A00E5"/>
    <w:rsid w:val="2B0DCCD3"/>
    <w:rsid w:val="2B11C1A1"/>
    <w:rsid w:val="2B13055A"/>
    <w:rsid w:val="2B19165D"/>
    <w:rsid w:val="2B19D5E8"/>
    <w:rsid w:val="2B1C2AE6"/>
    <w:rsid w:val="2B1FCCAD"/>
    <w:rsid w:val="2B20039A"/>
    <w:rsid w:val="2B26D092"/>
    <w:rsid w:val="2B2D9F10"/>
    <w:rsid w:val="2B2FDB61"/>
    <w:rsid w:val="2B30F492"/>
    <w:rsid w:val="2B334E37"/>
    <w:rsid w:val="2B3AFB5B"/>
    <w:rsid w:val="2B4472F7"/>
    <w:rsid w:val="2B4696C7"/>
    <w:rsid w:val="2B474265"/>
    <w:rsid w:val="2B480B81"/>
    <w:rsid w:val="2B502B58"/>
    <w:rsid w:val="2B5298B0"/>
    <w:rsid w:val="2B563688"/>
    <w:rsid w:val="2B57AE1F"/>
    <w:rsid w:val="2B57CC19"/>
    <w:rsid w:val="2B5B911B"/>
    <w:rsid w:val="2B5C886D"/>
    <w:rsid w:val="2B62EC1A"/>
    <w:rsid w:val="2B64EB44"/>
    <w:rsid w:val="2B6577A1"/>
    <w:rsid w:val="2B679BDD"/>
    <w:rsid w:val="2B699439"/>
    <w:rsid w:val="2B69CFD0"/>
    <w:rsid w:val="2B6B45D8"/>
    <w:rsid w:val="2B6E7CC0"/>
    <w:rsid w:val="2B6EEC94"/>
    <w:rsid w:val="2B718989"/>
    <w:rsid w:val="2B73D027"/>
    <w:rsid w:val="2B800605"/>
    <w:rsid w:val="2B83B12B"/>
    <w:rsid w:val="2B857AE2"/>
    <w:rsid w:val="2B872594"/>
    <w:rsid w:val="2B8F0DA4"/>
    <w:rsid w:val="2B909EAB"/>
    <w:rsid w:val="2B95C8F1"/>
    <w:rsid w:val="2B96DE14"/>
    <w:rsid w:val="2B99D2FB"/>
    <w:rsid w:val="2B9EDD8B"/>
    <w:rsid w:val="2BA7E19A"/>
    <w:rsid w:val="2BAB2F25"/>
    <w:rsid w:val="2BB51CA3"/>
    <w:rsid w:val="2BBF4F6E"/>
    <w:rsid w:val="2BBFDB68"/>
    <w:rsid w:val="2BC1F552"/>
    <w:rsid w:val="2BC8EE80"/>
    <w:rsid w:val="2BC99176"/>
    <w:rsid w:val="2BCE3C45"/>
    <w:rsid w:val="2BCE45AC"/>
    <w:rsid w:val="2BCE92DD"/>
    <w:rsid w:val="2BD48A24"/>
    <w:rsid w:val="2BD69EEB"/>
    <w:rsid w:val="2BD7AD77"/>
    <w:rsid w:val="2BD7EDDD"/>
    <w:rsid w:val="2BD7FA34"/>
    <w:rsid w:val="2BD8CD19"/>
    <w:rsid w:val="2BD9ED31"/>
    <w:rsid w:val="2BE1A899"/>
    <w:rsid w:val="2BE64D37"/>
    <w:rsid w:val="2BE7C369"/>
    <w:rsid w:val="2BEB353C"/>
    <w:rsid w:val="2BEEAB55"/>
    <w:rsid w:val="2BF21201"/>
    <w:rsid w:val="2BFB8DCE"/>
    <w:rsid w:val="2BFE5B22"/>
    <w:rsid w:val="2BFF4DF9"/>
    <w:rsid w:val="2C088CAC"/>
    <w:rsid w:val="2C0978B8"/>
    <w:rsid w:val="2C10846E"/>
    <w:rsid w:val="2C10FB70"/>
    <w:rsid w:val="2C11666C"/>
    <w:rsid w:val="2C12D575"/>
    <w:rsid w:val="2C18C39B"/>
    <w:rsid w:val="2C19801F"/>
    <w:rsid w:val="2C2188E3"/>
    <w:rsid w:val="2C23C654"/>
    <w:rsid w:val="2C2723A4"/>
    <w:rsid w:val="2C2733B2"/>
    <w:rsid w:val="2C30D2DA"/>
    <w:rsid w:val="2C354F59"/>
    <w:rsid w:val="2C355B1C"/>
    <w:rsid w:val="2C391DE2"/>
    <w:rsid w:val="2C39E1FC"/>
    <w:rsid w:val="2C3A1B71"/>
    <w:rsid w:val="2C3B2854"/>
    <w:rsid w:val="2C3C5CC9"/>
    <w:rsid w:val="2C3CCAC1"/>
    <w:rsid w:val="2C4520E7"/>
    <w:rsid w:val="2C457E98"/>
    <w:rsid w:val="2C47970C"/>
    <w:rsid w:val="2C4934EC"/>
    <w:rsid w:val="2C4B000F"/>
    <w:rsid w:val="2C521B84"/>
    <w:rsid w:val="2C546072"/>
    <w:rsid w:val="2C54A4A6"/>
    <w:rsid w:val="2C558EBA"/>
    <w:rsid w:val="2C59432D"/>
    <w:rsid w:val="2C5CD7CC"/>
    <w:rsid w:val="2C5EF696"/>
    <w:rsid w:val="2C608E2D"/>
    <w:rsid w:val="2C66ABB8"/>
    <w:rsid w:val="2C69226E"/>
    <w:rsid w:val="2C694070"/>
    <w:rsid w:val="2C6A5502"/>
    <w:rsid w:val="2C6F665B"/>
    <w:rsid w:val="2C72EDB8"/>
    <w:rsid w:val="2C737B95"/>
    <w:rsid w:val="2C7A8C80"/>
    <w:rsid w:val="2C7DFED2"/>
    <w:rsid w:val="2C7F853E"/>
    <w:rsid w:val="2C7FB510"/>
    <w:rsid w:val="2C805C2B"/>
    <w:rsid w:val="2C83007B"/>
    <w:rsid w:val="2C83F3CC"/>
    <w:rsid w:val="2C8AB2DD"/>
    <w:rsid w:val="2C8EB0F9"/>
    <w:rsid w:val="2C93F606"/>
    <w:rsid w:val="2C985E8A"/>
    <w:rsid w:val="2C99E2B3"/>
    <w:rsid w:val="2CA01E31"/>
    <w:rsid w:val="2CA031D2"/>
    <w:rsid w:val="2CA0EC0A"/>
    <w:rsid w:val="2CA6019F"/>
    <w:rsid w:val="2CA76F4B"/>
    <w:rsid w:val="2CA77597"/>
    <w:rsid w:val="2CA8C477"/>
    <w:rsid w:val="2CAB8155"/>
    <w:rsid w:val="2CAE71E9"/>
    <w:rsid w:val="2CB1F174"/>
    <w:rsid w:val="2CB3294F"/>
    <w:rsid w:val="2CB5B56A"/>
    <w:rsid w:val="2CB741EE"/>
    <w:rsid w:val="2CBDF3C3"/>
    <w:rsid w:val="2CC04B9E"/>
    <w:rsid w:val="2CC2FB1A"/>
    <w:rsid w:val="2CC5065A"/>
    <w:rsid w:val="2CC98407"/>
    <w:rsid w:val="2CD0BF39"/>
    <w:rsid w:val="2CD81012"/>
    <w:rsid w:val="2CE01377"/>
    <w:rsid w:val="2CE2F463"/>
    <w:rsid w:val="2CE68493"/>
    <w:rsid w:val="2CE9E3C1"/>
    <w:rsid w:val="2CEA697F"/>
    <w:rsid w:val="2CEB5DE4"/>
    <w:rsid w:val="2CEBB149"/>
    <w:rsid w:val="2CEC468F"/>
    <w:rsid w:val="2CF42B4F"/>
    <w:rsid w:val="2CFC9698"/>
    <w:rsid w:val="2CFE4B4B"/>
    <w:rsid w:val="2D01B214"/>
    <w:rsid w:val="2D022B33"/>
    <w:rsid w:val="2D024876"/>
    <w:rsid w:val="2D04ABD2"/>
    <w:rsid w:val="2D0F90B3"/>
    <w:rsid w:val="2D17591E"/>
    <w:rsid w:val="2D1DE43E"/>
    <w:rsid w:val="2D1EE641"/>
    <w:rsid w:val="2D1F19A2"/>
    <w:rsid w:val="2D21404F"/>
    <w:rsid w:val="2D21C73D"/>
    <w:rsid w:val="2D23342A"/>
    <w:rsid w:val="2D2CC5AC"/>
    <w:rsid w:val="2D2DEC8F"/>
    <w:rsid w:val="2D2EFE53"/>
    <w:rsid w:val="2D2F6352"/>
    <w:rsid w:val="2D307EEC"/>
    <w:rsid w:val="2D399212"/>
    <w:rsid w:val="2D3DB016"/>
    <w:rsid w:val="2D42D866"/>
    <w:rsid w:val="2D42E6EE"/>
    <w:rsid w:val="2D445949"/>
    <w:rsid w:val="2D48EA4D"/>
    <w:rsid w:val="2D4DF412"/>
    <w:rsid w:val="2D4E9589"/>
    <w:rsid w:val="2D5D1472"/>
    <w:rsid w:val="2D5E7667"/>
    <w:rsid w:val="2D61A4E9"/>
    <w:rsid w:val="2D638CD8"/>
    <w:rsid w:val="2D6D2651"/>
    <w:rsid w:val="2D6FCCBB"/>
    <w:rsid w:val="2D703663"/>
    <w:rsid w:val="2D795A2E"/>
    <w:rsid w:val="2D7A1760"/>
    <w:rsid w:val="2D7C750A"/>
    <w:rsid w:val="2D82E695"/>
    <w:rsid w:val="2D877305"/>
    <w:rsid w:val="2D882D2D"/>
    <w:rsid w:val="2D8A2C7A"/>
    <w:rsid w:val="2D8C7722"/>
    <w:rsid w:val="2D8E32D4"/>
    <w:rsid w:val="2D93A60E"/>
    <w:rsid w:val="2D9474B2"/>
    <w:rsid w:val="2D94B333"/>
    <w:rsid w:val="2D951D75"/>
    <w:rsid w:val="2D9ACB18"/>
    <w:rsid w:val="2D9BFAC1"/>
    <w:rsid w:val="2D9D1069"/>
    <w:rsid w:val="2D9F5771"/>
    <w:rsid w:val="2DA4A65C"/>
    <w:rsid w:val="2DA6373E"/>
    <w:rsid w:val="2DA65F5B"/>
    <w:rsid w:val="2DA77FFD"/>
    <w:rsid w:val="2DAB513F"/>
    <w:rsid w:val="2DAFEC3C"/>
    <w:rsid w:val="2DB12C8C"/>
    <w:rsid w:val="2DB15685"/>
    <w:rsid w:val="2DB40DF9"/>
    <w:rsid w:val="2DB84DF2"/>
    <w:rsid w:val="2DBFAB61"/>
    <w:rsid w:val="2DC1F89B"/>
    <w:rsid w:val="2DC2653C"/>
    <w:rsid w:val="2DC8268A"/>
    <w:rsid w:val="2DC91C9B"/>
    <w:rsid w:val="2DCFD74D"/>
    <w:rsid w:val="2DD06343"/>
    <w:rsid w:val="2DD2666A"/>
    <w:rsid w:val="2DD279A7"/>
    <w:rsid w:val="2DD54550"/>
    <w:rsid w:val="2DDD8D40"/>
    <w:rsid w:val="2DE0A425"/>
    <w:rsid w:val="2DE0DEC8"/>
    <w:rsid w:val="2DE1A36B"/>
    <w:rsid w:val="2DE98A7D"/>
    <w:rsid w:val="2DEF9267"/>
    <w:rsid w:val="2DF41279"/>
    <w:rsid w:val="2DFA13F7"/>
    <w:rsid w:val="2DFF9D8B"/>
    <w:rsid w:val="2E076885"/>
    <w:rsid w:val="2E0A3968"/>
    <w:rsid w:val="2E0A89AE"/>
    <w:rsid w:val="2E0F944B"/>
    <w:rsid w:val="2E10E9C1"/>
    <w:rsid w:val="2E132986"/>
    <w:rsid w:val="2E14DEF8"/>
    <w:rsid w:val="2E1A189E"/>
    <w:rsid w:val="2E2173BC"/>
    <w:rsid w:val="2E236486"/>
    <w:rsid w:val="2E25A33F"/>
    <w:rsid w:val="2E27A57A"/>
    <w:rsid w:val="2E2CC5CE"/>
    <w:rsid w:val="2E2F63D8"/>
    <w:rsid w:val="2E307792"/>
    <w:rsid w:val="2E3815A4"/>
    <w:rsid w:val="2E3924B6"/>
    <w:rsid w:val="2E3B7C67"/>
    <w:rsid w:val="2E44B7E4"/>
    <w:rsid w:val="2E46A6B2"/>
    <w:rsid w:val="2E46C71E"/>
    <w:rsid w:val="2E47022D"/>
    <w:rsid w:val="2E490485"/>
    <w:rsid w:val="2E4B9F99"/>
    <w:rsid w:val="2E50808F"/>
    <w:rsid w:val="2E549B5D"/>
    <w:rsid w:val="2E5585A2"/>
    <w:rsid w:val="2E562365"/>
    <w:rsid w:val="2E567C77"/>
    <w:rsid w:val="2E574601"/>
    <w:rsid w:val="2E585988"/>
    <w:rsid w:val="2E58938A"/>
    <w:rsid w:val="2E5CAE1F"/>
    <w:rsid w:val="2E5D1489"/>
    <w:rsid w:val="2E5FF764"/>
    <w:rsid w:val="2E616107"/>
    <w:rsid w:val="2E6194AB"/>
    <w:rsid w:val="2E6BA350"/>
    <w:rsid w:val="2E724954"/>
    <w:rsid w:val="2E752EA4"/>
    <w:rsid w:val="2E7B28F0"/>
    <w:rsid w:val="2E7FE37F"/>
    <w:rsid w:val="2E800EAF"/>
    <w:rsid w:val="2E845EEA"/>
    <w:rsid w:val="2E86FD52"/>
    <w:rsid w:val="2E893C9D"/>
    <w:rsid w:val="2E8A4383"/>
    <w:rsid w:val="2E8BCAF3"/>
    <w:rsid w:val="2E8CD173"/>
    <w:rsid w:val="2E8D315E"/>
    <w:rsid w:val="2E9A53C0"/>
    <w:rsid w:val="2E9B4A02"/>
    <w:rsid w:val="2E9ECCCF"/>
    <w:rsid w:val="2E9EEB15"/>
    <w:rsid w:val="2E9F1816"/>
    <w:rsid w:val="2EA0F199"/>
    <w:rsid w:val="2EA19DB6"/>
    <w:rsid w:val="2EA493B4"/>
    <w:rsid w:val="2EA54095"/>
    <w:rsid w:val="2EA58F87"/>
    <w:rsid w:val="2EA8BA25"/>
    <w:rsid w:val="2EAA0CC4"/>
    <w:rsid w:val="2EB1A517"/>
    <w:rsid w:val="2EB4972D"/>
    <w:rsid w:val="2EB522D1"/>
    <w:rsid w:val="2EB64BA9"/>
    <w:rsid w:val="2EB6D72D"/>
    <w:rsid w:val="2EBA04DA"/>
    <w:rsid w:val="2EBEF389"/>
    <w:rsid w:val="2EC17D27"/>
    <w:rsid w:val="2EC47E73"/>
    <w:rsid w:val="2EC65D91"/>
    <w:rsid w:val="2EC721B6"/>
    <w:rsid w:val="2ED0BDC1"/>
    <w:rsid w:val="2ED0FA72"/>
    <w:rsid w:val="2ED4BB56"/>
    <w:rsid w:val="2ED74FBC"/>
    <w:rsid w:val="2EDFB0B9"/>
    <w:rsid w:val="2EE254E6"/>
    <w:rsid w:val="2EEE9514"/>
    <w:rsid w:val="2EF2BC88"/>
    <w:rsid w:val="2EF3A6E8"/>
    <w:rsid w:val="2EF5AF99"/>
    <w:rsid w:val="2EF65B24"/>
    <w:rsid w:val="2EFA2A2E"/>
    <w:rsid w:val="2F03BBBA"/>
    <w:rsid w:val="2F05C633"/>
    <w:rsid w:val="2F0A0333"/>
    <w:rsid w:val="2F0A3219"/>
    <w:rsid w:val="2F0DFAB9"/>
    <w:rsid w:val="2F0EA3F9"/>
    <w:rsid w:val="2F0FE560"/>
    <w:rsid w:val="2F112FD3"/>
    <w:rsid w:val="2F144BF8"/>
    <w:rsid w:val="2F1C19A0"/>
    <w:rsid w:val="2F1D1C1D"/>
    <w:rsid w:val="2F2119D4"/>
    <w:rsid w:val="2F242CA3"/>
    <w:rsid w:val="2F27E78B"/>
    <w:rsid w:val="2F294946"/>
    <w:rsid w:val="2F2A9AD3"/>
    <w:rsid w:val="2F2CC951"/>
    <w:rsid w:val="2F2FFFAD"/>
    <w:rsid w:val="2F30865E"/>
    <w:rsid w:val="2F31AF42"/>
    <w:rsid w:val="2F3D9F46"/>
    <w:rsid w:val="2F3EC574"/>
    <w:rsid w:val="2F3F279A"/>
    <w:rsid w:val="2F42BC62"/>
    <w:rsid w:val="2F44276C"/>
    <w:rsid w:val="2F465FA6"/>
    <w:rsid w:val="2F47C5DF"/>
    <w:rsid w:val="2F495AE3"/>
    <w:rsid w:val="2F4E8340"/>
    <w:rsid w:val="2F516626"/>
    <w:rsid w:val="2F542FA0"/>
    <w:rsid w:val="2F56A826"/>
    <w:rsid w:val="2F5896B4"/>
    <w:rsid w:val="2F5B44B5"/>
    <w:rsid w:val="2F644108"/>
    <w:rsid w:val="2F66E714"/>
    <w:rsid w:val="2F69AFD4"/>
    <w:rsid w:val="2F6A68DA"/>
    <w:rsid w:val="2F7382E2"/>
    <w:rsid w:val="2F775A12"/>
    <w:rsid w:val="2F89F7BC"/>
    <w:rsid w:val="2F930ED3"/>
    <w:rsid w:val="2F963850"/>
    <w:rsid w:val="2F97BA3A"/>
    <w:rsid w:val="2F9A3928"/>
    <w:rsid w:val="2F9CAF84"/>
    <w:rsid w:val="2F9CE545"/>
    <w:rsid w:val="2F9D284C"/>
    <w:rsid w:val="2FA08023"/>
    <w:rsid w:val="2FA248E1"/>
    <w:rsid w:val="2FA65FB6"/>
    <w:rsid w:val="2FA690F7"/>
    <w:rsid w:val="2FA6CBA7"/>
    <w:rsid w:val="2FB56FFE"/>
    <w:rsid w:val="2FBB5B71"/>
    <w:rsid w:val="2FBC52D8"/>
    <w:rsid w:val="2FBCBC41"/>
    <w:rsid w:val="2FC09EB3"/>
    <w:rsid w:val="2FC3207A"/>
    <w:rsid w:val="2FC5C6A4"/>
    <w:rsid w:val="2FCBBFE4"/>
    <w:rsid w:val="2FCBF5BD"/>
    <w:rsid w:val="2FCC3611"/>
    <w:rsid w:val="2FCF2F99"/>
    <w:rsid w:val="2FDB128E"/>
    <w:rsid w:val="2FDCA4A3"/>
    <w:rsid w:val="2FE8A333"/>
    <w:rsid w:val="2FEC1A6B"/>
    <w:rsid w:val="2FF038D9"/>
    <w:rsid w:val="2FF217DE"/>
    <w:rsid w:val="2FF2FE6D"/>
    <w:rsid w:val="2FF4913A"/>
    <w:rsid w:val="2FF51BA6"/>
    <w:rsid w:val="2FF54A8D"/>
    <w:rsid w:val="2FF9C6F7"/>
    <w:rsid w:val="2FFDB100"/>
    <w:rsid w:val="2FFE5E8F"/>
    <w:rsid w:val="3001B720"/>
    <w:rsid w:val="3002751A"/>
    <w:rsid w:val="30034FC4"/>
    <w:rsid w:val="3003E53E"/>
    <w:rsid w:val="3007F88B"/>
    <w:rsid w:val="300A411B"/>
    <w:rsid w:val="300B02AF"/>
    <w:rsid w:val="300EFE41"/>
    <w:rsid w:val="30122593"/>
    <w:rsid w:val="3012DD6E"/>
    <w:rsid w:val="30131CA5"/>
    <w:rsid w:val="301410A8"/>
    <w:rsid w:val="3018C4A7"/>
    <w:rsid w:val="3019E98F"/>
    <w:rsid w:val="301A43DC"/>
    <w:rsid w:val="301D64E0"/>
    <w:rsid w:val="301FE02C"/>
    <w:rsid w:val="301FFD99"/>
    <w:rsid w:val="30207D2E"/>
    <w:rsid w:val="302397F4"/>
    <w:rsid w:val="3027C7D2"/>
    <w:rsid w:val="3028A54F"/>
    <w:rsid w:val="3028F479"/>
    <w:rsid w:val="302A2DD6"/>
    <w:rsid w:val="302D79FF"/>
    <w:rsid w:val="302DB5DA"/>
    <w:rsid w:val="30313D9B"/>
    <w:rsid w:val="30337C01"/>
    <w:rsid w:val="30355A36"/>
    <w:rsid w:val="3038183A"/>
    <w:rsid w:val="303AD9EE"/>
    <w:rsid w:val="303B3271"/>
    <w:rsid w:val="3041B04A"/>
    <w:rsid w:val="30466061"/>
    <w:rsid w:val="30499520"/>
    <w:rsid w:val="3051CF62"/>
    <w:rsid w:val="30521FCA"/>
    <w:rsid w:val="30581180"/>
    <w:rsid w:val="305C02AD"/>
    <w:rsid w:val="305E976B"/>
    <w:rsid w:val="3060E6E5"/>
    <w:rsid w:val="3063138E"/>
    <w:rsid w:val="3064A6DD"/>
    <w:rsid w:val="30679931"/>
    <w:rsid w:val="3068DC86"/>
    <w:rsid w:val="3077EC1E"/>
    <w:rsid w:val="30788940"/>
    <w:rsid w:val="307C3CBD"/>
    <w:rsid w:val="307D7967"/>
    <w:rsid w:val="30858340"/>
    <w:rsid w:val="308691A7"/>
    <w:rsid w:val="3087C086"/>
    <w:rsid w:val="3087D988"/>
    <w:rsid w:val="30897D58"/>
    <w:rsid w:val="308DFB8A"/>
    <w:rsid w:val="308FFFD9"/>
    <w:rsid w:val="3091B447"/>
    <w:rsid w:val="3098D77D"/>
    <w:rsid w:val="3099A3A0"/>
    <w:rsid w:val="309BF78C"/>
    <w:rsid w:val="309C6FFE"/>
    <w:rsid w:val="30A39A3C"/>
    <w:rsid w:val="30A90946"/>
    <w:rsid w:val="30AA96E3"/>
    <w:rsid w:val="30AB170F"/>
    <w:rsid w:val="30BE4F2D"/>
    <w:rsid w:val="30C051E7"/>
    <w:rsid w:val="30C15EC1"/>
    <w:rsid w:val="30C4E1F7"/>
    <w:rsid w:val="30CCC4EB"/>
    <w:rsid w:val="30CFD2CA"/>
    <w:rsid w:val="30D2E425"/>
    <w:rsid w:val="30D6EE91"/>
    <w:rsid w:val="30D844F7"/>
    <w:rsid w:val="30DC32BE"/>
    <w:rsid w:val="30DFE824"/>
    <w:rsid w:val="30E2A4A0"/>
    <w:rsid w:val="30E4F481"/>
    <w:rsid w:val="30E54CCA"/>
    <w:rsid w:val="30E8CEC9"/>
    <w:rsid w:val="30E8F38E"/>
    <w:rsid w:val="30F26937"/>
    <w:rsid w:val="30F2BFCB"/>
    <w:rsid w:val="30F56C02"/>
    <w:rsid w:val="30FA92AB"/>
    <w:rsid w:val="30FE010E"/>
    <w:rsid w:val="30FE2B4D"/>
    <w:rsid w:val="30FF41F3"/>
    <w:rsid w:val="31070CB8"/>
    <w:rsid w:val="310AFA02"/>
    <w:rsid w:val="310CDB33"/>
    <w:rsid w:val="310E8892"/>
    <w:rsid w:val="3117808C"/>
    <w:rsid w:val="311C9104"/>
    <w:rsid w:val="311EB80E"/>
    <w:rsid w:val="312096CD"/>
    <w:rsid w:val="31228474"/>
    <w:rsid w:val="31249A7E"/>
    <w:rsid w:val="31256819"/>
    <w:rsid w:val="3126FA43"/>
    <w:rsid w:val="3128745D"/>
    <w:rsid w:val="312AC19B"/>
    <w:rsid w:val="312CEA3E"/>
    <w:rsid w:val="312EA20D"/>
    <w:rsid w:val="31317CA7"/>
    <w:rsid w:val="313248B5"/>
    <w:rsid w:val="3134B0EB"/>
    <w:rsid w:val="313A4683"/>
    <w:rsid w:val="313CD569"/>
    <w:rsid w:val="313DC84C"/>
    <w:rsid w:val="313EE8D7"/>
    <w:rsid w:val="313F7777"/>
    <w:rsid w:val="31411311"/>
    <w:rsid w:val="31437AB8"/>
    <w:rsid w:val="314578E4"/>
    <w:rsid w:val="31495439"/>
    <w:rsid w:val="3151157B"/>
    <w:rsid w:val="31566E37"/>
    <w:rsid w:val="3156D173"/>
    <w:rsid w:val="315AD008"/>
    <w:rsid w:val="31642E19"/>
    <w:rsid w:val="31646DFE"/>
    <w:rsid w:val="31648042"/>
    <w:rsid w:val="316A3C5D"/>
    <w:rsid w:val="316EFD06"/>
    <w:rsid w:val="317285C0"/>
    <w:rsid w:val="3172F2B1"/>
    <w:rsid w:val="31771B5D"/>
    <w:rsid w:val="317E7E9D"/>
    <w:rsid w:val="31823DDF"/>
    <w:rsid w:val="31833214"/>
    <w:rsid w:val="3185ECA0"/>
    <w:rsid w:val="318A0227"/>
    <w:rsid w:val="318AC25D"/>
    <w:rsid w:val="318B5FCE"/>
    <w:rsid w:val="318BD216"/>
    <w:rsid w:val="319154DC"/>
    <w:rsid w:val="3191C34F"/>
    <w:rsid w:val="319215A3"/>
    <w:rsid w:val="31933476"/>
    <w:rsid w:val="319CB28F"/>
    <w:rsid w:val="319DAD2D"/>
    <w:rsid w:val="319E2DDD"/>
    <w:rsid w:val="31A1F14A"/>
    <w:rsid w:val="31A574F5"/>
    <w:rsid w:val="31A8C31A"/>
    <w:rsid w:val="31AC7709"/>
    <w:rsid w:val="31ADD1A8"/>
    <w:rsid w:val="31B636B4"/>
    <w:rsid w:val="31B84855"/>
    <w:rsid w:val="31B86620"/>
    <w:rsid w:val="31B8BB25"/>
    <w:rsid w:val="31BA669F"/>
    <w:rsid w:val="31BC1EBC"/>
    <w:rsid w:val="31C287A0"/>
    <w:rsid w:val="31C5E3B9"/>
    <w:rsid w:val="31C83066"/>
    <w:rsid w:val="31C8367F"/>
    <w:rsid w:val="31CFA40C"/>
    <w:rsid w:val="31CFF666"/>
    <w:rsid w:val="31D47C77"/>
    <w:rsid w:val="31D4DBAC"/>
    <w:rsid w:val="31D50D25"/>
    <w:rsid w:val="31D6FC46"/>
    <w:rsid w:val="31D832D1"/>
    <w:rsid w:val="31DCCA71"/>
    <w:rsid w:val="31E0A60E"/>
    <w:rsid w:val="31E62E5D"/>
    <w:rsid w:val="31E9A772"/>
    <w:rsid w:val="31ED5AD5"/>
    <w:rsid w:val="31EDE9F8"/>
    <w:rsid w:val="31F23F65"/>
    <w:rsid w:val="31F96C1D"/>
    <w:rsid w:val="31FACA87"/>
    <w:rsid w:val="31FD072F"/>
    <w:rsid w:val="32036DAE"/>
    <w:rsid w:val="3203AA5B"/>
    <w:rsid w:val="32051A57"/>
    <w:rsid w:val="320C4A3B"/>
    <w:rsid w:val="3211F16E"/>
    <w:rsid w:val="3212625C"/>
    <w:rsid w:val="32177FF9"/>
    <w:rsid w:val="3217FDE4"/>
    <w:rsid w:val="321807C9"/>
    <w:rsid w:val="32187B0F"/>
    <w:rsid w:val="3219849D"/>
    <w:rsid w:val="321B2FE3"/>
    <w:rsid w:val="32278CAE"/>
    <w:rsid w:val="322F16BC"/>
    <w:rsid w:val="3240ADE8"/>
    <w:rsid w:val="3248164D"/>
    <w:rsid w:val="324D04F8"/>
    <w:rsid w:val="324DA51E"/>
    <w:rsid w:val="324E1238"/>
    <w:rsid w:val="324F4B7A"/>
    <w:rsid w:val="324FC9C6"/>
    <w:rsid w:val="3256FEF0"/>
    <w:rsid w:val="325A0C6E"/>
    <w:rsid w:val="325AE10A"/>
    <w:rsid w:val="325EA6B6"/>
    <w:rsid w:val="325F0BB8"/>
    <w:rsid w:val="32602829"/>
    <w:rsid w:val="3263D392"/>
    <w:rsid w:val="3268D871"/>
    <w:rsid w:val="326A9C6B"/>
    <w:rsid w:val="326D8078"/>
    <w:rsid w:val="327299D5"/>
    <w:rsid w:val="32737411"/>
    <w:rsid w:val="3276825D"/>
    <w:rsid w:val="327D558F"/>
    <w:rsid w:val="327E9082"/>
    <w:rsid w:val="3283C75F"/>
    <w:rsid w:val="32855D8F"/>
    <w:rsid w:val="328BB887"/>
    <w:rsid w:val="328F56BC"/>
    <w:rsid w:val="329124D5"/>
    <w:rsid w:val="3294804D"/>
    <w:rsid w:val="3299B537"/>
    <w:rsid w:val="329A8E5B"/>
    <w:rsid w:val="329B3B84"/>
    <w:rsid w:val="32A3315D"/>
    <w:rsid w:val="32A57AE8"/>
    <w:rsid w:val="32A666D1"/>
    <w:rsid w:val="32AE010C"/>
    <w:rsid w:val="32B0DECF"/>
    <w:rsid w:val="32B4C050"/>
    <w:rsid w:val="32B53892"/>
    <w:rsid w:val="32BA89F5"/>
    <w:rsid w:val="32BE4A41"/>
    <w:rsid w:val="32BE5C9A"/>
    <w:rsid w:val="32C351B5"/>
    <w:rsid w:val="32C8391F"/>
    <w:rsid w:val="32CA04DC"/>
    <w:rsid w:val="32D565A5"/>
    <w:rsid w:val="32DB9814"/>
    <w:rsid w:val="32DC97F9"/>
    <w:rsid w:val="32DE1449"/>
    <w:rsid w:val="32E027D9"/>
    <w:rsid w:val="32E09C24"/>
    <w:rsid w:val="32E0F59C"/>
    <w:rsid w:val="32E169B5"/>
    <w:rsid w:val="32ECC53D"/>
    <w:rsid w:val="32EF3EB9"/>
    <w:rsid w:val="32EFB34A"/>
    <w:rsid w:val="32F1DC0F"/>
    <w:rsid w:val="32F2BF97"/>
    <w:rsid w:val="32FD43FA"/>
    <w:rsid w:val="3302852E"/>
    <w:rsid w:val="33081631"/>
    <w:rsid w:val="330A66E7"/>
    <w:rsid w:val="330C4D51"/>
    <w:rsid w:val="330D90B2"/>
    <w:rsid w:val="330DC3F0"/>
    <w:rsid w:val="33109745"/>
    <w:rsid w:val="3314837E"/>
    <w:rsid w:val="3316DCBF"/>
    <w:rsid w:val="331859B5"/>
    <w:rsid w:val="331A05DE"/>
    <w:rsid w:val="331A0EAD"/>
    <w:rsid w:val="331D28D6"/>
    <w:rsid w:val="331D878A"/>
    <w:rsid w:val="331F6B9E"/>
    <w:rsid w:val="3321F965"/>
    <w:rsid w:val="33255B12"/>
    <w:rsid w:val="3325CB56"/>
    <w:rsid w:val="332CA7D8"/>
    <w:rsid w:val="332FC10C"/>
    <w:rsid w:val="333193A9"/>
    <w:rsid w:val="3332BBCE"/>
    <w:rsid w:val="3336B12F"/>
    <w:rsid w:val="333FDF6A"/>
    <w:rsid w:val="3345EE23"/>
    <w:rsid w:val="3345FB26"/>
    <w:rsid w:val="33460E7E"/>
    <w:rsid w:val="334C9E6F"/>
    <w:rsid w:val="334ECB83"/>
    <w:rsid w:val="3359D9A7"/>
    <w:rsid w:val="335A52D3"/>
    <w:rsid w:val="335DEB6F"/>
    <w:rsid w:val="3361376D"/>
    <w:rsid w:val="3364E920"/>
    <w:rsid w:val="33654F54"/>
    <w:rsid w:val="3366B4C0"/>
    <w:rsid w:val="336E4267"/>
    <w:rsid w:val="336EFE57"/>
    <w:rsid w:val="33720C82"/>
    <w:rsid w:val="3372F2C6"/>
    <w:rsid w:val="3375F5BB"/>
    <w:rsid w:val="337616D3"/>
    <w:rsid w:val="3376FC24"/>
    <w:rsid w:val="33777ACB"/>
    <w:rsid w:val="33782F9D"/>
    <w:rsid w:val="33791414"/>
    <w:rsid w:val="33806E1D"/>
    <w:rsid w:val="3381C1CE"/>
    <w:rsid w:val="338664A3"/>
    <w:rsid w:val="3386D40D"/>
    <w:rsid w:val="3389E1BC"/>
    <w:rsid w:val="338A9DEA"/>
    <w:rsid w:val="338D6D0C"/>
    <w:rsid w:val="338E41F5"/>
    <w:rsid w:val="338E43B2"/>
    <w:rsid w:val="3393ABFD"/>
    <w:rsid w:val="33984DE0"/>
    <w:rsid w:val="339CC76D"/>
    <w:rsid w:val="33A16158"/>
    <w:rsid w:val="33A6FF96"/>
    <w:rsid w:val="33A93223"/>
    <w:rsid w:val="33B4083A"/>
    <w:rsid w:val="33B73E31"/>
    <w:rsid w:val="33BFAAF2"/>
    <w:rsid w:val="33C2FF9B"/>
    <w:rsid w:val="33C58ED3"/>
    <w:rsid w:val="33C90B4A"/>
    <w:rsid w:val="33CA8FE1"/>
    <w:rsid w:val="33CEE259"/>
    <w:rsid w:val="33D3223C"/>
    <w:rsid w:val="33D5BE11"/>
    <w:rsid w:val="33D843F5"/>
    <w:rsid w:val="33DFCFCE"/>
    <w:rsid w:val="33E24EE5"/>
    <w:rsid w:val="33E30288"/>
    <w:rsid w:val="33E706FF"/>
    <w:rsid w:val="33E77C33"/>
    <w:rsid w:val="33EF135A"/>
    <w:rsid w:val="33EFCCAD"/>
    <w:rsid w:val="33F69D6C"/>
    <w:rsid w:val="33F9EB76"/>
    <w:rsid w:val="33FAAFC1"/>
    <w:rsid w:val="33FB4697"/>
    <w:rsid w:val="3400B318"/>
    <w:rsid w:val="3405CFAF"/>
    <w:rsid w:val="34063153"/>
    <w:rsid w:val="34088AF5"/>
    <w:rsid w:val="340A9A01"/>
    <w:rsid w:val="340ABF44"/>
    <w:rsid w:val="340BA7A8"/>
    <w:rsid w:val="3416B80E"/>
    <w:rsid w:val="3416C0E2"/>
    <w:rsid w:val="341A80CE"/>
    <w:rsid w:val="341FAECB"/>
    <w:rsid w:val="34212C71"/>
    <w:rsid w:val="342D68E6"/>
    <w:rsid w:val="342E3A4B"/>
    <w:rsid w:val="342EE086"/>
    <w:rsid w:val="34315E8F"/>
    <w:rsid w:val="343A0A1A"/>
    <w:rsid w:val="343D2A7A"/>
    <w:rsid w:val="343FF71C"/>
    <w:rsid w:val="343FFEAE"/>
    <w:rsid w:val="3441CB14"/>
    <w:rsid w:val="34427696"/>
    <w:rsid w:val="34477C2B"/>
    <w:rsid w:val="344D84FE"/>
    <w:rsid w:val="344F5551"/>
    <w:rsid w:val="344F7AAD"/>
    <w:rsid w:val="34537F2D"/>
    <w:rsid w:val="345644C0"/>
    <w:rsid w:val="3457C588"/>
    <w:rsid w:val="3458A490"/>
    <w:rsid w:val="345A6F72"/>
    <w:rsid w:val="34625E13"/>
    <w:rsid w:val="3464D0E7"/>
    <w:rsid w:val="34657AA9"/>
    <w:rsid w:val="346C0108"/>
    <w:rsid w:val="34722F0C"/>
    <w:rsid w:val="3472E062"/>
    <w:rsid w:val="3472E919"/>
    <w:rsid w:val="34754375"/>
    <w:rsid w:val="3477FD02"/>
    <w:rsid w:val="347AA878"/>
    <w:rsid w:val="347CC2A8"/>
    <w:rsid w:val="348006C1"/>
    <w:rsid w:val="3483BD4A"/>
    <w:rsid w:val="34844FE0"/>
    <w:rsid w:val="3484ACE2"/>
    <w:rsid w:val="34858837"/>
    <w:rsid w:val="3487BC3B"/>
    <w:rsid w:val="34890A7E"/>
    <w:rsid w:val="348B5327"/>
    <w:rsid w:val="348C9CA5"/>
    <w:rsid w:val="348E36C2"/>
    <w:rsid w:val="348F44BD"/>
    <w:rsid w:val="34908C30"/>
    <w:rsid w:val="34915013"/>
    <w:rsid w:val="349439CC"/>
    <w:rsid w:val="34947946"/>
    <w:rsid w:val="34972E43"/>
    <w:rsid w:val="349878E8"/>
    <w:rsid w:val="349AA05C"/>
    <w:rsid w:val="349DC26B"/>
    <w:rsid w:val="34A1B20B"/>
    <w:rsid w:val="34A9B698"/>
    <w:rsid w:val="34B2EB0F"/>
    <w:rsid w:val="34B59200"/>
    <w:rsid w:val="34BBC21D"/>
    <w:rsid w:val="34BBE2D8"/>
    <w:rsid w:val="34C117CA"/>
    <w:rsid w:val="34C6C926"/>
    <w:rsid w:val="34C84829"/>
    <w:rsid w:val="34D108B3"/>
    <w:rsid w:val="34D5E32B"/>
    <w:rsid w:val="34D910AB"/>
    <w:rsid w:val="34D96923"/>
    <w:rsid w:val="34DB7046"/>
    <w:rsid w:val="34DE372C"/>
    <w:rsid w:val="34DF291D"/>
    <w:rsid w:val="34E03143"/>
    <w:rsid w:val="34E49CD6"/>
    <w:rsid w:val="34E88191"/>
    <w:rsid w:val="34ED3A67"/>
    <w:rsid w:val="34EF6AF2"/>
    <w:rsid w:val="34F4CC2F"/>
    <w:rsid w:val="35005B4F"/>
    <w:rsid w:val="350245AC"/>
    <w:rsid w:val="35030BEC"/>
    <w:rsid w:val="350B4A91"/>
    <w:rsid w:val="350E3FD2"/>
    <w:rsid w:val="350E9B18"/>
    <w:rsid w:val="350F9377"/>
    <w:rsid w:val="350FC5B0"/>
    <w:rsid w:val="350FD2A3"/>
    <w:rsid w:val="350FFE61"/>
    <w:rsid w:val="351095BB"/>
    <w:rsid w:val="3510C8DA"/>
    <w:rsid w:val="35165DFC"/>
    <w:rsid w:val="35179034"/>
    <w:rsid w:val="3517F6A6"/>
    <w:rsid w:val="3519BFF0"/>
    <w:rsid w:val="351BF8E0"/>
    <w:rsid w:val="351C3AB6"/>
    <w:rsid w:val="351E9F69"/>
    <w:rsid w:val="35240198"/>
    <w:rsid w:val="3524C631"/>
    <w:rsid w:val="35259747"/>
    <w:rsid w:val="3529F1E2"/>
    <w:rsid w:val="352B6B5E"/>
    <w:rsid w:val="352BE570"/>
    <w:rsid w:val="352D1C04"/>
    <w:rsid w:val="352D45F5"/>
    <w:rsid w:val="352D7672"/>
    <w:rsid w:val="352EAD89"/>
    <w:rsid w:val="3530DDB0"/>
    <w:rsid w:val="35332274"/>
    <w:rsid w:val="35341E5A"/>
    <w:rsid w:val="35352A30"/>
    <w:rsid w:val="353531BF"/>
    <w:rsid w:val="35362C53"/>
    <w:rsid w:val="353BE203"/>
    <w:rsid w:val="353D269A"/>
    <w:rsid w:val="353F2419"/>
    <w:rsid w:val="353FAB39"/>
    <w:rsid w:val="35425419"/>
    <w:rsid w:val="3543BACC"/>
    <w:rsid w:val="354465DC"/>
    <w:rsid w:val="35469505"/>
    <w:rsid w:val="3547ED99"/>
    <w:rsid w:val="354F7F7A"/>
    <w:rsid w:val="35501782"/>
    <w:rsid w:val="3554E4B1"/>
    <w:rsid w:val="3554F1B0"/>
    <w:rsid w:val="35553BFD"/>
    <w:rsid w:val="355E8CBF"/>
    <w:rsid w:val="3562505C"/>
    <w:rsid w:val="3562DD04"/>
    <w:rsid w:val="356527B7"/>
    <w:rsid w:val="356B8D81"/>
    <w:rsid w:val="356C2955"/>
    <w:rsid w:val="356EF118"/>
    <w:rsid w:val="3570F1EA"/>
    <w:rsid w:val="35712B36"/>
    <w:rsid w:val="3572EB75"/>
    <w:rsid w:val="35744D0F"/>
    <w:rsid w:val="35752D50"/>
    <w:rsid w:val="35796811"/>
    <w:rsid w:val="3579E929"/>
    <w:rsid w:val="357B3E3E"/>
    <w:rsid w:val="358051C6"/>
    <w:rsid w:val="3582EEB9"/>
    <w:rsid w:val="3585E60F"/>
    <w:rsid w:val="35879666"/>
    <w:rsid w:val="358B59EB"/>
    <w:rsid w:val="358D5FDC"/>
    <w:rsid w:val="358D9D1B"/>
    <w:rsid w:val="35954878"/>
    <w:rsid w:val="359724F9"/>
    <w:rsid w:val="3598E134"/>
    <w:rsid w:val="359D614A"/>
    <w:rsid w:val="359F7205"/>
    <w:rsid w:val="35A39441"/>
    <w:rsid w:val="35A7FABC"/>
    <w:rsid w:val="35AD87D7"/>
    <w:rsid w:val="35AF2EC2"/>
    <w:rsid w:val="35AF9B90"/>
    <w:rsid w:val="35BAE465"/>
    <w:rsid w:val="35C2F28D"/>
    <w:rsid w:val="35C47AE0"/>
    <w:rsid w:val="35CBD905"/>
    <w:rsid w:val="35CC94B0"/>
    <w:rsid w:val="35CCEC08"/>
    <w:rsid w:val="35CD7AA5"/>
    <w:rsid w:val="35CF5E85"/>
    <w:rsid w:val="35CFAD46"/>
    <w:rsid w:val="35D48934"/>
    <w:rsid w:val="35D69700"/>
    <w:rsid w:val="35DEBEE3"/>
    <w:rsid w:val="35E0E446"/>
    <w:rsid w:val="35E2EDBA"/>
    <w:rsid w:val="35E4CB36"/>
    <w:rsid w:val="35E5945B"/>
    <w:rsid w:val="35E65A24"/>
    <w:rsid w:val="35E838D9"/>
    <w:rsid w:val="35E888BA"/>
    <w:rsid w:val="35F189F1"/>
    <w:rsid w:val="35F1E416"/>
    <w:rsid w:val="35F27D23"/>
    <w:rsid w:val="35F460C9"/>
    <w:rsid w:val="35F8179F"/>
    <w:rsid w:val="35F82549"/>
    <w:rsid w:val="35F83FCD"/>
    <w:rsid w:val="35FC718C"/>
    <w:rsid w:val="36007912"/>
    <w:rsid w:val="3602FA83"/>
    <w:rsid w:val="360485E6"/>
    <w:rsid w:val="3606F93E"/>
    <w:rsid w:val="36096DDA"/>
    <w:rsid w:val="360C17E2"/>
    <w:rsid w:val="360DBBD8"/>
    <w:rsid w:val="3616B9C8"/>
    <w:rsid w:val="361785F2"/>
    <w:rsid w:val="361A134D"/>
    <w:rsid w:val="361C6C01"/>
    <w:rsid w:val="361DB2F1"/>
    <w:rsid w:val="361E1676"/>
    <w:rsid w:val="361FF07E"/>
    <w:rsid w:val="36227814"/>
    <w:rsid w:val="36233958"/>
    <w:rsid w:val="36269C4E"/>
    <w:rsid w:val="36293B4E"/>
    <w:rsid w:val="3629C575"/>
    <w:rsid w:val="36370152"/>
    <w:rsid w:val="363B4458"/>
    <w:rsid w:val="363C9339"/>
    <w:rsid w:val="36408D6A"/>
    <w:rsid w:val="3648AB03"/>
    <w:rsid w:val="364BE3EC"/>
    <w:rsid w:val="364FE5AE"/>
    <w:rsid w:val="3651D57E"/>
    <w:rsid w:val="3652EB9B"/>
    <w:rsid w:val="3655956A"/>
    <w:rsid w:val="3657058C"/>
    <w:rsid w:val="365A750E"/>
    <w:rsid w:val="365E78C5"/>
    <w:rsid w:val="36632525"/>
    <w:rsid w:val="3667C937"/>
    <w:rsid w:val="366D7D34"/>
    <w:rsid w:val="36715D73"/>
    <w:rsid w:val="36734DF8"/>
    <w:rsid w:val="36739E8D"/>
    <w:rsid w:val="3673A05A"/>
    <w:rsid w:val="36740E67"/>
    <w:rsid w:val="36747868"/>
    <w:rsid w:val="3674B8EA"/>
    <w:rsid w:val="3676EA3D"/>
    <w:rsid w:val="3678DA3D"/>
    <w:rsid w:val="367AE28E"/>
    <w:rsid w:val="367C30ED"/>
    <w:rsid w:val="367D5B88"/>
    <w:rsid w:val="367E296D"/>
    <w:rsid w:val="3680EFE0"/>
    <w:rsid w:val="3685944F"/>
    <w:rsid w:val="36867472"/>
    <w:rsid w:val="368956A5"/>
    <w:rsid w:val="368987CD"/>
    <w:rsid w:val="368A4F35"/>
    <w:rsid w:val="368B209B"/>
    <w:rsid w:val="368C3842"/>
    <w:rsid w:val="368CA343"/>
    <w:rsid w:val="36917BA4"/>
    <w:rsid w:val="369665BC"/>
    <w:rsid w:val="36986DD6"/>
    <w:rsid w:val="369909D1"/>
    <w:rsid w:val="3699E69F"/>
    <w:rsid w:val="369CCE7D"/>
    <w:rsid w:val="369F5497"/>
    <w:rsid w:val="369FF95D"/>
    <w:rsid w:val="36A0B3FE"/>
    <w:rsid w:val="36A65956"/>
    <w:rsid w:val="36A8E740"/>
    <w:rsid w:val="36AE4FF0"/>
    <w:rsid w:val="36B12E60"/>
    <w:rsid w:val="36B264DC"/>
    <w:rsid w:val="36B33FBE"/>
    <w:rsid w:val="36B54D87"/>
    <w:rsid w:val="36B6FFD7"/>
    <w:rsid w:val="36BAAD3C"/>
    <w:rsid w:val="36BD4ADF"/>
    <w:rsid w:val="36BDC86A"/>
    <w:rsid w:val="36BDCC82"/>
    <w:rsid w:val="36BEC6D1"/>
    <w:rsid w:val="36C06A36"/>
    <w:rsid w:val="36C34ED3"/>
    <w:rsid w:val="36C42D6F"/>
    <w:rsid w:val="36C43611"/>
    <w:rsid w:val="36C4CC59"/>
    <w:rsid w:val="36C5A237"/>
    <w:rsid w:val="36C71645"/>
    <w:rsid w:val="36C9D2F5"/>
    <w:rsid w:val="36CDC1F4"/>
    <w:rsid w:val="36D1D255"/>
    <w:rsid w:val="36D4042A"/>
    <w:rsid w:val="36D5BF14"/>
    <w:rsid w:val="36D5EA22"/>
    <w:rsid w:val="36D66FA8"/>
    <w:rsid w:val="36DA8245"/>
    <w:rsid w:val="36DBABBE"/>
    <w:rsid w:val="36DED2D6"/>
    <w:rsid w:val="36E15EB0"/>
    <w:rsid w:val="36E35CA8"/>
    <w:rsid w:val="36E3A757"/>
    <w:rsid w:val="36E8D89D"/>
    <w:rsid w:val="36E95FA9"/>
    <w:rsid w:val="36EBB93E"/>
    <w:rsid w:val="36EF3768"/>
    <w:rsid w:val="36F03010"/>
    <w:rsid w:val="36F0A582"/>
    <w:rsid w:val="36F98A2E"/>
    <w:rsid w:val="36FA8EBA"/>
    <w:rsid w:val="36FB00DD"/>
    <w:rsid w:val="36FE6FEA"/>
    <w:rsid w:val="37002827"/>
    <w:rsid w:val="370570A3"/>
    <w:rsid w:val="370D58FD"/>
    <w:rsid w:val="370E8A2D"/>
    <w:rsid w:val="3711DC57"/>
    <w:rsid w:val="3715979D"/>
    <w:rsid w:val="371EA176"/>
    <w:rsid w:val="3722F864"/>
    <w:rsid w:val="372379CB"/>
    <w:rsid w:val="37254934"/>
    <w:rsid w:val="372764E6"/>
    <w:rsid w:val="37277F2C"/>
    <w:rsid w:val="372ACF8B"/>
    <w:rsid w:val="372BB0F2"/>
    <w:rsid w:val="373032AF"/>
    <w:rsid w:val="3733A560"/>
    <w:rsid w:val="3733DA0E"/>
    <w:rsid w:val="37379403"/>
    <w:rsid w:val="37394417"/>
    <w:rsid w:val="373C6589"/>
    <w:rsid w:val="373C6B55"/>
    <w:rsid w:val="373E907F"/>
    <w:rsid w:val="373F3A71"/>
    <w:rsid w:val="374387E3"/>
    <w:rsid w:val="37485004"/>
    <w:rsid w:val="374BE268"/>
    <w:rsid w:val="374C5918"/>
    <w:rsid w:val="374D00A0"/>
    <w:rsid w:val="375656ED"/>
    <w:rsid w:val="375760BC"/>
    <w:rsid w:val="375CD55E"/>
    <w:rsid w:val="375FD77B"/>
    <w:rsid w:val="37615711"/>
    <w:rsid w:val="3762D4A7"/>
    <w:rsid w:val="37699AED"/>
    <w:rsid w:val="37788F40"/>
    <w:rsid w:val="377A4A51"/>
    <w:rsid w:val="377A795F"/>
    <w:rsid w:val="377B0C25"/>
    <w:rsid w:val="377B330C"/>
    <w:rsid w:val="3780BB65"/>
    <w:rsid w:val="37848CB3"/>
    <w:rsid w:val="3788496E"/>
    <w:rsid w:val="378CF598"/>
    <w:rsid w:val="378DC4FE"/>
    <w:rsid w:val="378DD865"/>
    <w:rsid w:val="378ECD8B"/>
    <w:rsid w:val="37912646"/>
    <w:rsid w:val="37922225"/>
    <w:rsid w:val="37933CAC"/>
    <w:rsid w:val="379DD021"/>
    <w:rsid w:val="379E0727"/>
    <w:rsid w:val="37A09029"/>
    <w:rsid w:val="37A12532"/>
    <w:rsid w:val="37AC8F47"/>
    <w:rsid w:val="37B08F86"/>
    <w:rsid w:val="37B59E8B"/>
    <w:rsid w:val="37B751AE"/>
    <w:rsid w:val="37BB2B47"/>
    <w:rsid w:val="37C261F8"/>
    <w:rsid w:val="37C2DB67"/>
    <w:rsid w:val="37C7D90B"/>
    <w:rsid w:val="37C97491"/>
    <w:rsid w:val="37CED969"/>
    <w:rsid w:val="37D0FBD9"/>
    <w:rsid w:val="37D5F389"/>
    <w:rsid w:val="37D664C5"/>
    <w:rsid w:val="37D99FD1"/>
    <w:rsid w:val="37DB3F82"/>
    <w:rsid w:val="37DE04A3"/>
    <w:rsid w:val="37DF5062"/>
    <w:rsid w:val="37EB60BE"/>
    <w:rsid w:val="37ECA06D"/>
    <w:rsid w:val="37ECAE8A"/>
    <w:rsid w:val="37EFDFCB"/>
    <w:rsid w:val="37F1D52B"/>
    <w:rsid w:val="37F30638"/>
    <w:rsid w:val="37F3D46B"/>
    <w:rsid w:val="37F993AD"/>
    <w:rsid w:val="38022A27"/>
    <w:rsid w:val="3803E3AC"/>
    <w:rsid w:val="38074C2D"/>
    <w:rsid w:val="380C912A"/>
    <w:rsid w:val="380DBA46"/>
    <w:rsid w:val="380E8095"/>
    <w:rsid w:val="380F0162"/>
    <w:rsid w:val="38121338"/>
    <w:rsid w:val="3812CD15"/>
    <w:rsid w:val="38137245"/>
    <w:rsid w:val="38137BC1"/>
    <w:rsid w:val="3818D319"/>
    <w:rsid w:val="381C3169"/>
    <w:rsid w:val="381D90A4"/>
    <w:rsid w:val="381DD55F"/>
    <w:rsid w:val="382283F7"/>
    <w:rsid w:val="38254883"/>
    <w:rsid w:val="3827CB1D"/>
    <w:rsid w:val="3830BF67"/>
    <w:rsid w:val="383C5CCB"/>
    <w:rsid w:val="38539F94"/>
    <w:rsid w:val="3854F598"/>
    <w:rsid w:val="3855CD2B"/>
    <w:rsid w:val="3856D406"/>
    <w:rsid w:val="3857C1A4"/>
    <w:rsid w:val="385A6C62"/>
    <w:rsid w:val="385AEE63"/>
    <w:rsid w:val="385CE55F"/>
    <w:rsid w:val="38600EC6"/>
    <w:rsid w:val="386371BF"/>
    <w:rsid w:val="3869052C"/>
    <w:rsid w:val="38694C73"/>
    <w:rsid w:val="386EB37F"/>
    <w:rsid w:val="3873007C"/>
    <w:rsid w:val="3877544E"/>
    <w:rsid w:val="387BFC75"/>
    <w:rsid w:val="3880A49F"/>
    <w:rsid w:val="3884EBD6"/>
    <w:rsid w:val="388E174D"/>
    <w:rsid w:val="3892B687"/>
    <w:rsid w:val="38947C51"/>
    <w:rsid w:val="38959B70"/>
    <w:rsid w:val="3899AB1A"/>
    <w:rsid w:val="389A3AD8"/>
    <w:rsid w:val="389E45C9"/>
    <w:rsid w:val="389F84F0"/>
    <w:rsid w:val="38A43C25"/>
    <w:rsid w:val="38A4F3E8"/>
    <w:rsid w:val="38A70A63"/>
    <w:rsid w:val="38A74FF1"/>
    <w:rsid w:val="38AB4E56"/>
    <w:rsid w:val="38B079F8"/>
    <w:rsid w:val="38B0C106"/>
    <w:rsid w:val="38B1F644"/>
    <w:rsid w:val="38B2C704"/>
    <w:rsid w:val="38B3F3F7"/>
    <w:rsid w:val="38B510C3"/>
    <w:rsid w:val="38B64553"/>
    <w:rsid w:val="38B87862"/>
    <w:rsid w:val="38BAD27A"/>
    <w:rsid w:val="38BB1523"/>
    <w:rsid w:val="38BB7F00"/>
    <w:rsid w:val="38BBAB70"/>
    <w:rsid w:val="38BCF659"/>
    <w:rsid w:val="38C161D4"/>
    <w:rsid w:val="38C761CA"/>
    <w:rsid w:val="38CF9D75"/>
    <w:rsid w:val="38D2D56C"/>
    <w:rsid w:val="38D41BB1"/>
    <w:rsid w:val="38D64C68"/>
    <w:rsid w:val="38DAE996"/>
    <w:rsid w:val="38DEDB70"/>
    <w:rsid w:val="38DFE501"/>
    <w:rsid w:val="38DFE8F0"/>
    <w:rsid w:val="38E00B61"/>
    <w:rsid w:val="38E0A123"/>
    <w:rsid w:val="38E19942"/>
    <w:rsid w:val="38E1DFB9"/>
    <w:rsid w:val="38E33BB7"/>
    <w:rsid w:val="38E42932"/>
    <w:rsid w:val="38E70D56"/>
    <w:rsid w:val="38E7B127"/>
    <w:rsid w:val="38EFC282"/>
    <w:rsid w:val="38F792CD"/>
    <w:rsid w:val="38FB409D"/>
    <w:rsid w:val="38FCABC1"/>
    <w:rsid w:val="38FEDEDC"/>
    <w:rsid w:val="390246A9"/>
    <w:rsid w:val="3905C376"/>
    <w:rsid w:val="390865E6"/>
    <w:rsid w:val="39090EE4"/>
    <w:rsid w:val="39097CC8"/>
    <w:rsid w:val="3909ECC1"/>
    <w:rsid w:val="39145814"/>
    <w:rsid w:val="391996E3"/>
    <w:rsid w:val="391BC57C"/>
    <w:rsid w:val="391C0C32"/>
    <w:rsid w:val="391C3F8C"/>
    <w:rsid w:val="392042E0"/>
    <w:rsid w:val="3921B07D"/>
    <w:rsid w:val="3922670D"/>
    <w:rsid w:val="3924E27B"/>
    <w:rsid w:val="3925FBBE"/>
    <w:rsid w:val="3928A853"/>
    <w:rsid w:val="39293F57"/>
    <w:rsid w:val="3929A800"/>
    <w:rsid w:val="392A4E10"/>
    <w:rsid w:val="392DB255"/>
    <w:rsid w:val="392FA51E"/>
    <w:rsid w:val="39318981"/>
    <w:rsid w:val="393306E3"/>
    <w:rsid w:val="39355701"/>
    <w:rsid w:val="393963E4"/>
    <w:rsid w:val="393A74C8"/>
    <w:rsid w:val="393C176B"/>
    <w:rsid w:val="393C75C1"/>
    <w:rsid w:val="393E0B1D"/>
    <w:rsid w:val="393ED0ED"/>
    <w:rsid w:val="394239A6"/>
    <w:rsid w:val="3944639B"/>
    <w:rsid w:val="3946A776"/>
    <w:rsid w:val="394DEC67"/>
    <w:rsid w:val="394F10DC"/>
    <w:rsid w:val="395248A3"/>
    <w:rsid w:val="39566BF7"/>
    <w:rsid w:val="395AA1F8"/>
    <w:rsid w:val="395D94D4"/>
    <w:rsid w:val="395DCD86"/>
    <w:rsid w:val="395DE31E"/>
    <w:rsid w:val="395E2A17"/>
    <w:rsid w:val="396089FE"/>
    <w:rsid w:val="39685D9A"/>
    <w:rsid w:val="396C1669"/>
    <w:rsid w:val="397867E7"/>
    <w:rsid w:val="397D4C38"/>
    <w:rsid w:val="397DDD5E"/>
    <w:rsid w:val="3982C1EA"/>
    <w:rsid w:val="3982C5B3"/>
    <w:rsid w:val="398C658F"/>
    <w:rsid w:val="398FCE61"/>
    <w:rsid w:val="398FFD18"/>
    <w:rsid w:val="3994B8CD"/>
    <w:rsid w:val="399BFD15"/>
    <w:rsid w:val="39A045E2"/>
    <w:rsid w:val="39A04C56"/>
    <w:rsid w:val="39A19494"/>
    <w:rsid w:val="39A201E7"/>
    <w:rsid w:val="39AA36B1"/>
    <w:rsid w:val="39ABCD8C"/>
    <w:rsid w:val="39AFF87B"/>
    <w:rsid w:val="39B25258"/>
    <w:rsid w:val="39B7D87D"/>
    <w:rsid w:val="39BA2EC2"/>
    <w:rsid w:val="39C052F5"/>
    <w:rsid w:val="39C30732"/>
    <w:rsid w:val="39C656D3"/>
    <w:rsid w:val="39D2ADED"/>
    <w:rsid w:val="39D5AA56"/>
    <w:rsid w:val="39D6DC8F"/>
    <w:rsid w:val="39D923E7"/>
    <w:rsid w:val="39DB0171"/>
    <w:rsid w:val="39DC43D4"/>
    <w:rsid w:val="39E62744"/>
    <w:rsid w:val="39EA1535"/>
    <w:rsid w:val="39EBC768"/>
    <w:rsid w:val="39EE7D4B"/>
    <w:rsid w:val="39F1E7AF"/>
    <w:rsid w:val="39F44559"/>
    <w:rsid w:val="39F5F168"/>
    <w:rsid w:val="39F61B0E"/>
    <w:rsid w:val="39F72D44"/>
    <w:rsid w:val="39F74061"/>
    <w:rsid w:val="39F75D71"/>
    <w:rsid w:val="39FA5A10"/>
    <w:rsid w:val="39FE3D83"/>
    <w:rsid w:val="39FFB765"/>
    <w:rsid w:val="3A00A7EA"/>
    <w:rsid w:val="3A030817"/>
    <w:rsid w:val="3A031565"/>
    <w:rsid w:val="3A0D42F7"/>
    <w:rsid w:val="3A0D7DBF"/>
    <w:rsid w:val="3A0EFD17"/>
    <w:rsid w:val="3A13B391"/>
    <w:rsid w:val="3A159D73"/>
    <w:rsid w:val="3A15C24D"/>
    <w:rsid w:val="3A1C8366"/>
    <w:rsid w:val="3A20CCAB"/>
    <w:rsid w:val="3A2BBC2F"/>
    <w:rsid w:val="3A2D9A34"/>
    <w:rsid w:val="3A2EB5A4"/>
    <w:rsid w:val="3A2F9636"/>
    <w:rsid w:val="3A33D691"/>
    <w:rsid w:val="3A375237"/>
    <w:rsid w:val="3A38F5E6"/>
    <w:rsid w:val="3A3A8EF7"/>
    <w:rsid w:val="3A3C04B7"/>
    <w:rsid w:val="3A3ED336"/>
    <w:rsid w:val="3A3FA2F9"/>
    <w:rsid w:val="3A3FDB62"/>
    <w:rsid w:val="3A41A96D"/>
    <w:rsid w:val="3A42EA3C"/>
    <w:rsid w:val="3A4AF253"/>
    <w:rsid w:val="3A4C3096"/>
    <w:rsid w:val="3A4D8FFF"/>
    <w:rsid w:val="3A4E5F69"/>
    <w:rsid w:val="3A4F4365"/>
    <w:rsid w:val="3A53BF53"/>
    <w:rsid w:val="3A568901"/>
    <w:rsid w:val="3A577F26"/>
    <w:rsid w:val="3A5912B3"/>
    <w:rsid w:val="3A59F868"/>
    <w:rsid w:val="3A5A299A"/>
    <w:rsid w:val="3A5A37C3"/>
    <w:rsid w:val="3A5A3CF9"/>
    <w:rsid w:val="3A5C31C7"/>
    <w:rsid w:val="3A5C4672"/>
    <w:rsid w:val="3A65838B"/>
    <w:rsid w:val="3A6896C0"/>
    <w:rsid w:val="3A71F6EC"/>
    <w:rsid w:val="3A7C05E9"/>
    <w:rsid w:val="3A7D5650"/>
    <w:rsid w:val="3A8460D2"/>
    <w:rsid w:val="3A87C44D"/>
    <w:rsid w:val="3A89683A"/>
    <w:rsid w:val="3A8A11E3"/>
    <w:rsid w:val="3A8B62DA"/>
    <w:rsid w:val="3A8DC297"/>
    <w:rsid w:val="3A8EE7A6"/>
    <w:rsid w:val="3A9869E4"/>
    <w:rsid w:val="3A9B22E8"/>
    <w:rsid w:val="3A9C2FEE"/>
    <w:rsid w:val="3A9C941B"/>
    <w:rsid w:val="3A9DB3FF"/>
    <w:rsid w:val="3A9FE97D"/>
    <w:rsid w:val="3AA1D239"/>
    <w:rsid w:val="3AB08A24"/>
    <w:rsid w:val="3AB2E89B"/>
    <w:rsid w:val="3AB3F681"/>
    <w:rsid w:val="3AB939B1"/>
    <w:rsid w:val="3ABA046A"/>
    <w:rsid w:val="3ABD8D24"/>
    <w:rsid w:val="3AC0413E"/>
    <w:rsid w:val="3AC1757B"/>
    <w:rsid w:val="3AC1D8B7"/>
    <w:rsid w:val="3AC53A0C"/>
    <w:rsid w:val="3ACBC0FA"/>
    <w:rsid w:val="3ACBC9A0"/>
    <w:rsid w:val="3ADDA795"/>
    <w:rsid w:val="3ADF9380"/>
    <w:rsid w:val="3AE2FFE8"/>
    <w:rsid w:val="3AE36210"/>
    <w:rsid w:val="3AE69183"/>
    <w:rsid w:val="3AE73003"/>
    <w:rsid w:val="3AE9527E"/>
    <w:rsid w:val="3AE961D3"/>
    <w:rsid w:val="3AEB4D5D"/>
    <w:rsid w:val="3AEF28F4"/>
    <w:rsid w:val="3AF8B6AF"/>
    <w:rsid w:val="3AFF4220"/>
    <w:rsid w:val="3B006ADA"/>
    <w:rsid w:val="3B017CD3"/>
    <w:rsid w:val="3B057014"/>
    <w:rsid w:val="3B05A406"/>
    <w:rsid w:val="3B085651"/>
    <w:rsid w:val="3B115C51"/>
    <w:rsid w:val="3B131583"/>
    <w:rsid w:val="3B173654"/>
    <w:rsid w:val="3B176CBD"/>
    <w:rsid w:val="3B1F7B04"/>
    <w:rsid w:val="3B224DCD"/>
    <w:rsid w:val="3B2256A4"/>
    <w:rsid w:val="3B243E8B"/>
    <w:rsid w:val="3B2753D1"/>
    <w:rsid w:val="3B3CDFC2"/>
    <w:rsid w:val="3B3E546D"/>
    <w:rsid w:val="3B424F25"/>
    <w:rsid w:val="3B44FD78"/>
    <w:rsid w:val="3B4587C0"/>
    <w:rsid w:val="3B462712"/>
    <w:rsid w:val="3B4ADB6D"/>
    <w:rsid w:val="3B4F4EF9"/>
    <w:rsid w:val="3B566736"/>
    <w:rsid w:val="3B5830CE"/>
    <w:rsid w:val="3B5ECB7C"/>
    <w:rsid w:val="3B5F4A81"/>
    <w:rsid w:val="3B5F8A84"/>
    <w:rsid w:val="3B662E62"/>
    <w:rsid w:val="3B68988C"/>
    <w:rsid w:val="3B73842A"/>
    <w:rsid w:val="3B750182"/>
    <w:rsid w:val="3B7BB7FC"/>
    <w:rsid w:val="3B7CB301"/>
    <w:rsid w:val="3B7CF766"/>
    <w:rsid w:val="3B7D3249"/>
    <w:rsid w:val="3B81FE52"/>
    <w:rsid w:val="3B84EFEA"/>
    <w:rsid w:val="3B8C404B"/>
    <w:rsid w:val="3B8F494B"/>
    <w:rsid w:val="3B8F6255"/>
    <w:rsid w:val="3B91CF5E"/>
    <w:rsid w:val="3B92C81B"/>
    <w:rsid w:val="3B96840A"/>
    <w:rsid w:val="3B969C8C"/>
    <w:rsid w:val="3B96E41A"/>
    <w:rsid w:val="3BA01B3B"/>
    <w:rsid w:val="3BA244E6"/>
    <w:rsid w:val="3BA6D3D1"/>
    <w:rsid w:val="3BA77909"/>
    <w:rsid w:val="3BAE9E86"/>
    <w:rsid w:val="3BB1E0C8"/>
    <w:rsid w:val="3BB3A2ED"/>
    <w:rsid w:val="3BB3BE49"/>
    <w:rsid w:val="3BBAA0AA"/>
    <w:rsid w:val="3BBC27C2"/>
    <w:rsid w:val="3BBCD9A3"/>
    <w:rsid w:val="3BC10C37"/>
    <w:rsid w:val="3BC1F681"/>
    <w:rsid w:val="3BCA8B02"/>
    <w:rsid w:val="3BCBC485"/>
    <w:rsid w:val="3BD004EE"/>
    <w:rsid w:val="3BD0A821"/>
    <w:rsid w:val="3BD0AD9C"/>
    <w:rsid w:val="3BD5E3FE"/>
    <w:rsid w:val="3BD91CAE"/>
    <w:rsid w:val="3BDA1B63"/>
    <w:rsid w:val="3BDF1FDA"/>
    <w:rsid w:val="3BE4EE3D"/>
    <w:rsid w:val="3BE702BB"/>
    <w:rsid w:val="3BEE3EF1"/>
    <w:rsid w:val="3BEE6EFF"/>
    <w:rsid w:val="3BF611FF"/>
    <w:rsid w:val="3BF99841"/>
    <w:rsid w:val="3BFFE1A3"/>
    <w:rsid w:val="3C04C274"/>
    <w:rsid w:val="3C06041D"/>
    <w:rsid w:val="3C0C3E90"/>
    <w:rsid w:val="3C20295B"/>
    <w:rsid w:val="3C21072C"/>
    <w:rsid w:val="3C29639F"/>
    <w:rsid w:val="3C2C4B78"/>
    <w:rsid w:val="3C2E3226"/>
    <w:rsid w:val="3C2F1913"/>
    <w:rsid w:val="3C325A91"/>
    <w:rsid w:val="3C3B44FC"/>
    <w:rsid w:val="3C3C1DFA"/>
    <w:rsid w:val="3C3DE244"/>
    <w:rsid w:val="3C410A75"/>
    <w:rsid w:val="3C46B056"/>
    <w:rsid w:val="3C4D6B35"/>
    <w:rsid w:val="3C50689C"/>
    <w:rsid w:val="3C536D27"/>
    <w:rsid w:val="3C59BCEB"/>
    <w:rsid w:val="3C5CEA5D"/>
    <w:rsid w:val="3C5D2A19"/>
    <w:rsid w:val="3C604385"/>
    <w:rsid w:val="3C68A0BE"/>
    <w:rsid w:val="3C692E2B"/>
    <w:rsid w:val="3C69EBD9"/>
    <w:rsid w:val="3C6AE157"/>
    <w:rsid w:val="3C6C9C19"/>
    <w:rsid w:val="3C6D333F"/>
    <w:rsid w:val="3C6DEC88"/>
    <w:rsid w:val="3C70AA45"/>
    <w:rsid w:val="3C73D50B"/>
    <w:rsid w:val="3C75CF16"/>
    <w:rsid w:val="3C764DFC"/>
    <w:rsid w:val="3C79D15D"/>
    <w:rsid w:val="3C813D82"/>
    <w:rsid w:val="3C86DCF9"/>
    <w:rsid w:val="3C8CF836"/>
    <w:rsid w:val="3C8D62AC"/>
    <w:rsid w:val="3C8D8805"/>
    <w:rsid w:val="3C9AB5D2"/>
    <w:rsid w:val="3CA0484D"/>
    <w:rsid w:val="3CA4A2A4"/>
    <w:rsid w:val="3CA55B24"/>
    <w:rsid w:val="3CA57C0E"/>
    <w:rsid w:val="3CA95033"/>
    <w:rsid w:val="3CAB3565"/>
    <w:rsid w:val="3CB1129C"/>
    <w:rsid w:val="3CB9ABA0"/>
    <w:rsid w:val="3CBE951B"/>
    <w:rsid w:val="3CC6C2FC"/>
    <w:rsid w:val="3CC8EDBD"/>
    <w:rsid w:val="3CCA61DB"/>
    <w:rsid w:val="3CD00813"/>
    <w:rsid w:val="3CD0552C"/>
    <w:rsid w:val="3CD26AF3"/>
    <w:rsid w:val="3CD335AA"/>
    <w:rsid w:val="3CE15BF9"/>
    <w:rsid w:val="3CE30267"/>
    <w:rsid w:val="3CE3F0F2"/>
    <w:rsid w:val="3CE939C4"/>
    <w:rsid w:val="3CEEDF42"/>
    <w:rsid w:val="3CF1B24B"/>
    <w:rsid w:val="3CF2FC72"/>
    <w:rsid w:val="3CF301A1"/>
    <w:rsid w:val="3CF39BE7"/>
    <w:rsid w:val="3CF76A06"/>
    <w:rsid w:val="3CFF8065"/>
    <w:rsid w:val="3CFF87AB"/>
    <w:rsid w:val="3D0AAC55"/>
    <w:rsid w:val="3D0F9CE3"/>
    <w:rsid w:val="3D1137B1"/>
    <w:rsid w:val="3D155899"/>
    <w:rsid w:val="3D1AE996"/>
    <w:rsid w:val="3D1B5952"/>
    <w:rsid w:val="3D1E1E0F"/>
    <w:rsid w:val="3D25B0FB"/>
    <w:rsid w:val="3D2771B3"/>
    <w:rsid w:val="3D288A54"/>
    <w:rsid w:val="3D2C92B0"/>
    <w:rsid w:val="3D2D1F00"/>
    <w:rsid w:val="3D32405F"/>
    <w:rsid w:val="3D33537D"/>
    <w:rsid w:val="3D33A91D"/>
    <w:rsid w:val="3D36F7E9"/>
    <w:rsid w:val="3D3C5780"/>
    <w:rsid w:val="3D3F8C37"/>
    <w:rsid w:val="3D41F868"/>
    <w:rsid w:val="3D42FA38"/>
    <w:rsid w:val="3D434314"/>
    <w:rsid w:val="3D43F208"/>
    <w:rsid w:val="3D49443F"/>
    <w:rsid w:val="3D4E9D78"/>
    <w:rsid w:val="3D5326CF"/>
    <w:rsid w:val="3D536545"/>
    <w:rsid w:val="3D543682"/>
    <w:rsid w:val="3D5AA66F"/>
    <w:rsid w:val="3D5B3B1D"/>
    <w:rsid w:val="3D625216"/>
    <w:rsid w:val="3D671F80"/>
    <w:rsid w:val="3D6AD99B"/>
    <w:rsid w:val="3D6D1746"/>
    <w:rsid w:val="3D6D2425"/>
    <w:rsid w:val="3D6D7495"/>
    <w:rsid w:val="3D7AFED7"/>
    <w:rsid w:val="3D7F2B7D"/>
    <w:rsid w:val="3D80FADC"/>
    <w:rsid w:val="3D8185C5"/>
    <w:rsid w:val="3D82A270"/>
    <w:rsid w:val="3D839911"/>
    <w:rsid w:val="3D861600"/>
    <w:rsid w:val="3D8B04AB"/>
    <w:rsid w:val="3D8EE652"/>
    <w:rsid w:val="3D96BA7A"/>
    <w:rsid w:val="3D9AE4FA"/>
    <w:rsid w:val="3D9B4349"/>
    <w:rsid w:val="3D9DB238"/>
    <w:rsid w:val="3DA0D483"/>
    <w:rsid w:val="3DA527E3"/>
    <w:rsid w:val="3DAAD06F"/>
    <w:rsid w:val="3DAC280C"/>
    <w:rsid w:val="3DAE6B47"/>
    <w:rsid w:val="3DAFC8A6"/>
    <w:rsid w:val="3DB01A5F"/>
    <w:rsid w:val="3DB0CFB3"/>
    <w:rsid w:val="3DB3077B"/>
    <w:rsid w:val="3DB31E51"/>
    <w:rsid w:val="3DB5EB86"/>
    <w:rsid w:val="3DB606A0"/>
    <w:rsid w:val="3DB70F03"/>
    <w:rsid w:val="3DB7D0E3"/>
    <w:rsid w:val="3DBA4A1D"/>
    <w:rsid w:val="3DBB2675"/>
    <w:rsid w:val="3DBD52A6"/>
    <w:rsid w:val="3DC5D7EC"/>
    <w:rsid w:val="3DC89131"/>
    <w:rsid w:val="3DCD7E49"/>
    <w:rsid w:val="3DCFBCB0"/>
    <w:rsid w:val="3DDAAAEB"/>
    <w:rsid w:val="3DDB92E3"/>
    <w:rsid w:val="3DDED5BF"/>
    <w:rsid w:val="3DE51EBD"/>
    <w:rsid w:val="3DEA52EA"/>
    <w:rsid w:val="3DEFB37E"/>
    <w:rsid w:val="3DF127AE"/>
    <w:rsid w:val="3DF43038"/>
    <w:rsid w:val="3DF7AD5B"/>
    <w:rsid w:val="3DF7E011"/>
    <w:rsid w:val="3DF7FB84"/>
    <w:rsid w:val="3DF837F7"/>
    <w:rsid w:val="3DF9CE27"/>
    <w:rsid w:val="3DFC30F8"/>
    <w:rsid w:val="3DFFC234"/>
    <w:rsid w:val="3E021EF0"/>
    <w:rsid w:val="3E0343AE"/>
    <w:rsid w:val="3E03F89B"/>
    <w:rsid w:val="3E09E82C"/>
    <w:rsid w:val="3E0EC95D"/>
    <w:rsid w:val="3E1672CC"/>
    <w:rsid w:val="3E1D83D7"/>
    <w:rsid w:val="3E1DF31A"/>
    <w:rsid w:val="3E1FB2FD"/>
    <w:rsid w:val="3E20C294"/>
    <w:rsid w:val="3E270692"/>
    <w:rsid w:val="3E27E9CE"/>
    <w:rsid w:val="3E2B1220"/>
    <w:rsid w:val="3E2B4080"/>
    <w:rsid w:val="3E2D6148"/>
    <w:rsid w:val="3E2E9DA7"/>
    <w:rsid w:val="3E2F1300"/>
    <w:rsid w:val="3E32AF87"/>
    <w:rsid w:val="3E42B29C"/>
    <w:rsid w:val="3E498635"/>
    <w:rsid w:val="3E4A34F7"/>
    <w:rsid w:val="3E4FD1B4"/>
    <w:rsid w:val="3E52ECB9"/>
    <w:rsid w:val="3E57FB06"/>
    <w:rsid w:val="3E5D6C4D"/>
    <w:rsid w:val="3E6240B7"/>
    <w:rsid w:val="3E6931FC"/>
    <w:rsid w:val="3E69CCAC"/>
    <w:rsid w:val="3E6C1203"/>
    <w:rsid w:val="3E6EC53F"/>
    <w:rsid w:val="3E6F08FD"/>
    <w:rsid w:val="3E759764"/>
    <w:rsid w:val="3E81F46F"/>
    <w:rsid w:val="3E851677"/>
    <w:rsid w:val="3E899D05"/>
    <w:rsid w:val="3E8A9FCF"/>
    <w:rsid w:val="3E8C5200"/>
    <w:rsid w:val="3E8FCFD6"/>
    <w:rsid w:val="3E91C7CE"/>
    <w:rsid w:val="3E980C99"/>
    <w:rsid w:val="3E9C3E2F"/>
    <w:rsid w:val="3EA64B16"/>
    <w:rsid w:val="3EA6CC08"/>
    <w:rsid w:val="3EA7078E"/>
    <w:rsid w:val="3EA88321"/>
    <w:rsid w:val="3EAB6803"/>
    <w:rsid w:val="3EAC3DAB"/>
    <w:rsid w:val="3EAD43C5"/>
    <w:rsid w:val="3EAFEE53"/>
    <w:rsid w:val="3EB2ADC0"/>
    <w:rsid w:val="3EB589C0"/>
    <w:rsid w:val="3EB60C59"/>
    <w:rsid w:val="3EB9DC8D"/>
    <w:rsid w:val="3EBCA7F5"/>
    <w:rsid w:val="3EBD3242"/>
    <w:rsid w:val="3EC0941C"/>
    <w:rsid w:val="3EC1ADA7"/>
    <w:rsid w:val="3EC30788"/>
    <w:rsid w:val="3EC51FE2"/>
    <w:rsid w:val="3EC79D03"/>
    <w:rsid w:val="3ECB0029"/>
    <w:rsid w:val="3ED10A97"/>
    <w:rsid w:val="3ED3D7EF"/>
    <w:rsid w:val="3ED91AAC"/>
    <w:rsid w:val="3ED94B00"/>
    <w:rsid w:val="3EDB8AAD"/>
    <w:rsid w:val="3EDC32A4"/>
    <w:rsid w:val="3EDC66F1"/>
    <w:rsid w:val="3EE12150"/>
    <w:rsid w:val="3EE1D932"/>
    <w:rsid w:val="3EE3361F"/>
    <w:rsid w:val="3EE41654"/>
    <w:rsid w:val="3EE595FB"/>
    <w:rsid w:val="3EE6C889"/>
    <w:rsid w:val="3EE80E3B"/>
    <w:rsid w:val="3EEC07D1"/>
    <w:rsid w:val="3EF05302"/>
    <w:rsid w:val="3EF10B0C"/>
    <w:rsid w:val="3EF25647"/>
    <w:rsid w:val="3EF3971C"/>
    <w:rsid w:val="3EF55E5D"/>
    <w:rsid w:val="3EF7C8FC"/>
    <w:rsid w:val="3EF7F099"/>
    <w:rsid w:val="3EF86191"/>
    <w:rsid w:val="3EFB204F"/>
    <w:rsid w:val="3EFD048D"/>
    <w:rsid w:val="3EFF31BA"/>
    <w:rsid w:val="3EFFF1E3"/>
    <w:rsid w:val="3F006B30"/>
    <w:rsid w:val="3F00C6BA"/>
    <w:rsid w:val="3F028724"/>
    <w:rsid w:val="3F02BAB4"/>
    <w:rsid w:val="3F062DB4"/>
    <w:rsid w:val="3F1312E0"/>
    <w:rsid w:val="3F1C9A74"/>
    <w:rsid w:val="3F1CDF26"/>
    <w:rsid w:val="3F294E91"/>
    <w:rsid w:val="3F2BD56D"/>
    <w:rsid w:val="3F2C80D4"/>
    <w:rsid w:val="3F2DC88A"/>
    <w:rsid w:val="3F2F95D7"/>
    <w:rsid w:val="3F325C9B"/>
    <w:rsid w:val="3F3264F8"/>
    <w:rsid w:val="3F33DB5C"/>
    <w:rsid w:val="3F35A093"/>
    <w:rsid w:val="3F378102"/>
    <w:rsid w:val="3F38069A"/>
    <w:rsid w:val="3F3C10F3"/>
    <w:rsid w:val="3F431A6A"/>
    <w:rsid w:val="3F4790D9"/>
    <w:rsid w:val="3F4AD505"/>
    <w:rsid w:val="3F4BDB49"/>
    <w:rsid w:val="3F4D29D5"/>
    <w:rsid w:val="3F4D68B1"/>
    <w:rsid w:val="3F4E966D"/>
    <w:rsid w:val="3F4F7D0E"/>
    <w:rsid w:val="3F5504CD"/>
    <w:rsid w:val="3F59D0C0"/>
    <w:rsid w:val="3F59F6B8"/>
    <w:rsid w:val="3F62ECCF"/>
    <w:rsid w:val="3F644C57"/>
    <w:rsid w:val="3F670186"/>
    <w:rsid w:val="3F6A1630"/>
    <w:rsid w:val="3F6DF96F"/>
    <w:rsid w:val="3F763ED7"/>
    <w:rsid w:val="3F78E5B1"/>
    <w:rsid w:val="3F797C9C"/>
    <w:rsid w:val="3F7E9C07"/>
    <w:rsid w:val="3F81DA13"/>
    <w:rsid w:val="3F8720F1"/>
    <w:rsid w:val="3F92CAC8"/>
    <w:rsid w:val="3F931904"/>
    <w:rsid w:val="3F93B60D"/>
    <w:rsid w:val="3F96B92E"/>
    <w:rsid w:val="3F98E6D9"/>
    <w:rsid w:val="3F9C344A"/>
    <w:rsid w:val="3F9EA4CB"/>
    <w:rsid w:val="3FA1A9B9"/>
    <w:rsid w:val="3FA1C1EA"/>
    <w:rsid w:val="3FA664DE"/>
    <w:rsid w:val="3FA97CC2"/>
    <w:rsid w:val="3FB35666"/>
    <w:rsid w:val="3FB591D4"/>
    <w:rsid w:val="3FB83764"/>
    <w:rsid w:val="3FB8D820"/>
    <w:rsid w:val="3FBA46CD"/>
    <w:rsid w:val="3FC125D8"/>
    <w:rsid w:val="3FC58469"/>
    <w:rsid w:val="3FC66F66"/>
    <w:rsid w:val="3FC7C673"/>
    <w:rsid w:val="3FCEA69C"/>
    <w:rsid w:val="3FD0A23D"/>
    <w:rsid w:val="3FD15CA2"/>
    <w:rsid w:val="3FDCA7A5"/>
    <w:rsid w:val="3FDCE505"/>
    <w:rsid w:val="3FDD07FE"/>
    <w:rsid w:val="3FE0EFD5"/>
    <w:rsid w:val="3FE2A6C5"/>
    <w:rsid w:val="3FE2D711"/>
    <w:rsid w:val="3FE31C7C"/>
    <w:rsid w:val="3FE5D8A7"/>
    <w:rsid w:val="3FE8FF18"/>
    <w:rsid w:val="3FE9550D"/>
    <w:rsid w:val="3FEB5A83"/>
    <w:rsid w:val="3FEE0DB8"/>
    <w:rsid w:val="3FEEAA0F"/>
    <w:rsid w:val="3FF2CFD1"/>
    <w:rsid w:val="3FF36E4B"/>
    <w:rsid w:val="3FF534BE"/>
    <w:rsid w:val="3FF626D1"/>
    <w:rsid w:val="3FFD1140"/>
    <w:rsid w:val="3FFD38D7"/>
    <w:rsid w:val="40007EC8"/>
    <w:rsid w:val="4004F4BA"/>
    <w:rsid w:val="40054737"/>
    <w:rsid w:val="4006FB4D"/>
    <w:rsid w:val="400C9421"/>
    <w:rsid w:val="400E3BAF"/>
    <w:rsid w:val="400F10E6"/>
    <w:rsid w:val="401211AE"/>
    <w:rsid w:val="401212F5"/>
    <w:rsid w:val="4013498B"/>
    <w:rsid w:val="4018D4E7"/>
    <w:rsid w:val="401C2F25"/>
    <w:rsid w:val="401D4589"/>
    <w:rsid w:val="401E875B"/>
    <w:rsid w:val="40221BDA"/>
    <w:rsid w:val="40227402"/>
    <w:rsid w:val="4026B7E4"/>
    <w:rsid w:val="40276BA5"/>
    <w:rsid w:val="40298214"/>
    <w:rsid w:val="402CD9EB"/>
    <w:rsid w:val="4030CC1A"/>
    <w:rsid w:val="4037C320"/>
    <w:rsid w:val="403D074A"/>
    <w:rsid w:val="4043EFE4"/>
    <w:rsid w:val="404618AA"/>
    <w:rsid w:val="4046D432"/>
    <w:rsid w:val="404C0040"/>
    <w:rsid w:val="404F43D7"/>
    <w:rsid w:val="4052E690"/>
    <w:rsid w:val="40533B20"/>
    <w:rsid w:val="40534851"/>
    <w:rsid w:val="4055D17A"/>
    <w:rsid w:val="405BE18C"/>
    <w:rsid w:val="4063AB12"/>
    <w:rsid w:val="4065EC24"/>
    <w:rsid w:val="40668938"/>
    <w:rsid w:val="406799C6"/>
    <w:rsid w:val="40692DD0"/>
    <w:rsid w:val="407BB7BE"/>
    <w:rsid w:val="40812FCF"/>
    <w:rsid w:val="408211D1"/>
    <w:rsid w:val="4083A1A3"/>
    <w:rsid w:val="4083B705"/>
    <w:rsid w:val="4084A8C1"/>
    <w:rsid w:val="4086EEA4"/>
    <w:rsid w:val="408C45EF"/>
    <w:rsid w:val="40900015"/>
    <w:rsid w:val="40905104"/>
    <w:rsid w:val="409562A5"/>
    <w:rsid w:val="4095DB06"/>
    <w:rsid w:val="40964B7A"/>
    <w:rsid w:val="4097E69B"/>
    <w:rsid w:val="40980B89"/>
    <w:rsid w:val="4098B5AC"/>
    <w:rsid w:val="4099BDDB"/>
    <w:rsid w:val="409AFBE0"/>
    <w:rsid w:val="409B3491"/>
    <w:rsid w:val="409D667E"/>
    <w:rsid w:val="409D873D"/>
    <w:rsid w:val="409E5F93"/>
    <w:rsid w:val="40A052EB"/>
    <w:rsid w:val="40A41CF8"/>
    <w:rsid w:val="40ACC4BD"/>
    <w:rsid w:val="40B51ECD"/>
    <w:rsid w:val="40B6633F"/>
    <w:rsid w:val="40B6C494"/>
    <w:rsid w:val="40B7046A"/>
    <w:rsid w:val="40B815B3"/>
    <w:rsid w:val="40B8946E"/>
    <w:rsid w:val="40B8956E"/>
    <w:rsid w:val="40BD5EAA"/>
    <w:rsid w:val="40C297A8"/>
    <w:rsid w:val="40C7279C"/>
    <w:rsid w:val="40CA38C0"/>
    <w:rsid w:val="40CAA4F5"/>
    <w:rsid w:val="40CCE9E7"/>
    <w:rsid w:val="40D11393"/>
    <w:rsid w:val="40D1EA25"/>
    <w:rsid w:val="40D4A4C0"/>
    <w:rsid w:val="40D6502E"/>
    <w:rsid w:val="40D80860"/>
    <w:rsid w:val="40DC0F09"/>
    <w:rsid w:val="40E3E1E4"/>
    <w:rsid w:val="40E5A25C"/>
    <w:rsid w:val="40E7B551"/>
    <w:rsid w:val="40EAB3DF"/>
    <w:rsid w:val="40EDC015"/>
    <w:rsid w:val="40EE617F"/>
    <w:rsid w:val="40F40C8C"/>
    <w:rsid w:val="40FDF24C"/>
    <w:rsid w:val="4101CF8A"/>
    <w:rsid w:val="41027A02"/>
    <w:rsid w:val="41064342"/>
    <w:rsid w:val="410FCDF3"/>
    <w:rsid w:val="4112F1A1"/>
    <w:rsid w:val="4113E437"/>
    <w:rsid w:val="4114D26B"/>
    <w:rsid w:val="4114DE97"/>
    <w:rsid w:val="411562B7"/>
    <w:rsid w:val="4118EF2C"/>
    <w:rsid w:val="411DCD08"/>
    <w:rsid w:val="411E2B7D"/>
    <w:rsid w:val="412292BB"/>
    <w:rsid w:val="41237A28"/>
    <w:rsid w:val="4123983A"/>
    <w:rsid w:val="4124B442"/>
    <w:rsid w:val="412BEEBD"/>
    <w:rsid w:val="41300A2A"/>
    <w:rsid w:val="41322968"/>
    <w:rsid w:val="4137A505"/>
    <w:rsid w:val="413830AC"/>
    <w:rsid w:val="41392644"/>
    <w:rsid w:val="413B4492"/>
    <w:rsid w:val="413B5C7D"/>
    <w:rsid w:val="413C98A5"/>
    <w:rsid w:val="413E3CFE"/>
    <w:rsid w:val="413EB66C"/>
    <w:rsid w:val="413F4BAF"/>
    <w:rsid w:val="4140E39A"/>
    <w:rsid w:val="414879A8"/>
    <w:rsid w:val="4148B1DA"/>
    <w:rsid w:val="41491346"/>
    <w:rsid w:val="414A4ECC"/>
    <w:rsid w:val="4151552A"/>
    <w:rsid w:val="41516568"/>
    <w:rsid w:val="4156BA21"/>
    <w:rsid w:val="415DCFB4"/>
    <w:rsid w:val="415FCC42"/>
    <w:rsid w:val="41634623"/>
    <w:rsid w:val="41650183"/>
    <w:rsid w:val="4169EF29"/>
    <w:rsid w:val="4173A082"/>
    <w:rsid w:val="417D1628"/>
    <w:rsid w:val="417D7397"/>
    <w:rsid w:val="41825630"/>
    <w:rsid w:val="41839EA2"/>
    <w:rsid w:val="418443F1"/>
    <w:rsid w:val="41853AFD"/>
    <w:rsid w:val="4185AF3C"/>
    <w:rsid w:val="41891357"/>
    <w:rsid w:val="418D4340"/>
    <w:rsid w:val="4190E41A"/>
    <w:rsid w:val="41923904"/>
    <w:rsid w:val="41934297"/>
    <w:rsid w:val="41938851"/>
    <w:rsid w:val="41969B33"/>
    <w:rsid w:val="419E8D4F"/>
    <w:rsid w:val="41A7437B"/>
    <w:rsid w:val="41A8491F"/>
    <w:rsid w:val="41A882A4"/>
    <w:rsid w:val="41AA0B37"/>
    <w:rsid w:val="41AF1601"/>
    <w:rsid w:val="41B0C341"/>
    <w:rsid w:val="41B32D94"/>
    <w:rsid w:val="41B8845B"/>
    <w:rsid w:val="41BB1966"/>
    <w:rsid w:val="41BCD539"/>
    <w:rsid w:val="41BFA9B9"/>
    <w:rsid w:val="41BFD95F"/>
    <w:rsid w:val="41C11057"/>
    <w:rsid w:val="41C59AD3"/>
    <w:rsid w:val="41C9758A"/>
    <w:rsid w:val="41CA9888"/>
    <w:rsid w:val="41CB2994"/>
    <w:rsid w:val="41CB5C4C"/>
    <w:rsid w:val="41CFADF6"/>
    <w:rsid w:val="41D3160F"/>
    <w:rsid w:val="41D36A4F"/>
    <w:rsid w:val="41DA3306"/>
    <w:rsid w:val="41E0BF75"/>
    <w:rsid w:val="41E36FBD"/>
    <w:rsid w:val="41E57AD2"/>
    <w:rsid w:val="41E7729B"/>
    <w:rsid w:val="41F137A1"/>
    <w:rsid w:val="41F96694"/>
    <w:rsid w:val="41FB508D"/>
    <w:rsid w:val="41FD5272"/>
    <w:rsid w:val="41FE1EFE"/>
    <w:rsid w:val="4200F601"/>
    <w:rsid w:val="42033F0F"/>
    <w:rsid w:val="4206B6CC"/>
    <w:rsid w:val="4206C935"/>
    <w:rsid w:val="420FE5EF"/>
    <w:rsid w:val="421184F3"/>
    <w:rsid w:val="4215A615"/>
    <w:rsid w:val="421870F7"/>
    <w:rsid w:val="421911D2"/>
    <w:rsid w:val="4219DE09"/>
    <w:rsid w:val="421C81E5"/>
    <w:rsid w:val="421CB5D4"/>
    <w:rsid w:val="421E1448"/>
    <w:rsid w:val="42256714"/>
    <w:rsid w:val="4226EDDB"/>
    <w:rsid w:val="422DD094"/>
    <w:rsid w:val="422E55E6"/>
    <w:rsid w:val="4230ECA8"/>
    <w:rsid w:val="42377E08"/>
    <w:rsid w:val="42383292"/>
    <w:rsid w:val="423BDFDA"/>
    <w:rsid w:val="423EDF74"/>
    <w:rsid w:val="42420533"/>
    <w:rsid w:val="42420D44"/>
    <w:rsid w:val="4242629C"/>
    <w:rsid w:val="4247E1BD"/>
    <w:rsid w:val="4248B518"/>
    <w:rsid w:val="424FA451"/>
    <w:rsid w:val="425485FB"/>
    <w:rsid w:val="42559695"/>
    <w:rsid w:val="4259B191"/>
    <w:rsid w:val="425AE24F"/>
    <w:rsid w:val="4260E35B"/>
    <w:rsid w:val="42633D34"/>
    <w:rsid w:val="426AD6E9"/>
    <w:rsid w:val="426CD793"/>
    <w:rsid w:val="427246EA"/>
    <w:rsid w:val="4272EAB8"/>
    <w:rsid w:val="42752FCD"/>
    <w:rsid w:val="4277CB58"/>
    <w:rsid w:val="427F08C9"/>
    <w:rsid w:val="42932026"/>
    <w:rsid w:val="4297D6EA"/>
    <w:rsid w:val="42986C50"/>
    <w:rsid w:val="42A137AF"/>
    <w:rsid w:val="42A33865"/>
    <w:rsid w:val="42A954F6"/>
    <w:rsid w:val="42A9FDD1"/>
    <w:rsid w:val="42B0965E"/>
    <w:rsid w:val="42B27856"/>
    <w:rsid w:val="42B531EA"/>
    <w:rsid w:val="42B83372"/>
    <w:rsid w:val="42B903C9"/>
    <w:rsid w:val="42BBE5FC"/>
    <w:rsid w:val="42BC9F08"/>
    <w:rsid w:val="42BEEBDE"/>
    <w:rsid w:val="42BFE5DF"/>
    <w:rsid w:val="42C05DB8"/>
    <w:rsid w:val="42C3787C"/>
    <w:rsid w:val="42C41C6E"/>
    <w:rsid w:val="42CC49C5"/>
    <w:rsid w:val="42CDB0E8"/>
    <w:rsid w:val="42CEFCC0"/>
    <w:rsid w:val="42D0CFA9"/>
    <w:rsid w:val="42D424D0"/>
    <w:rsid w:val="42DCD1E4"/>
    <w:rsid w:val="42E41747"/>
    <w:rsid w:val="42E6A1A1"/>
    <w:rsid w:val="42EBF6A4"/>
    <w:rsid w:val="42ECF416"/>
    <w:rsid w:val="42EE3940"/>
    <w:rsid w:val="42EED3CB"/>
    <w:rsid w:val="42F2F2E8"/>
    <w:rsid w:val="42F39BFB"/>
    <w:rsid w:val="42F4C043"/>
    <w:rsid w:val="42F544E6"/>
    <w:rsid w:val="42F74624"/>
    <w:rsid w:val="42F77119"/>
    <w:rsid w:val="42F95D53"/>
    <w:rsid w:val="42FA39C2"/>
    <w:rsid w:val="42FA6013"/>
    <w:rsid w:val="42FE523E"/>
    <w:rsid w:val="42FE683A"/>
    <w:rsid w:val="42FEF674"/>
    <w:rsid w:val="42FF1C89"/>
    <w:rsid w:val="43011C10"/>
    <w:rsid w:val="430171DB"/>
    <w:rsid w:val="4302A590"/>
    <w:rsid w:val="43038219"/>
    <w:rsid w:val="430432E5"/>
    <w:rsid w:val="430A358B"/>
    <w:rsid w:val="430A46FB"/>
    <w:rsid w:val="431169BB"/>
    <w:rsid w:val="431567FF"/>
    <w:rsid w:val="43168E16"/>
    <w:rsid w:val="431AE6F0"/>
    <w:rsid w:val="431B3A33"/>
    <w:rsid w:val="431C4A00"/>
    <w:rsid w:val="4320D721"/>
    <w:rsid w:val="43237A22"/>
    <w:rsid w:val="433CF74B"/>
    <w:rsid w:val="433EE0DE"/>
    <w:rsid w:val="4342F291"/>
    <w:rsid w:val="4344C5B1"/>
    <w:rsid w:val="434665C3"/>
    <w:rsid w:val="434A3681"/>
    <w:rsid w:val="434B254D"/>
    <w:rsid w:val="434B7172"/>
    <w:rsid w:val="435334C8"/>
    <w:rsid w:val="4362A11E"/>
    <w:rsid w:val="4362C98E"/>
    <w:rsid w:val="43638AF6"/>
    <w:rsid w:val="43661EEF"/>
    <w:rsid w:val="436DCD91"/>
    <w:rsid w:val="436DD7BE"/>
    <w:rsid w:val="43714FF3"/>
    <w:rsid w:val="437464FD"/>
    <w:rsid w:val="4376978D"/>
    <w:rsid w:val="4380F3FD"/>
    <w:rsid w:val="43813BD4"/>
    <w:rsid w:val="4381D9A4"/>
    <w:rsid w:val="438386CE"/>
    <w:rsid w:val="43848EE7"/>
    <w:rsid w:val="4386DC8D"/>
    <w:rsid w:val="4388FB7C"/>
    <w:rsid w:val="438A60F4"/>
    <w:rsid w:val="438EB98A"/>
    <w:rsid w:val="438F5DA3"/>
    <w:rsid w:val="4392239F"/>
    <w:rsid w:val="4392C94E"/>
    <w:rsid w:val="4395F8A7"/>
    <w:rsid w:val="4397F1CC"/>
    <w:rsid w:val="43982357"/>
    <w:rsid w:val="439F2CA3"/>
    <w:rsid w:val="43A04ACF"/>
    <w:rsid w:val="43A350D7"/>
    <w:rsid w:val="43A4629E"/>
    <w:rsid w:val="43A6537C"/>
    <w:rsid w:val="43A74EFB"/>
    <w:rsid w:val="43A8BD58"/>
    <w:rsid w:val="43A8F743"/>
    <w:rsid w:val="43AA3F38"/>
    <w:rsid w:val="43ACAC5B"/>
    <w:rsid w:val="43AD36BC"/>
    <w:rsid w:val="43AFEA84"/>
    <w:rsid w:val="43B0006D"/>
    <w:rsid w:val="43B1582F"/>
    <w:rsid w:val="43B2232A"/>
    <w:rsid w:val="43B4B70E"/>
    <w:rsid w:val="43B5336E"/>
    <w:rsid w:val="43B6ECF2"/>
    <w:rsid w:val="43BCB379"/>
    <w:rsid w:val="43BE5088"/>
    <w:rsid w:val="43BF48B5"/>
    <w:rsid w:val="43BF9CC1"/>
    <w:rsid w:val="43C2C748"/>
    <w:rsid w:val="43C3A23B"/>
    <w:rsid w:val="43C49863"/>
    <w:rsid w:val="43CAAD39"/>
    <w:rsid w:val="43DD4DF0"/>
    <w:rsid w:val="43E01FC3"/>
    <w:rsid w:val="43E09953"/>
    <w:rsid w:val="43E6800B"/>
    <w:rsid w:val="43E96EAF"/>
    <w:rsid w:val="43EECBCF"/>
    <w:rsid w:val="43EF1AE0"/>
    <w:rsid w:val="43EF8E22"/>
    <w:rsid w:val="43F11E36"/>
    <w:rsid w:val="43F191E9"/>
    <w:rsid w:val="43F32C9F"/>
    <w:rsid w:val="43F4A225"/>
    <w:rsid w:val="43F5C79C"/>
    <w:rsid w:val="43F6C41A"/>
    <w:rsid w:val="43F906A9"/>
    <w:rsid w:val="43FA4DCD"/>
    <w:rsid w:val="43FB7DD3"/>
    <w:rsid w:val="43FE0DDD"/>
    <w:rsid w:val="43FEC0CF"/>
    <w:rsid w:val="4401BEB0"/>
    <w:rsid w:val="4401EFCD"/>
    <w:rsid w:val="44031A14"/>
    <w:rsid w:val="44042C9A"/>
    <w:rsid w:val="440AFFF9"/>
    <w:rsid w:val="440C9E8B"/>
    <w:rsid w:val="440DF691"/>
    <w:rsid w:val="441308BE"/>
    <w:rsid w:val="4413545B"/>
    <w:rsid w:val="4414752E"/>
    <w:rsid w:val="4418A193"/>
    <w:rsid w:val="441A5102"/>
    <w:rsid w:val="442342A5"/>
    <w:rsid w:val="44236CB4"/>
    <w:rsid w:val="4426A411"/>
    <w:rsid w:val="44287C6E"/>
    <w:rsid w:val="442E00D6"/>
    <w:rsid w:val="442E930D"/>
    <w:rsid w:val="442F3E2B"/>
    <w:rsid w:val="4432B42F"/>
    <w:rsid w:val="4434C45F"/>
    <w:rsid w:val="443C4C91"/>
    <w:rsid w:val="443CA2A3"/>
    <w:rsid w:val="443DFE65"/>
    <w:rsid w:val="44440DB6"/>
    <w:rsid w:val="444B3E1B"/>
    <w:rsid w:val="444E4B54"/>
    <w:rsid w:val="44549785"/>
    <w:rsid w:val="445A564A"/>
    <w:rsid w:val="44604B01"/>
    <w:rsid w:val="4463A24D"/>
    <w:rsid w:val="4466CD02"/>
    <w:rsid w:val="44690393"/>
    <w:rsid w:val="4469821C"/>
    <w:rsid w:val="446C83C0"/>
    <w:rsid w:val="446EEEF7"/>
    <w:rsid w:val="44745151"/>
    <w:rsid w:val="4477D3B5"/>
    <w:rsid w:val="44780587"/>
    <w:rsid w:val="4479BBAB"/>
    <w:rsid w:val="447B49B1"/>
    <w:rsid w:val="447DBBF6"/>
    <w:rsid w:val="448359DC"/>
    <w:rsid w:val="44857C66"/>
    <w:rsid w:val="44876B64"/>
    <w:rsid w:val="44877AD2"/>
    <w:rsid w:val="44909EA8"/>
    <w:rsid w:val="44965F86"/>
    <w:rsid w:val="449A5508"/>
    <w:rsid w:val="449E9F6D"/>
    <w:rsid w:val="44A5B5AA"/>
    <w:rsid w:val="44A6A97C"/>
    <w:rsid w:val="44ADE618"/>
    <w:rsid w:val="44AE4617"/>
    <w:rsid w:val="44BDA590"/>
    <w:rsid w:val="44BFD458"/>
    <w:rsid w:val="44C247FC"/>
    <w:rsid w:val="44C33A58"/>
    <w:rsid w:val="44C3FCC4"/>
    <w:rsid w:val="44C7450E"/>
    <w:rsid w:val="44C7CB66"/>
    <w:rsid w:val="44CB5058"/>
    <w:rsid w:val="44CCA2D5"/>
    <w:rsid w:val="44CE31F6"/>
    <w:rsid w:val="44CF513F"/>
    <w:rsid w:val="44D3EB58"/>
    <w:rsid w:val="44D66524"/>
    <w:rsid w:val="44D69CCB"/>
    <w:rsid w:val="44D91223"/>
    <w:rsid w:val="44DBD775"/>
    <w:rsid w:val="44DD41B1"/>
    <w:rsid w:val="44E0A841"/>
    <w:rsid w:val="44E2E28D"/>
    <w:rsid w:val="44E696FE"/>
    <w:rsid w:val="44E7BF16"/>
    <w:rsid w:val="44EB0045"/>
    <w:rsid w:val="44F0DC43"/>
    <w:rsid w:val="44F87DAE"/>
    <w:rsid w:val="44FAC1E2"/>
    <w:rsid w:val="44FB18ED"/>
    <w:rsid w:val="44FEEEE3"/>
    <w:rsid w:val="45029509"/>
    <w:rsid w:val="4505F616"/>
    <w:rsid w:val="450665C2"/>
    <w:rsid w:val="4506A42A"/>
    <w:rsid w:val="4506DCE5"/>
    <w:rsid w:val="45080977"/>
    <w:rsid w:val="4510FE0E"/>
    <w:rsid w:val="45128D82"/>
    <w:rsid w:val="4512A44C"/>
    <w:rsid w:val="451429BD"/>
    <w:rsid w:val="4516E284"/>
    <w:rsid w:val="4518AAC8"/>
    <w:rsid w:val="451C53C8"/>
    <w:rsid w:val="451D5B69"/>
    <w:rsid w:val="45216E6E"/>
    <w:rsid w:val="4523A2F7"/>
    <w:rsid w:val="452A8403"/>
    <w:rsid w:val="452AAEF6"/>
    <w:rsid w:val="45343E0B"/>
    <w:rsid w:val="45344D7A"/>
    <w:rsid w:val="45382B28"/>
    <w:rsid w:val="453C0835"/>
    <w:rsid w:val="453DFB6E"/>
    <w:rsid w:val="453F1CFF"/>
    <w:rsid w:val="453FD317"/>
    <w:rsid w:val="45451A0C"/>
    <w:rsid w:val="454F1A04"/>
    <w:rsid w:val="4553179F"/>
    <w:rsid w:val="4559AD8E"/>
    <w:rsid w:val="455B5D17"/>
    <w:rsid w:val="4560894D"/>
    <w:rsid w:val="45611975"/>
    <w:rsid w:val="456252F2"/>
    <w:rsid w:val="45639742"/>
    <w:rsid w:val="456E1C80"/>
    <w:rsid w:val="456E4C83"/>
    <w:rsid w:val="45714A29"/>
    <w:rsid w:val="4578E080"/>
    <w:rsid w:val="457B5A40"/>
    <w:rsid w:val="457DD708"/>
    <w:rsid w:val="457F71B8"/>
    <w:rsid w:val="4584737E"/>
    <w:rsid w:val="45855401"/>
    <w:rsid w:val="4587D9EF"/>
    <w:rsid w:val="4590B84A"/>
    <w:rsid w:val="45917462"/>
    <w:rsid w:val="45921C11"/>
    <w:rsid w:val="45974FC0"/>
    <w:rsid w:val="459A7C82"/>
    <w:rsid w:val="459DED06"/>
    <w:rsid w:val="459E2B3C"/>
    <w:rsid w:val="45AE4481"/>
    <w:rsid w:val="45B09651"/>
    <w:rsid w:val="45B32402"/>
    <w:rsid w:val="45B70B7E"/>
    <w:rsid w:val="45B99127"/>
    <w:rsid w:val="45C69F92"/>
    <w:rsid w:val="45C9E703"/>
    <w:rsid w:val="45CA44D0"/>
    <w:rsid w:val="45CD445B"/>
    <w:rsid w:val="45CDBABA"/>
    <w:rsid w:val="45CF270C"/>
    <w:rsid w:val="45D74B82"/>
    <w:rsid w:val="45D77DE0"/>
    <w:rsid w:val="45DA3969"/>
    <w:rsid w:val="45DA8167"/>
    <w:rsid w:val="45E026CE"/>
    <w:rsid w:val="45E3A90E"/>
    <w:rsid w:val="45E85A46"/>
    <w:rsid w:val="45F141D1"/>
    <w:rsid w:val="45F2F9B3"/>
    <w:rsid w:val="45F39746"/>
    <w:rsid w:val="45F3EBC9"/>
    <w:rsid w:val="45F52D52"/>
    <w:rsid w:val="45F694DB"/>
    <w:rsid w:val="45FB9692"/>
    <w:rsid w:val="45FEDE18"/>
    <w:rsid w:val="4605A110"/>
    <w:rsid w:val="46068CBA"/>
    <w:rsid w:val="460967FC"/>
    <w:rsid w:val="460E08DB"/>
    <w:rsid w:val="460E2F78"/>
    <w:rsid w:val="461313B2"/>
    <w:rsid w:val="4614407D"/>
    <w:rsid w:val="46144F82"/>
    <w:rsid w:val="46166110"/>
    <w:rsid w:val="46202A45"/>
    <w:rsid w:val="46222BE2"/>
    <w:rsid w:val="4627DD67"/>
    <w:rsid w:val="4627E542"/>
    <w:rsid w:val="462B6360"/>
    <w:rsid w:val="462D4D04"/>
    <w:rsid w:val="463561EB"/>
    <w:rsid w:val="46367EE1"/>
    <w:rsid w:val="463741AA"/>
    <w:rsid w:val="4637EBD9"/>
    <w:rsid w:val="4637FE34"/>
    <w:rsid w:val="4642FE04"/>
    <w:rsid w:val="464703EF"/>
    <w:rsid w:val="4648D49B"/>
    <w:rsid w:val="465389CE"/>
    <w:rsid w:val="46550B81"/>
    <w:rsid w:val="4658DA88"/>
    <w:rsid w:val="465CEB57"/>
    <w:rsid w:val="465F36FF"/>
    <w:rsid w:val="465FA175"/>
    <w:rsid w:val="46625D97"/>
    <w:rsid w:val="4662FFD2"/>
    <w:rsid w:val="46630268"/>
    <w:rsid w:val="4664A6EB"/>
    <w:rsid w:val="4667F463"/>
    <w:rsid w:val="466C567C"/>
    <w:rsid w:val="466CB2C3"/>
    <w:rsid w:val="466E2484"/>
    <w:rsid w:val="4670DB77"/>
    <w:rsid w:val="46789547"/>
    <w:rsid w:val="467CC5D6"/>
    <w:rsid w:val="46841130"/>
    <w:rsid w:val="4686A6E9"/>
    <w:rsid w:val="4687A3A2"/>
    <w:rsid w:val="4688296B"/>
    <w:rsid w:val="46893493"/>
    <w:rsid w:val="4689697D"/>
    <w:rsid w:val="468A1B5D"/>
    <w:rsid w:val="468D4F22"/>
    <w:rsid w:val="46938819"/>
    <w:rsid w:val="469407F4"/>
    <w:rsid w:val="46943363"/>
    <w:rsid w:val="4694A82D"/>
    <w:rsid w:val="46995356"/>
    <w:rsid w:val="46999893"/>
    <w:rsid w:val="469BD42A"/>
    <w:rsid w:val="469E8B1E"/>
    <w:rsid w:val="46AB4469"/>
    <w:rsid w:val="46AF2891"/>
    <w:rsid w:val="46B381EE"/>
    <w:rsid w:val="46B54AF5"/>
    <w:rsid w:val="46B68032"/>
    <w:rsid w:val="46B7197C"/>
    <w:rsid w:val="46BECA09"/>
    <w:rsid w:val="46BF928A"/>
    <w:rsid w:val="46C08462"/>
    <w:rsid w:val="46C0AB47"/>
    <w:rsid w:val="46C1E440"/>
    <w:rsid w:val="46C203F0"/>
    <w:rsid w:val="46C3EBF0"/>
    <w:rsid w:val="46C95D85"/>
    <w:rsid w:val="46CF808A"/>
    <w:rsid w:val="46D089FC"/>
    <w:rsid w:val="46D159CE"/>
    <w:rsid w:val="46D975FD"/>
    <w:rsid w:val="46D98A82"/>
    <w:rsid w:val="46DAE21A"/>
    <w:rsid w:val="46DCBE80"/>
    <w:rsid w:val="46DF571E"/>
    <w:rsid w:val="46E688E9"/>
    <w:rsid w:val="46E9D0F4"/>
    <w:rsid w:val="46ED9505"/>
    <w:rsid w:val="46EF3C70"/>
    <w:rsid w:val="46F19D21"/>
    <w:rsid w:val="46F8CF73"/>
    <w:rsid w:val="46FC7749"/>
    <w:rsid w:val="4704D7AA"/>
    <w:rsid w:val="47066DBC"/>
    <w:rsid w:val="47079E3A"/>
    <w:rsid w:val="4708C4C5"/>
    <w:rsid w:val="470A07ED"/>
    <w:rsid w:val="470B57C2"/>
    <w:rsid w:val="470BA73D"/>
    <w:rsid w:val="470BA822"/>
    <w:rsid w:val="47104854"/>
    <w:rsid w:val="471201D6"/>
    <w:rsid w:val="47180268"/>
    <w:rsid w:val="471A96B3"/>
    <w:rsid w:val="471C4E96"/>
    <w:rsid w:val="471C52F1"/>
    <w:rsid w:val="471CD907"/>
    <w:rsid w:val="471DDD99"/>
    <w:rsid w:val="471EFEFA"/>
    <w:rsid w:val="471FB2D3"/>
    <w:rsid w:val="472A06AF"/>
    <w:rsid w:val="472AC1EC"/>
    <w:rsid w:val="472BDAF7"/>
    <w:rsid w:val="472CF079"/>
    <w:rsid w:val="472D090F"/>
    <w:rsid w:val="472F093B"/>
    <w:rsid w:val="473156EA"/>
    <w:rsid w:val="473321F0"/>
    <w:rsid w:val="4736D0E4"/>
    <w:rsid w:val="4744F2DE"/>
    <w:rsid w:val="4746C850"/>
    <w:rsid w:val="474766C0"/>
    <w:rsid w:val="474A8E50"/>
    <w:rsid w:val="475170BF"/>
    <w:rsid w:val="4751DC62"/>
    <w:rsid w:val="47525451"/>
    <w:rsid w:val="4752F8C5"/>
    <w:rsid w:val="4753A166"/>
    <w:rsid w:val="4753D5F6"/>
    <w:rsid w:val="475A4353"/>
    <w:rsid w:val="475AAB84"/>
    <w:rsid w:val="475AD8B7"/>
    <w:rsid w:val="476545FC"/>
    <w:rsid w:val="47673E43"/>
    <w:rsid w:val="4767DF73"/>
    <w:rsid w:val="4767F2CF"/>
    <w:rsid w:val="4767F3AA"/>
    <w:rsid w:val="476A6D97"/>
    <w:rsid w:val="476ACD4D"/>
    <w:rsid w:val="476D6609"/>
    <w:rsid w:val="47780DF7"/>
    <w:rsid w:val="4778E9F5"/>
    <w:rsid w:val="477A8A76"/>
    <w:rsid w:val="477B0E4B"/>
    <w:rsid w:val="477B3A7A"/>
    <w:rsid w:val="477D2C7D"/>
    <w:rsid w:val="47887550"/>
    <w:rsid w:val="4788B680"/>
    <w:rsid w:val="478BBCA1"/>
    <w:rsid w:val="478DF288"/>
    <w:rsid w:val="478E6096"/>
    <w:rsid w:val="4791A327"/>
    <w:rsid w:val="47933E4D"/>
    <w:rsid w:val="47950ECF"/>
    <w:rsid w:val="4795D530"/>
    <w:rsid w:val="479C53B8"/>
    <w:rsid w:val="479D990F"/>
    <w:rsid w:val="479E4DAB"/>
    <w:rsid w:val="47A1AAEE"/>
    <w:rsid w:val="47A3C5E1"/>
    <w:rsid w:val="47A4FBD0"/>
    <w:rsid w:val="47A7A3CA"/>
    <w:rsid w:val="47AB27FC"/>
    <w:rsid w:val="47AC7B9D"/>
    <w:rsid w:val="47AFAAF4"/>
    <w:rsid w:val="47B09BC5"/>
    <w:rsid w:val="47B4E768"/>
    <w:rsid w:val="47BCC290"/>
    <w:rsid w:val="47BDE1C9"/>
    <w:rsid w:val="47BF5588"/>
    <w:rsid w:val="47C57E93"/>
    <w:rsid w:val="47C5B40E"/>
    <w:rsid w:val="47C7107D"/>
    <w:rsid w:val="47C8EBD5"/>
    <w:rsid w:val="47CF5E6A"/>
    <w:rsid w:val="47D0C794"/>
    <w:rsid w:val="47D21E71"/>
    <w:rsid w:val="47D253D5"/>
    <w:rsid w:val="47D57D2C"/>
    <w:rsid w:val="47D9E891"/>
    <w:rsid w:val="47DC0F85"/>
    <w:rsid w:val="47DFB08E"/>
    <w:rsid w:val="47E0384F"/>
    <w:rsid w:val="47E5115E"/>
    <w:rsid w:val="47EB42E0"/>
    <w:rsid w:val="47EBA8FB"/>
    <w:rsid w:val="47EBB306"/>
    <w:rsid w:val="47EE396B"/>
    <w:rsid w:val="47F4E434"/>
    <w:rsid w:val="47F75F91"/>
    <w:rsid w:val="47F8824C"/>
    <w:rsid w:val="47FC158F"/>
    <w:rsid w:val="47FE2F29"/>
    <w:rsid w:val="47FEF5C4"/>
    <w:rsid w:val="48028F80"/>
    <w:rsid w:val="480D1F41"/>
    <w:rsid w:val="480D4158"/>
    <w:rsid w:val="48195D51"/>
    <w:rsid w:val="481BF9B4"/>
    <w:rsid w:val="4820493C"/>
    <w:rsid w:val="48229848"/>
    <w:rsid w:val="4823BBC2"/>
    <w:rsid w:val="482988E5"/>
    <w:rsid w:val="482B256E"/>
    <w:rsid w:val="482B3D69"/>
    <w:rsid w:val="482CDA33"/>
    <w:rsid w:val="482DBC40"/>
    <w:rsid w:val="482EE7EE"/>
    <w:rsid w:val="483C8BB8"/>
    <w:rsid w:val="483DF2B8"/>
    <w:rsid w:val="483EF365"/>
    <w:rsid w:val="4840DDAC"/>
    <w:rsid w:val="48420418"/>
    <w:rsid w:val="48479BB1"/>
    <w:rsid w:val="48490543"/>
    <w:rsid w:val="484CC72D"/>
    <w:rsid w:val="485215F5"/>
    <w:rsid w:val="4852A2B5"/>
    <w:rsid w:val="48535BFE"/>
    <w:rsid w:val="4853717B"/>
    <w:rsid w:val="4853FEE3"/>
    <w:rsid w:val="48570B2B"/>
    <w:rsid w:val="48597C96"/>
    <w:rsid w:val="485B080A"/>
    <w:rsid w:val="485D9B5F"/>
    <w:rsid w:val="485DC847"/>
    <w:rsid w:val="486142C6"/>
    <w:rsid w:val="4864D37C"/>
    <w:rsid w:val="486D1307"/>
    <w:rsid w:val="486FAF43"/>
    <w:rsid w:val="48736183"/>
    <w:rsid w:val="487C6957"/>
    <w:rsid w:val="487E01C7"/>
    <w:rsid w:val="48832637"/>
    <w:rsid w:val="4883D889"/>
    <w:rsid w:val="4887ED46"/>
    <w:rsid w:val="48895FD5"/>
    <w:rsid w:val="488A8D4F"/>
    <w:rsid w:val="488B174A"/>
    <w:rsid w:val="488DF055"/>
    <w:rsid w:val="4891CF18"/>
    <w:rsid w:val="4894D69C"/>
    <w:rsid w:val="48966A5D"/>
    <w:rsid w:val="489752D4"/>
    <w:rsid w:val="489AAF8D"/>
    <w:rsid w:val="489E286E"/>
    <w:rsid w:val="48A135B7"/>
    <w:rsid w:val="48A27204"/>
    <w:rsid w:val="48A7EE40"/>
    <w:rsid w:val="48A84122"/>
    <w:rsid w:val="48A85DEF"/>
    <w:rsid w:val="48ADDBB9"/>
    <w:rsid w:val="48B2F012"/>
    <w:rsid w:val="48B3FD7F"/>
    <w:rsid w:val="48B47191"/>
    <w:rsid w:val="48B67670"/>
    <w:rsid w:val="48B7A446"/>
    <w:rsid w:val="48BDE4C9"/>
    <w:rsid w:val="48C07BE7"/>
    <w:rsid w:val="48C3A6A0"/>
    <w:rsid w:val="48C3D5B1"/>
    <w:rsid w:val="48C4408E"/>
    <w:rsid w:val="48C5293E"/>
    <w:rsid w:val="48C7C9BD"/>
    <w:rsid w:val="48CBEDBB"/>
    <w:rsid w:val="48CC69DF"/>
    <w:rsid w:val="48CCB6F8"/>
    <w:rsid w:val="48D117A4"/>
    <w:rsid w:val="48D19EA5"/>
    <w:rsid w:val="48D1D7CD"/>
    <w:rsid w:val="48D3BDDD"/>
    <w:rsid w:val="48DA7E18"/>
    <w:rsid w:val="48DBAE8A"/>
    <w:rsid w:val="48DE2596"/>
    <w:rsid w:val="48DFAEC0"/>
    <w:rsid w:val="48E09218"/>
    <w:rsid w:val="48E457BB"/>
    <w:rsid w:val="48E83A1E"/>
    <w:rsid w:val="48F08A81"/>
    <w:rsid w:val="48F3832F"/>
    <w:rsid w:val="48F837B8"/>
    <w:rsid w:val="48FBAE1C"/>
    <w:rsid w:val="49022305"/>
    <w:rsid w:val="4904B74F"/>
    <w:rsid w:val="490D9051"/>
    <w:rsid w:val="490D98D4"/>
    <w:rsid w:val="4913EC85"/>
    <w:rsid w:val="49150969"/>
    <w:rsid w:val="49158E93"/>
    <w:rsid w:val="491640B8"/>
    <w:rsid w:val="491A027C"/>
    <w:rsid w:val="491C938D"/>
    <w:rsid w:val="491FD0AF"/>
    <w:rsid w:val="492184F0"/>
    <w:rsid w:val="49222F90"/>
    <w:rsid w:val="4924208B"/>
    <w:rsid w:val="49266D92"/>
    <w:rsid w:val="49281DDD"/>
    <w:rsid w:val="492BA9DD"/>
    <w:rsid w:val="493244A6"/>
    <w:rsid w:val="4932B70E"/>
    <w:rsid w:val="49351941"/>
    <w:rsid w:val="49359947"/>
    <w:rsid w:val="493711EF"/>
    <w:rsid w:val="493D2BB1"/>
    <w:rsid w:val="4942DBAE"/>
    <w:rsid w:val="49447C85"/>
    <w:rsid w:val="4945D5FD"/>
    <w:rsid w:val="49473E53"/>
    <w:rsid w:val="494B39FF"/>
    <w:rsid w:val="494E0C8B"/>
    <w:rsid w:val="495387EB"/>
    <w:rsid w:val="49554F0E"/>
    <w:rsid w:val="49575BBA"/>
    <w:rsid w:val="49580D88"/>
    <w:rsid w:val="495B1BAA"/>
    <w:rsid w:val="495CA0B1"/>
    <w:rsid w:val="495EF879"/>
    <w:rsid w:val="495F2312"/>
    <w:rsid w:val="4960D5DC"/>
    <w:rsid w:val="49639AA1"/>
    <w:rsid w:val="496B3C85"/>
    <w:rsid w:val="496BE3D1"/>
    <w:rsid w:val="496C0769"/>
    <w:rsid w:val="496E7DBD"/>
    <w:rsid w:val="49734916"/>
    <w:rsid w:val="4974D96B"/>
    <w:rsid w:val="497960AB"/>
    <w:rsid w:val="4980BDEF"/>
    <w:rsid w:val="498153E8"/>
    <w:rsid w:val="49829B0B"/>
    <w:rsid w:val="4983282E"/>
    <w:rsid w:val="4987C6C0"/>
    <w:rsid w:val="498E8628"/>
    <w:rsid w:val="498F198B"/>
    <w:rsid w:val="49943ED5"/>
    <w:rsid w:val="49958EA4"/>
    <w:rsid w:val="49991D86"/>
    <w:rsid w:val="499BCBD5"/>
    <w:rsid w:val="499C29BA"/>
    <w:rsid w:val="49A1E053"/>
    <w:rsid w:val="49A8ADB6"/>
    <w:rsid w:val="49A9633D"/>
    <w:rsid w:val="49AAECAF"/>
    <w:rsid w:val="49AE2345"/>
    <w:rsid w:val="49B2E90F"/>
    <w:rsid w:val="49B5E1D6"/>
    <w:rsid w:val="49B5EAD8"/>
    <w:rsid w:val="49B6AA14"/>
    <w:rsid w:val="49BCEFF1"/>
    <w:rsid w:val="49BF0EBA"/>
    <w:rsid w:val="49BF28ED"/>
    <w:rsid w:val="49C3A13F"/>
    <w:rsid w:val="49C4D131"/>
    <w:rsid w:val="49C766ED"/>
    <w:rsid w:val="49C98DB6"/>
    <w:rsid w:val="49D02D30"/>
    <w:rsid w:val="49D0CDB7"/>
    <w:rsid w:val="49D2D34E"/>
    <w:rsid w:val="49D304AC"/>
    <w:rsid w:val="49D99EF8"/>
    <w:rsid w:val="49E01375"/>
    <w:rsid w:val="49E0E930"/>
    <w:rsid w:val="49E3640A"/>
    <w:rsid w:val="49E63C1C"/>
    <w:rsid w:val="49E6A31E"/>
    <w:rsid w:val="49E9A545"/>
    <w:rsid w:val="49EAF253"/>
    <w:rsid w:val="49EC5ED5"/>
    <w:rsid w:val="49F21C30"/>
    <w:rsid w:val="49F47912"/>
    <w:rsid w:val="49F630F9"/>
    <w:rsid w:val="49F7C834"/>
    <w:rsid w:val="49F7F9C0"/>
    <w:rsid w:val="49F83DE3"/>
    <w:rsid w:val="49FE2AEE"/>
    <w:rsid w:val="49FF18CE"/>
    <w:rsid w:val="49FF1ED7"/>
    <w:rsid w:val="4A0163F0"/>
    <w:rsid w:val="4A020A3D"/>
    <w:rsid w:val="4A02C80A"/>
    <w:rsid w:val="4A03F501"/>
    <w:rsid w:val="4A04C452"/>
    <w:rsid w:val="4A0604A2"/>
    <w:rsid w:val="4A07043D"/>
    <w:rsid w:val="4A086C6A"/>
    <w:rsid w:val="4A09548A"/>
    <w:rsid w:val="4A0AEA31"/>
    <w:rsid w:val="4A0B84BD"/>
    <w:rsid w:val="4A10A038"/>
    <w:rsid w:val="4A1810DA"/>
    <w:rsid w:val="4A187631"/>
    <w:rsid w:val="4A1A3A4D"/>
    <w:rsid w:val="4A1C162F"/>
    <w:rsid w:val="4A1E0B46"/>
    <w:rsid w:val="4A214CC1"/>
    <w:rsid w:val="4A23F703"/>
    <w:rsid w:val="4A26289F"/>
    <w:rsid w:val="4A262C6C"/>
    <w:rsid w:val="4A27BDD1"/>
    <w:rsid w:val="4A2945C5"/>
    <w:rsid w:val="4A2FC290"/>
    <w:rsid w:val="4A30A414"/>
    <w:rsid w:val="4A30DF95"/>
    <w:rsid w:val="4A318A06"/>
    <w:rsid w:val="4A351DA8"/>
    <w:rsid w:val="4A358162"/>
    <w:rsid w:val="4A36AD86"/>
    <w:rsid w:val="4A37F09A"/>
    <w:rsid w:val="4A38CD5B"/>
    <w:rsid w:val="4A38EAE1"/>
    <w:rsid w:val="4A405765"/>
    <w:rsid w:val="4A454283"/>
    <w:rsid w:val="4A45EFAF"/>
    <w:rsid w:val="4A48B0AF"/>
    <w:rsid w:val="4A48F6D8"/>
    <w:rsid w:val="4A4E3E01"/>
    <w:rsid w:val="4A51EE6F"/>
    <w:rsid w:val="4A52DEE1"/>
    <w:rsid w:val="4A565A86"/>
    <w:rsid w:val="4A56E78E"/>
    <w:rsid w:val="4A5A2935"/>
    <w:rsid w:val="4A60F0CF"/>
    <w:rsid w:val="4A63BCF5"/>
    <w:rsid w:val="4A6400D8"/>
    <w:rsid w:val="4A6BC1F3"/>
    <w:rsid w:val="4A6CBEDE"/>
    <w:rsid w:val="4A706DC9"/>
    <w:rsid w:val="4A70AC39"/>
    <w:rsid w:val="4A72E3B5"/>
    <w:rsid w:val="4A7518C6"/>
    <w:rsid w:val="4A791DF0"/>
    <w:rsid w:val="4A7A45A8"/>
    <w:rsid w:val="4A7BDF82"/>
    <w:rsid w:val="4A7C37CA"/>
    <w:rsid w:val="4A80FC4E"/>
    <w:rsid w:val="4A86DE1F"/>
    <w:rsid w:val="4A876881"/>
    <w:rsid w:val="4A87C226"/>
    <w:rsid w:val="4A8982EF"/>
    <w:rsid w:val="4A8A3090"/>
    <w:rsid w:val="4A8AC75B"/>
    <w:rsid w:val="4A8B3CCA"/>
    <w:rsid w:val="4A8BF0EF"/>
    <w:rsid w:val="4A8C609D"/>
    <w:rsid w:val="4A8E1BC9"/>
    <w:rsid w:val="4A9027EB"/>
    <w:rsid w:val="4A9B9AD0"/>
    <w:rsid w:val="4A9BDB23"/>
    <w:rsid w:val="4A9C465B"/>
    <w:rsid w:val="4A9D1F85"/>
    <w:rsid w:val="4A9D68DA"/>
    <w:rsid w:val="4A9EA1B0"/>
    <w:rsid w:val="4A9F25AD"/>
    <w:rsid w:val="4AA21FAE"/>
    <w:rsid w:val="4AA741AC"/>
    <w:rsid w:val="4AB095D1"/>
    <w:rsid w:val="4AB8BCCC"/>
    <w:rsid w:val="4AB90FCA"/>
    <w:rsid w:val="4ABA429C"/>
    <w:rsid w:val="4ABBCCC0"/>
    <w:rsid w:val="4ABE7A16"/>
    <w:rsid w:val="4ABF61D6"/>
    <w:rsid w:val="4AC1F9C1"/>
    <w:rsid w:val="4AC52E52"/>
    <w:rsid w:val="4AC53729"/>
    <w:rsid w:val="4AC69265"/>
    <w:rsid w:val="4AC866E5"/>
    <w:rsid w:val="4ACAA572"/>
    <w:rsid w:val="4ACBF701"/>
    <w:rsid w:val="4ACD0284"/>
    <w:rsid w:val="4ACDBB39"/>
    <w:rsid w:val="4AD38D23"/>
    <w:rsid w:val="4AD3BB78"/>
    <w:rsid w:val="4AD67F23"/>
    <w:rsid w:val="4AD6AE54"/>
    <w:rsid w:val="4AD6F881"/>
    <w:rsid w:val="4AD8C42C"/>
    <w:rsid w:val="4AE038D7"/>
    <w:rsid w:val="4AE35C47"/>
    <w:rsid w:val="4AE8BB88"/>
    <w:rsid w:val="4AF266EA"/>
    <w:rsid w:val="4AF708C4"/>
    <w:rsid w:val="4AFB7DB3"/>
    <w:rsid w:val="4B03C808"/>
    <w:rsid w:val="4B03DA5A"/>
    <w:rsid w:val="4B0642F8"/>
    <w:rsid w:val="4B08A3A1"/>
    <w:rsid w:val="4B0AD626"/>
    <w:rsid w:val="4B0F711B"/>
    <w:rsid w:val="4B1003F8"/>
    <w:rsid w:val="4B10148F"/>
    <w:rsid w:val="4B10BCAE"/>
    <w:rsid w:val="4B13D4BF"/>
    <w:rsid w:val="4B14803C"/>
    <w:rsid w:val="4B14B5B5"/>
    <w:rsid w:val="4B16E23E"/>
    <w:rsid w:val="4B1EF002"/>
    <w:rsid w:val="4B248802"/>
    <w:rsid w:val="4B2883B2"/>
    <w:rsid w:val="4B29EA8F"/>
    <w:rsid w:val="4B2D6BCF"/>
    <w:rsid w:val="4B2FDE74"/>
    <w:rsid w:val="4B30176F"/>
    <w:rsid w:val="4B31A6FC"/>
    <w:rsid w:val="4B32ABD3"/>
    <w:rsid w:val="4B359BF2"/>
    <w:rsid w:val="4B3745D1"/>
    <w:rsid w:val="4B3ADEAE"/>
    <w:rsid w:val="4B3B85C4"/>
    <w:rsid w:val="4B3F2B26"/>
    <w:rsid w:val="4B44DBC3"/>
    <w:rsid w:val="4B45A580"/>
    <w:rsid w:val="4B4743F1"/>
    <w:rsid w:val="4B4A7C3E"/>
    <w:rsid w:val="4B4B2BEB"/>
    <w:rsid w:val="4B4E2107"/>
    <w:rsid w:val="4B4F86B6"/>
    <w:rsid w:val="4B53AA87"/>
    <w:rsid w:val="4B551C56"/>
    <w:rsid w:val="4B55C02F"/>
    <w:rsid w:val="4B5EE9A3"/>
    <w:rsid w:val="4B61EE65"/>
    <w:rsid w:val="4B65327B"/>
    <w:rsid w:val="4B69B240"/>
    <w:rsid w:val="4B6B3500"/>
    <w:rsid w:val="4B707B6F"/>
    <w:rsid w:val="4B83618F"/>
    <w:rsid w:val="4B8786AE"/>
    <w:rsid w:val="4B8A92E0"/>
    <w:rsid w:val="4B8B04FE"/>
    <w:rsid w:val="4B8BC7DA"/>
    <w:rsid w:val="4B8E934F"/>
    <w:rsid w:val="4B8FD443"/>
    <w:rsid w:val="4B96D754"/>
    <w:rsid w:val="4B97B2DC"/>
    <w:rsid w:val="4B990BEA"/>
    <w:rsid w:val="4B9CDFB3"/>
    <w:rsid w:val="4BA2C789"/>
    <w:rsid w:val="4BA48219"/>
    <w:rsid w:val="4BA66AEF"/>
    <w:rsid w:val="4BAAFE01"/>
    <w:rsid w:val="4BABA998"/>
    <w:rsid w:val="4BADEC8B"/>
    <w:rsid w:val="4BB3D730"/>
    <w:rsid w:val="4BB4EC8B"/>
    <w:rsid w:val="4BB7E0CD"/>
    <w:rsid w:val="4BBB3CC5"/>
    <w:rsid w:val="4BBC4517"/>
    <w:rsid w:val="4BC15307"/>
    <w:rsid w:val="4BC28975"/>
    <w:rsid w:val="4BC29044"/>
    <w:rsid w:val="4BC59E0F"/>
    <w:rsid w:val="4BD1C32B"/>
    <w:rsid w:val="4BD72829"/>
    <w:rsid w:val="4BDCB916"/>
    <w:rsid w:val="4BDE14FB"/>
    <w:rsid w:val="4BDF2FC9"/>
    <w:rsid w:val="4BE329DC"/>
    <w:rsid w:val="4BE61475"/>
    <w:rsid w:val="4BF30E84"/>
    <w:rsid w:val="4BF4CEE3"/>
    <w:rsid w:val="4BF51C64"/>
    <w:rsid w:val="4BF5C623"/>
    <w:rsid w:val="4BFA5B9C"/>
    <w:rsid w:val="4BFA81BF"/>
    <w:rsid w:val="4BFE439E"/>
    <w:rsid w:val="4C003098"/>
    <w:rsid w:val="4C0BB730"/>
    <w:rsid w:val="4C11F971"/>
    <w:rsid w:val="4C1202B1"/>
    <w:rsid w:val="4C1AE0BB"/>
    <w:rsid w:val="4C1B7FFF"/>
    <w:rsid w:val="4C1EA8C9"/>
    <w:rsid w:val="4C260CED"/>
    <w:rsid w:val="4C272D22"/>
    <w:rsid w:val="4C2C5B48"/>
    <w:rsid w:val="4C2C74B6"/>
    <w:rsid w:val="4C2E7581"/>
    <w:rsid w:val="4C359E5E"/>
    <w:rsid w:val="4C36DB97"/>
    <w:rsid w:val="4C37DD67"/>
    <w:rsid w:val="4C39CB5A"/>
    <w:rsid w:val="4C4A6301"/>
    <w:rsid w:val="4C4CE83C"/>
    <w:rsid w:val="4C4FBA18"/>
    <w:rsid w:val="4C52F806"/>
    <w:rsid w:val="4C54B510"/>
    <w:rsid w:val="4C5A955C"/>
    <w:rsid w:val="4C5D3C91"/>
    <w:rsid w:val="4C5F1C2E"/>
    <w:rsid w:val="4C61C4C2"/>
    <w:rsid w:val="4C678EAD"/>
    <w:rsid w:val="4C67BE0E"/>
    <w:rsid w:val="4C6C6C04"/>
    <w:rsid w:val="4C6CC1E2"/>
    <w:rsid w:val="4C6E4111"/>
    <w:rsid w:val="4C729951"/>
    <w:rsid w:val="4C73E54A"/>
    <w:rsid w:val="4C7A2659"/>
    <w:rsid w:val="4C7A98C9"/>
    <w:rsid w:val="4C7D43A3"/>
    <w:rsid w:val="4C7DA4DE"/>
    <w:rsid w:val="4C7EDCE2"/>
    <w:rsid w:val="4C805965"/>
    <w:rsid w:val="4C848EB1"/>
    <w:rsid w:val="4C855395"/>
    <w:rsid w:val="4C86897A"/>
    <w:rsid w:val="4C8B03D1"/>
    <w:rsid w:val="4C8C6C7D"/>
    <w:rsid w:val="4C91251A"/>
    <w:rsid w:val="4C946A19"/>
    <w:rsid w:val="4C9B15D2"/>
    <w:rsid w:val="4C9B26C9"/>
    <w:rsid w:val="4C9DB91A"/>
    <w:rsid w:val="4C9E225C"/>
    <w:rsid w:val="4CA24B13"/>
    <w:rsid w:val="4CA92C5A"/>
    <w:rsid w:val="4CACE0E5"/>
    <w:rsid w:val="4CAEDAA1"/>
    <w:rsid w:val="4CB97071"/>
    <w:rsid w:val="4CBA3CEF"/>
    <w:rsid w:val="4CC070B7"/>
    <w:rsid w:val="4CC177FE"/>
    <w:rsid w:val="4CC900F1"/>
    <w:rsid w:val="4CD3154D"/>
    <w:rsid w:val="4CD48BB9"/>
    <w:rsid w:val="4CD8BBBC"/>
    <w:rsid w:val="4CD9DD41"/>
    <w:rsid w:val="4CDB1BB5"/>
    <w:rsid w:val="4CDCF92D"/>
    <w:rsid w:val="4CDDD999"/>
    <w:rsid w:val="4CE271D7"/>
    <w:rsid w:val="4CE3854C"/>
    <w:rsid w:val="4CE71287"/>
    <w:rsid w:val="4CE804F9"/>
    <w:rsid w:val="4CEE44FD"/>
    <w:rsid w:val="4CF39A91"/>
    <w:rsid w:val="4CF50390"/>
    <w:rsid w:val="4CF553E9"/>
    <w:rsid w:val="4CF807A4"/>
    <w:rsid w:val="4CF91EF9"/>
    <w:rsid w:val="4CFDC25B"/>
    <w:rsid w:val="4D00BD68"/>
    <w:rsid w:val="4D00ECCE"/>
    <w:rsid w:val="4D03F451"/>
    <w:rsid w:val="4D047C66"/>
    <w:rsid w:val="4D06F8EB"/>
    <w:rsid w:val="4D09AF02"/>
    <w:rsid w:val="4D0C1DC8"/>
    <w:rsid w:val="4D106691"/>
    <w:rsid w:val="4D11A807"/>
    <w:rsid w:val="4D11B094"/>
    <w:rsid w:val="4D11FEB2"/>
    <w:rsid w:val="4D140DE6"/>
    <w:rsid w:val="4D15AE20"/>
    <w:rsid w:val="4D180A6C"/>
    <w:rsid w:val="4D1BCEFB"/>
    <w:rsid w:val="4D20C274"/>
    <w:rsid w:val="4D228E34"/>
    <w:rsid w:val="4D264665"/>
    <w:rsid w:val="4D2DCE14"/>
    <w:rsid w:val="4D2EABC5"/>
    <w:rsid w:val="4D31AAED"/>
    <w:rsid w:val="4D33AFEC"/>
    <w:rsid w:val="4D36887B"/>
    <w:rsid w:val="4D3866C9"/>
    <w:rsid w:val="4D396661"/>
    <w:rsid w:val="4D41F4CF"/>
    <w:rsid w:val="4D431300"/>
    <w:rsid w:val="4D45DD84"/>
    <w:rsid w:val="4D487EE1"/>
    <w:rsid w:val="4D49A456"/>
    <w:rsid w:val="4D4B2A11"/>
    <w:rsid w:val="4D4BA320"/>
    <w:rsid w:val="4D4D4C5D"/>
    <w:rsid w:val="4D50484D"/>
    <w:rsid w:val="4D5066E4"/>
    <w:rsid w:val="4D50B15E"/>
    <w:rsid w:val="4D538A0F"/>
    <w:rsid w:val="4D538DA5"/>
    <w:rsid w:val="4D54798B"/>
    <w:rsid w:val="4D54EDEF"/>
    <w:rsid w:val="4D58A1C3"/>
    <w:rsid w:val="4D596A15"/>
    <w:rsid w:val="4D5CDE61"/>
    <w:rsid w:val="4D5E08DF"/>
    <w:rsid w:val="4D60821A"/>
    <w:rsid w:val="4D615E0B"/>
    <w:rsid w:val="4D644D7D"/>
    <w:rsid w:val="4D646F2F"/>
    <w:rsid w:val="4D654D34"/>
    <w:rsid w:val="4D66E467"/>
    <w:rsid w:val="4D6B6F0B"/>
    <w:rsid w:val="4D6FCFD0"/>
    <w:rsid w:val="4D71342E"/>
    <w:rsid w:val="4D76D9B9"/>
    <w:rsid w:val="4D771896"/>
    <w:rsid w:val="4D77441D"/>
    <w:rsid w:val="4D779FBE"/>
    <w:rsid w:val="4D77A95D"/>
    <w:rsid w:val="4D79E75B"/>
    <w:rsid w:val="4D7C051E"/>
    <w:rsid w:val="4D7F2FC2"/>
    <w:rsid w:val="4D8252DE"/>
    <w:rsid w:val="4D86D1DB"/>
    <w:rsid w:val="4D894F2D"/>
    <w:rsid w:val="4D897AC1"/>
    <w:rsid w:val="4D898814"/>
    <w:rsid w:val="4D8C0B90"/>
    <w:rsid w:val="4D90BD2E"/>
    <w:rsid w:val="4D987126"/>
    <w:rsid w:val="4D9AB38F"/>
    <w:rsid w:val="4D9C26F2"/>
    <w:rsid w:val="4D9D3D33"/>
    <w:rsid w:val="4DA165D4"/>
    <w:rsid w:val="4DAC8476"/>
    <w:rsid w:val="4DB2E19D"/>
    <w:rsid w:val="4DB42611"/>
    <w:rsid w:val="4DB82DCC"/>
    <w:rsid w:val="4DBA26CA"/>
    <w:rsid w:val="4DC290CF"/>
    <w:rsid w:val="4DC74662"/>
    <w:rsid w:val="4DCEBD60"/>
    <w:rsid w:val="4DD240E5"/>
    <w:rsid w:val="4DDA0CF0"/>
    <w:rsid w:val="4DDF9BF8"/>
    <w:rsid w:val="4DE565A1"/>
    <w:rsid w:val="4DE61476"/>
    <w:rsid w:val="4DEAC22A"/>
    <w:rsid w:val="4DECAF4A"/>
    <w:rsid w:val="4DED8643"/>
    <w:rsid w:val="4DF157DF"/>
    <w:rsid w:val="4DF38895"/>
    <w:rsid w:val="4DF4F158"/>
    <w:rsid w:val="4DF52277"/>
    <w:rsid w:val="4DFA6A85"/>
    <w:rsid w:val="4DFBD98A"/>
    <w:rsid w:val="4DFBECDB"/>
    <w:rsid w:val="4DFCF17D"/>
    <w:rsid w:val="4DFE8067"/>
    <w:rsid w:val="4E0164E5"/>
    <w:rsid w:val="4E08CB66"/>
    <w:rsid w:val="4E0A90C2"/>
    <w:rsid w:val="4E0BA9B4"/>
    <w:rsid w:val="4E105223"/>
    <w:rsid w:val="4E1193B5"/>
    <w:rsid w:val="4E16D8B2"/>
    <w:rsid w:val="4E1DBA8B"/>
    <w:rsid w:val="4E1EF3BC"/>
    <w:rsid w:val="4E1F17D2"/>
    <w:rsid w:val="4E271112"/>
    <w:rsid w:val="4E271783"/>
    <w:rsid w:val="4E27D507"/>
    <w:rsid w:val="4E2DFC4F"/>
    <w:rsid w:val="4E323441"/>
    <w:rsid w:val="4E366F28"/>
    <w:rsid w:val="4E38C1B2"/>
    <w:rsid w:val="4E3C1F3A"/>
    <w:rsid w:val="4E3F61E2"/>
    <w:rsid w:val="4E4297BD"/>
    <w:rsid w:val="4E446FE1"/>
    <w:rsid w:val="4E4A4B5A"/>
    <w:rsid w:val="4E4E76FE"/>
    <w:rsid w:val="4E53AF60"/>
    <w:rsid w:val="4E5FB1E5"/>
    <w:rsid w:val="4E6006BD"/>
    <w:rsid w:val="4E678FF0"/>
    <w:rsid w:val="4E692683"/>
    <w:rsid w:val="4E6CD838"/>
    <w:rsid w:val="4E6DBFEE"/>
    <w:rsid w:val="4E707734"/>
    <w:rsid w:val="4E708021"/>
    <w:rsid w:val="4E714837"/>
    <w:rsid w:val="4E717EA8"/>
    <w:rsid w:val="4E73D74B"/>
    <w:rsid w:val="4E7788A1"/>
    <w:rsid w:val="4E789CAA"/>
    <w:rsid w:val="4E7CCF7B"/>
    <w:rsid w:val="4E7F374A"/>
    <w:rsid w:val="4E7F4C8B"/>
    <w:rsid w:val="4E7F4E7F"/>
    <w:rsid w:val="4E8117E7"/>
    <w:rsid w:val="4E819AC6"/>
    <w:rsid w:val="4E834A5D"/>
    <w:rsid w:val="4E862141"/>
    <w:rsid w:val="4E873F7E"/>
    <w:rsid w:val="4E87ED2A"/>
    <w:rsid w:val="4E87F95D"/>
    <w:rsid w:val="4E88AF44"/>
    <w:rsid w:val="4E9A105A"/>
    <w:rsid w:val="4EA60E9F"/>
    <w:rsid w:val="4EA7EC19"/>
    <w:rsid w:val="4EABBA2E"/>
    <w:rsid w:val="4EAC9EB7"/>
    <w:rsid w:val="4EB0F5E6"/>
    <w:rsid w:val="4EB55A00"/>
    <w:rsid w:val="4EB81D55"/>
    <w:rsid w:val="4EB8C3C1"/>
    <w:rsid w:val="4EBAA0D3"/>
    <w:rsid w:val="4EBCD1A1"/>
    <w:rsid w:val="4EBD22C8"/>
    <w:rsid w:val="4EC09ACD"/>
    <w:rsid w:val="4EC77E7D"/>
    <w:rsid w:val="4ECA5A86"/>
    <w:rsid w:val="4ECA7446"/>
    <w:rsid w:val="4ECFA3C3"/>
    <w:rsid w:val="4ED2026E"/>
    <w:rsid w:val="4EDDDB27"/>
    <w:rsid w:val="4EDDDFE3"/>
    <w:rsid w:val="4EE03859"/>
    <w:rsid w:val="4EE6CB87"/>
    <w:rsid w:val="4EE82D04"/>
    <w:rsid w:val="4EEE24C4"/>
    <w:rsid w:val="4EF0178B"/>
    <w:rsid w:val="4EF01A9B"/>
    <w:rsid w:val="4EF9B58B"/>
    <w:rsid w:val="4EFA8609"/>
    <w:rsid w:val="4EFB93E7"/>
    <w:rsid w:val="4EFF0203"/>
    <w:rsid w:val="4F016B4C"/>
    <w:rsid w:val="4F036663"/>
    <w:rsid w:val="4F05D574"/>
    <w:rsid w:val="4F05E1C9"/>
    <w:rsid w:val="4F065DAD"/>
    <w:rsid w:val="4F08D6BA"/>
    <w:rsid w:val="4F10805A"/>
    <w:rsid w:val="4F117A29"/>
    <w:rsid w:val="4F1191C1"/>
    <w:rsid w:val="4F12AB6D"/>
    <w:rsid w:val="4F189BFD"/>
    <w:rsid w:val="4F1C07D7"/>
    <w:rsid w:val="4F1D9FE7"/>
    <w:rsid w:val="4F2248DD"/>
    <w:rsid w:val="4F295871"/>
    <w:rsid w:val="4F2B5B68"/>
    <w:rsid w:val="4F2C9582"/>
    <w:rsid w:val="4F2E1457"/>
    <w:rsid w:val="4F3275A1"/>
    <w:rsid w:val="4F376CD7"/>
    <w:rsid w:val="4F384D5E"/>
    <w:rsid w:val="4F387675"/>
    <w:rsid w:val="4F3B9ED9"/>
    <w:rsid w:val="4F3D2181"/>
    <w:rsid w:val="4F41DA9A"/>
    <w:rsid w:val="4F45768B"/>
    <w:rsid w:val="4F4FE646"/>
    <w:rsid w:val="4F511C2E"/>
    <w:rsid w:val="4F52CFCF"/>
    <w:rsid w:val="4F53174E"/>
    <w:rsid w:val="4F54B078"/>
    <w:rsid w:val="4F553E08"/>
    <w:rsid w:val="4F590F5D"/>
    <w:rsid w:val="4F5F0A6E"/>
    <w:rsid w:val="4F6230D5"/>
    <w:rsid w:val="4F65B0F9"/>
    <w:rsid w:val="4F69F31B"/>
    <w:rsid w:val="4F6E5A95"/>
    <w:rsid w:val="4F767172"/>
    <w:rsid w:val="4F7754AB"/>
    <w:rsid w:val="4F7773BB"/>
    <w:rsid w:val="4F824CE1"/>
    <w:rsid w:val="4F82BBC8"/>
    <w:rsid w:val="4F842770"/>
    <w:rsid w:val="4F87E0D4"/>
    <w:rsid w:val="4F87EFFD"/>
    <w:rsid w:val="4F8E2545"/>
    <w:rsid w:val="4F9001D6"/>
    <w:rsid w:val="4F94BB37"/>
    <w:rsid w:val="4F966C58"/>
    <w:rsid w:val="4F98DF5B"/>
    <w:rsid w:val="4F9AA80B"/>
    <w:rsid w:val="4F9DA006"/>
    <w:rsid w:val="4FA05A20"/>
    <w:rsid w:val="4FA1C5F7"/>
    <w:rsid w:val="4FA4B815"/>
    <w:rsid w:val="4FB4C210"/>
    <w:rsid w:val="4FB53FF6"/>
    <w:rsid w:val="4FB7BB4C"/>
    <w:rsid w:val="4FBA7EE1"/>
    <w:rsid w:val="4FBEC3BB"/>
    <w:rsid w:val="4FBFA1C0"/>
    <w:rsid w:val="4FC48F02"/>
    <w:rsid w:val="4FC87A99"/>
    <w:rsid w:val="4FCF5D37"/>
    <w:rsid w:val="4FD06F8F"/>
    <w:rsid w:val="4FD222F2"/>
    <w:rsid w:val="4FDCFE16"/>
    <w:rsid w:val="4FDE302F"/>
    <w:rsid w:val="4FE1DAE7"/>
    <w:rsid w:val="4FE34EBE"/>
    <w:rsid w:val="4FE41C00"/>
    <w:rsid w:val="4FE632E2"/>
    <w:rsid w:val="4FE64FC4"/>
    <w:rsid w:val="4FE90DBF"/>
    <w:rsid w:val="4FE9CA29"/>
    <w:rsid w:val="4FECCE0B"/>
    <w:rsid w:val="4FEDA579"/>
    <w:rsid w:val="4FEDEF11"/>
    <w:rsid w:val="4FEFAA14"/>
    <w:rsid w:val="4FF02081"/>
    <w:rsid w:val="4FF07CE7"/>
    <w:rsid w:val="4FF28F91"/>
    <w:rsid w:val="4FF5DDEB"/>
    <w:rsid w:val="4FFB8516"/>
    <w:rsid w:val="4FFD4D8A"/>
    <w:rsid w:val="4FFE0206"/>
    <w:rsid w:val="4FFE440D"/>
    <w:rsid w:val="500294F5"/>
    <w:rsid w:val="50097A17"/>
    <w:rsid w:val="500C96FE"/>
    <w:rsid w:val="50118A79"/>
    <w:rsid w:val="5014126A"/>
    <w:rsid w:val="50191FCA"/>
    <w:rsid w:val="5019CFB9"/>
    <w:rsid w:val="50204EB9"/>
    <w:rsid w:val="50222B96"/>
    <w:rsid w:val="50265F19"/>
    <w:rsid w:val="50298641"/>
    <w:rsid w:val="502E3704"/>
    <w:rsid w:val="502FBEAF"/>
    <w:rsid w:val="50301E13"/>
    <w:rsid w:val="50312C4C"/>
    <w:rsid w:val="503582F0"/>
    <w:rsid w:val="5037C836"/>
    <w:rsid w:val="50380073"/>
    <w:rsid w:val="503ED8DB"/>
    <w:rsid w:val="503F7A8F"/>
    <w:rsid w:val="50424261"/>
    <w:rsid w:val="5043610F"/>
    <w:rsid w:val="5043E3A5"/>
    <w:rsid w:val="50472BE5"/>
    <w:rsid w:val="504E288D"/>
    <w:rsid w:val="50500F3E"/>
    <w:rsid w:val="505800D9"/>
    <w:rsid w:val="505A37F4"/>
    <w:rsid w:val="505AC173"/>
    <w:rsid w:val="505F9FCD"/>
    <w:rsid w:val="50630BAD"/>
    <w:rsid w:val="5067DD79"/>
    <w:rsid w:val="50684B20"/>
    <w:rsid w:val="506DC135"/>
    <w:rsid w:val="506E1323"/>
    <w:rsid w:val="506F4D47"/>
    <w:rsid w:val="5071B287"/>
    <w:rsid w:val="507DC501"/>
    <w:rsid w:val="508524D5"/>
    <w:rsid w:val="50873604"/>
    <w:rsid w:val="50880CA1"/>
    <w:rsid w:val="5089AD34"/>
    <w:rsid w:val="508C30B7"/>
    <w:rsid w:val="508C9B50"/>
    <w:rsid w:val="508CB61D"/>
    <w:rsid w:val="508CE24A"/>
    <w:rsid w:val="508D73CD"/>
    <w:rsid w:val="5091B01B"/>
    <w:rsid w:val="509579E6"/>
    <w:rsid w:val="5098F9FE"/>
    <w:rsid w:val="50A64B91"/>
    <w:rsid w:val="50A77857"/>
    <w:rsid w:val="50A8E24E"/>
    <w:rsid w:val="50A91298"/>
    <w:rsid w:val="50AD15C4"/>
    <w:rsid w:val="50AD71A5"/>
    <w:rsid w:val="50ADB5A7"/>
    <w:rsid w:val="50AEE11A"/>
    <w:rsid w:val="50B0CCFB"/>
    <w:rsid w:val="50B230FE"/>
    <w:rsid w:val="50B2CDEC"/>
    <w:rsid w:val="50B46359"/>
    <w:rsid w:val="50B53016"/>
    <w:rsid w:val="50B5689B"/>
    <w:rsid w:val="50B71B11"/>
    <w:rsid w:val="50B7C887"/>
    <w:rsid w:val="50B87B65"/>
    <w:rsid w:val="50B8895D"/>
    <w:rsid w:val="50C0B7FB"/>
    <w:rsid w:val="50C1170E"/>
    <w:rsid w:val="50C13235"/>
    <w:rsid w:val="50C435F4"/>
    <w:rsid w:val="50C7831C"/>
    <w:rsid w:val="50C96B7F"/>
    <w:rsid w:val="50CAC13E"/>
    <w:rsid w:val="50CBB583"/>
    <w:rsid w:val="50D2D82D"/>
    <w:rsid w:val="50D347E2"/>
    <w:rsid w:val="50DFDD18"/>
    <w:rsid w:val="50E25E0F"/>
    <w:rsid w:val="50E9E11B"/>
    <w:rsid w:val="50EE33B8"/>
    <w:rsid w:val="50F085D5"/>
    <w:rsid w:val="50F61E6A"/>
    <w:rsid w:val="50F9081D"/>
    <w:rsid w:val="51016E22"/>
    <w:rsid w:val="51060E35"/>
    <w:rsid w:val="51074B71"/>
    <w:rsid w:val="5107F540"/>
    <w:rsid w:val="5116FB20"/>
    <w:rsid w:val="511B530B"/>
    <w:rsid w:val="511B6B43"/>
    <w:rsid w:val="511D834C"/>
    <w:rsid w:val="511F4FAB"/>
    <w:rsid w:val="51208AF6"/>
    <w:rsid w:val="51248404"/>
    <w:rsid w:val="51261D07"/>
    <w:rsid w:val="51268A0B"/>
    <w:rsid w:val="512DBB14"/>
    <w:rsid w:val="512F440E"/>
    <w:rsid w:val="513547B2"/>
    <w:rsid w:val="5135976F"/>
    <w:rsid w:val="51396E89"/>
    <w:rsid w:val="513E1535"/>
    <w:rsid w:val="513FC1AE"/>
    <w:rsid w:val="51468F74"/>
    <w:rsid w:val="514C21F4"/>
    <w:rsid w:val="514C7953"/>
    <w:rsid w:val="51537F3D"/>
    <w:rsid w:val="5157D0F9"/>
    <w:rsid w:val="515B2327"/>
    <w:rsid w:val="5161F1E6"/>
    <w:rsid w:val="5162861C"/>
    <w:rsid w:val="5162BEE3"/>
    <w:rsid w:val="51666FFD"/>
    <w:rsid w:val="51690388"/>
    <w:rsid w:val="516A30FC"/>
    <w:rsid w:val="516BBF94"/>
    <w:rsid w:val="516C6272"/>
    <w:rsid w:val="516E54B0"/>
    <w:rsid w:val="516EC411"/>
    <w:rsid w:val="5177C405"/>
    <w:rsid w:val="5177CB91"/>
    <w:rsid w:val="5178DA1C"/>
    <w:rsid w:val="51799D5E"/>
    <w:rsid w:val="517A1698"/>
    <w:rsid w:val="517F8EA0"/>
    <w:rsid w:val="517F9B5A"/>
    <w:rsid w:val="5180653B"/>
    <w:rsid w:val="5185683B"/>
    <w:rsid w:val="5186C6D0"/>
    <w:rsid w:val="5186E1D3"/>
    <w:rsid w:val="518894DF"/>
    <w:rsid w:val="518C57E5"/>
    <w:rsid w:val="518CCB7D"/>
    <w:rsid w:val="518E817D"/>
    <w:rsid w:val="518FA174"/>
    <w:rsid w:val="519063B3"/>
    <w:rsid w:val="51956184"/>
    <w:rsid w:val="519706F7"/>
    <w:rsid w:val="51999952"/>
    <w:rsid w:val="519A17B6"/>
    <w:rsid w:val="519AF71D"/>
    <w:rsid w:val="519B3797"/>
    <w:rsid w:val="51A04070"/>
    <w:rsid w:val="51A14ECB"/>
    <w:rsid w:val="51ACB7A1"/>
    <w:rsid w:val="51AFF529"/>
    <w:rsid w:val="51BA5EA1"/>
    <w:rsid w:val="51BCF220"/>
    <w:rsid w:val="51BD56CF"/>
    <w:rsid w:val="51BE8C3F"/>
    <w:rsid w:val="51C28351"/>
    <w:rsid w:val="51C443B5"/>
    <w:rsid w:val="51C715B3"/>
    <w:rsid w:val="51CB7F59"/>
    <w:rsid w:val="51CC07F7"/>
    <w:rsid w:val="51CC44D2"/>
    <w:rsid w:val="51CD1EF0"/>
    <w:rsid w:val="51CE75BA"/>
    <w:rsid w:val="51D039BA"/>
    <w:rsid w:val="51D103CE"/>
    <w:rsid w:val="51D40C45"/>
    <w:rsid w:val="51D529BB"/>
    <w:rsid w:val="51D83719"/>
    <w:rsid w:val="51D89B32"/>
    <w:rsid w:val="51DF0475"/>
    <w:rsid w:val="51DFA1D2"/>
    <w:rsid w:val="51E23004"/>
    <w:rsid w:val="51E7D5F9"/>
    <w:rsid w:val="51E9B7C7"/>
    <w:rsid w:val="51EFF7F7"/>
    <w:rsid w:val="51F45D12"/>
    <w:rsid w:val="51F49C5E"/>
    <w:rsid w:val="51FCB630"/>
    <w:rsid w:val="51FE3BD3"/>
    <w:rsid w:val="51FF554A"/>
    <w:rsid w:val="52096705"/>
    <w:rsid w:val="520AF4DE"/>
    <w:rsid w:val="520C7A64"/>
    <w:rsid w:val="520DF95C"/>
    <w:rsid w:val="521095AC"/>
    <w:rsid w:val="5213E1A3"/>
    <w:rsid w:val="521554EF"/>
    <w:rsid w:val="522404C9"/>
    <w:rsid w:val="5224EDF1"/>
    <w:rsid w:val="52260A18"/>
    <w:rsid w:val="5226B4FA"/>
    <w:rsid w:val="5226CB2D"/>
    <w:rsid w:val="522792C6"/>
    <w:rsid w:val="5230D162"/>
    <w:rsid w:val="5234854B"/>
    <w:rsid w:val="52374423"/>
    <w:rsid w:val="523D9E70"/>
    <w:rsid w:val="5246BCFB"/>
    <w:rsid w:val="524BB575"/>
    <w:rsid w:val="524ECA9D"/>
    <w:rsid w:val="5250CD56"/>
    <w:rsid w:val="52527D17"/>
    <w:rsid w:val="52530A9C"/>
    <w:rsid w:val="5267D875"/>
    <w:rsid w:val="52695C32"/>
    <w:rsid w:val="526A27CF"/>
    <w:rsid w:val="5272A7E5"/>
    <w:rsid w:val="527636CD"/>
    <w:rsid w:val="527D5A3C"/>
    <w:rsid w:val="527DF630"/>
    <w:rsid w:val="52800605"/>
    <w:rsid w:val="5280E199"/>
    <w:rsid w:val="528584B2"/>
    <w:rsid w:val="5286FEB3"/>
    <w:rsid w:val="528F4619"/>
    <w:rsid w:val="529110FC"/>
    <w:rsid w:val="52919FAD"/>
    <w:rsid w:val="52936BA4"/>
    <w:rsid w:val="52948498"/>
    <w:rsid w:val="5297A759"/>
    <w:rsid w:val="529940BA"/>
    <w:rsid w:val="52994FE1"/>
    <w:rsid w:val="529DE7F5"/>
    <w:rsid w:val="52A61A74"/>
    <w:rsid w:val="52A6C2C2"/>
    <w:rsid w:val="52A9F5D9"/>
    <w:rsid w:val="52AB2639"/>
    <w:rsid w:val="52ABB946"/>
    <w:rsid w:val="52ABCEAB"/>
    <w:rsid w:val="52ACF164"/>
    <w:rsid w:val="52ADD699"/>
    <w:rsid w:val="52B2D3BA"/>
    <w:rsid w:val="52B4C91A"/>
    <w:rsid w:val="52B4DCF5"/>
    <w:rsid w:val="52B54428"/>
    <w:rsid w:val="52B79156"/>
    <w:rsid w:val="52B9B0C9"/>
    <w:rsid w:val="52BB384F"/>
    <w:rsid w:val="52BE6D50"/>
    <w:rsid w:val="52BFE2D6"/>
    <w:rsid w:val="52C3712E"/>
    <w:rsid w:val="52C65FA0"/>
    <w:rsid w:val="52C7ED33"/>
    <w:rsid w:val="52D35313"/>
    <w:rsid w:val="52D43A0C"/>
    <w:rsid w:val="52DBCC58"/>
    <w:rsid w:val="52DF1878"/>
    <w:rsid w:val="52E1D137"/>
    <w:rsid w:val="52E526AE"/>
    <w:rsid w:val="52E6E6C4"/>
    <w:rsid w:val="52E74949"/>
    <w:rsid w:val="52ECCADB"/>
    <w:rsid w:val="52EFAF93"/>
    <w:rsid w:val="52F41702"/>
    <w:rsid w:val="52F964DE"/>
    <w:rsid w:val="53006A30"/>
    <w:rsid w:val="5301665C"/>
    <w:rsid w:val="530F1E8C"/>
    <w:rsid w:val="530F2FFC"/>
    <w:rsid w:val="5312D826"/>
    <w:rsid w:val="53177E45"/>
    <w:rsid w:val="531CE2D9"/>
    <w:rsid w:val="532661E5"/>
    <w:rsid w:val="5329B599"/>
    <w:rsid w:val="532B4E48"/>
    <w:rsid w:val="5339B66B"/>
    <w:rsid w:val="533AA0F5"/>
    <w:rsid w:val="533C40E0"/>
    <w:rsid w:val="533E5C66"/>
    <w:rsid w:val="533F2303"/>
    <w:rsid w:val="534265EA"/>
    <w:rsid w:val="53477C84"/>
    <w:rsid w:val="53488559"/>
    <w:rsid w:val="53530EEA"/>
    <w:rsid w:val="53546D4A"/>
    <w:rsid w:val="53566E99"/>
    <w:rsid w:val="5356B376"/>
    <w:rsid w:val="53582F26"/>
    <w:rsid w:val="535B1A2F"/>
    <w:rsid w:val="535E885A"/>
    <w:rsid w:val="5361825C"/>
    <w:rsid w:val="5362DFFC"/>
    <w:rsid w:val="5362F62F"/>
    <w:rsid w:val="53661822"/>
    <w:rsid w:val="5366ACD9"/>
    <w:rsid w:val="536859AC"/>
    <w:rsid w:val="536BDB52"/>
    <w:rsid w:val="536FE6CC"/>
    <w:rsid w:val="53755774"/>
    <w:rsid w:val="5376ACE4"/>
    <w:rsid w:val="5378E64B"/>
    <w:rsid w:val="537A2884"/>
    <w:rsid w:val="537A9DBA"/>
    <w:rsid w:val="537B56A5"/>
    <w:rsid w:val="537E32D7"/>
    <w:rsid w:val="537FEFAF"/>
    <w:rsid w:val="538108B9"/>
    <w:rsid w:val="5383A34D"/>
    <w:rsid w:val="5383DFC1"/>
    <w:rsid w:val="5384D699"/>
    <w:rsid w:val="5386499B"/>
    <w:rsid w:val="538CF147"/>
    <w:rsid w:val="538FE2FC"/>
    <w:rsid w:val="53970F1A"/>
    <w:rsid w:val="53977349"/>
    <w:rsid w:val="539859DB"/>
    <w:rsid w:val="5399E23A"/>
    <w:rsid w:val="539B563E"/>
    <w:rsid w:val="53A3E2F6"/>
    <w:rsid w:val="53A52142"/>
    <w:rsid w:val="53A8C5C4"/>
    <w:rsid w:val="53A9557B"/>
    <w:rsid w:val="53ABE52F"/>
    <w:rsid w:val="53ADE746"/>
    <w:rsid w:val="53B24207"/>
    <w:rsid w:val="53B9D5E8"/>
    <w:rsid w:val="53BA2E95"/>
    <w:rsid w:val="53BEBBE9"/>
    <w:rsid w:val="53C046D3"/>
    <w:rsid w:val="53C19894"/>
    <w:rsid w:val="53C4F314"/>
    <w:rsid w:val="53C8740B"/>
    <w:rsid w:val="53CF5754"/>
    <w:rsid w:val="53D0040B"/>
    <w:rsid w:val="53D24DD0"/>
    <w:rsid w:val="53D35DF0"/>
    <w:rsid w:val="53D38FC5"/>
    <w:rsid w:val="53D42C74"/>
    <w:rsid w:val="53DB5358"/>
    <w:rsid w:val="53DCAD1F"/>
    <w:rsid w:val="53E11FC2"/>
    <w:rsid w:val="53E2F5AC"/>
    <w:rsid w:val="53EC2F15"/>
    <w:rsid w:val="53ED6F7B"/>
    <w:rsid w:val="53EDBB66"/>
    <w:rsid w:val="53EED477"/>
    <w:rsid w:val="53F3F1EC"/>
    <w:rsid w:val="53F6C312"/>
    <w:rsid w:val="53F73BC3"/>
    <w:rsid w:val="53F8538C"/>
    <w:rsid w:val="53F931C1"/>
    <w:rsid w:val="54042138"/>
    <w:rsid w:val="540852D7"/>
    <w:rsid w:val="540D20BA"/>
    <w:rsid w:val="540F7BF9"/>
    <w:rsid w:val="5410A5D0"/>
    <w:rsid w:val="5410AE53"/>
    <w:rsid w:val="541140FF"/>
    <w:rsid w:val="541827ED"/>
    <w:rsid w:val="541A3C8C"/>
    <w:rsid w:val="541AEFA9"/>
    <w:rsid w:val="541B93E8"/>
    <w:rsid w:val="541D1BEE"/>
    <w:rsid w:val="542165ED"/>
    <w:rsid w:val="54265A1A"/>
    <w:rsid w:val="542666A3"/>
    <w:rsid w:val="54282FA1"/>
    <w:rsid w:val="5429EBD4"/>
    <w:rsid w:val="542DDC22"/>
    <w:rsid w:val="542E8A35"/>
    <w:rsid w:val="542F9B6B"/>
    <w:rsid w:val="542FA012"/>
    <w:rsid w:val="5432EE03"/>
    <w:rsid w:val="543B6EF5"/>
    <w:rsid w:val="5440C058"/>
    <w:rsid w:val="544280EE"/>
    <w:rsid w:val="5444E638"/>
    <w:rsid w:val="5447CEA1"/>
    <w:rsid w:val="5448B21B"/>
    <w:rsid w:val="544AB2FB"/>
    <w:rsid w:val="54515BB6"/>
    <w:rsid w:val="5455CDBF"/>
    <w:rsid w:val="5456042C"/>
    <w:rsid w:val="54568911"/>
    <w:rsid w:val="545B7A91"/>
    <w:rsid w:val="545F08BA"/>
    <w:rsid w:val="545F9F9F"/>
    <w:rsid w:val="5460C05F"/>
    <w:rsid w:val="5461A717"/>
    <w:rsid w:val="5462DEFA"/>
    <w:rsid w:val="5463AED2"/>
    <w:rsid w:val="5465EF55"/>
    <w:rsid w:val="54661FDC"/>
    <w:rsid w:val="546774EC"/>
    <w:rsid w:val="546B08F4"/>
    <w:rsid w:val="546BA55D"/>
    <w:rsid w:val="546D24C3"/>
    <w:rsid w:val="546EB43B"/>
    <w:rsid w:val="54741906"/>
    <w:rsid w:val="5474AD66"/>
    <w:rsid w:val="5476B467"/>
    <w:rsid w:val="547CF105"/>
    <w:rsid w:val="547F4A52"/>
    <w:rsid w:val="548131F2"/>
    <w:rsid w:val="54818D0B"/>
    <w:rsid w:val="54836E37"/>
    <w:rsid w:val="54861196"/>
    <w:rsid w:val="54928480"/>
    <w:rsid w:val="54957C0D"/>
    <w:rsid w:val="5495B791"/>
    <w:rsid w:val="5496ADA9"/>
    <w:rsid w:val="5496E4F3"/>
    <w:rsid w:val="54971663"/>
    <w:rsid w:val="549ACE9F"/>
    <w:rsid w:val="549B118D"/>
    <w:rsid w:val="549D274D"/>
    <w:rsid w:val="549F5796"/>
    <w:rsid w:val="54A29D30"/>
    <w:rsid w:val="54A48FFF"/>
    <w:rsid w:val="54A701F2"/>
    <w:rsid w:val="54A87517"/>
    <w:rsid w:val="54A8D91B"/>
    <w:rsid w:val="54AB1DB2"/>
    <w:rsid w:val="54B87603"/>
    <w:rsid w:val="54B9216A"/>
    <w:rsid w:val="54BA16D7"/>
    <w:rsid w:val="54BBC9AE"/>
    <w:rsid w:val="54C7E822"/>
    <w:rsid w:val="54C98C93"/>
    <w:rsid w:val="54CD4C26"/>
    <w:rsid w:val="54D3AEF3"/>
    <w:rsid w:val="54D4B585"/>
    <w:rsid w:val="54D8A526"/>
    <w:rsid w:val="54D8A5F6"/>
    <w:rsid w:val="54DC1A62"/>
    <w:rsid w:val="54DCFB9F"/>
    <w:rsid w:val="54DE2B3E"/>
    <w:rsid w:val="54E49812"/>
    <w:rsid w:val="54E5E912"/>
    <w:rsid w:val="54EB19A5"/>
    <w:rsid w:val="54EC5EA3"/>
    <w:rsid w:val="54ED23F3"/>
    <w:rsid w:val="54EED762"/>
    <w:rsid w:val="54F2F118"/>
    <w:rsid w:val="54F4A196"/>
    <w:rsid w:val="54F59919"/>
    <w:rsid w:val="54F80D79"/>
    <w:rsid w:val="54FACD38"/>
    <w:rsid w:val="54FDB04F"/>
    <w:rsid w:val="54FEC827"/>
    <w:rsid w:val="550253E2"/>
    <w:rsid w:val="55030CD5"/>
    <w:rsid w:val="55034BD0"/>
    <w:rsid w:val="550880FB"/>
    <w:rsid w:val="550DFE40"/>
    <w:rsid w:val="5516D558"/>
    <w:rsid w:val="551BBDAD"/>
    <w:rsid w:val="551C8B25"/>
    <w:rsid w:val="551CBCAC"/>
    <w:rsid w:val="551E61C0"/>
    <w:rsid w:val="55233B48"/>
    <w:rsid w:val="5524DBAA"/>
    <w:rsid w:val="55263C12"/>
    <w:rsid w:val="55287184"/>
    <w:rsid w:val="55295E01"/>
    <w:rsid w:val="552A34F6"/>
    <w:rsid w:val="552E34C4"/>
    <w:rsid w:val="553097C4"/>
    <w:rsid w:val="5531A6DA"/>
    <w:rsid w:val="5535D56A"/>
    <w:rsid w:val="55377FFC"/>
    <w:rsid w:val="553914AE"/>
    <w:rsid w:val="553F5372"/>
    <w:rsid w:val="5543D0A0"/>
    <w:rsid w:val="5547E6BF"/>
    <w:rsid w:val="5548E129"/>
    <w:rsid w:val="554D671B"/>
    <w:rsid w:val="555426D3"/>
    <w:rsid w:val="555659D4"/>
    <w:rsid w:val="5558474C"/>
    <w:rsid w:val="555A844F"/>
    <w:rsid w:val="555A99F6"/>
    <w:rsid w:val="555B9EAB"/>
    <w:rsid w:val="556044E8"/>
    <w:rsid w:val="5562C7BB"/>
    <w:rsid w:val="55644C31"/>
    <w:rsid w:val="556916C5"/>
    <w:rsid w:val="55695395"/>
    <w:rsid w:val="556DC831"/>
    <w:rsid w:val="557148AB"/>
    <w:rsid w:val="5572F75F"/>
    <w:rsid w:val="55789559"/>
    <w:rsid w:val="557B8CE2"/>
    <w:rsid w:val="5581A6F7"/>
    <w:rsid w:val="5581DD0C"/>
    <w:rsid w:val="55859DF6"/>
    <w:rsid w:val="558687D0"/>
    <w:rsid w:val="55889669"/>
    <w:rsid w:val="5590619B"/>
    <w:rsid w:val="55907733"/>
    <w:rsid w:val="55966BA7"/>
    <w:rsid w:val="55A72A9F"/>
    <w:rsid w:val="55A798DF"/>
    <w:rsid w:val="55AAADE6"/>
    <w:rsid w:val="55AE6835"/>
    <w:rsid w:val="55B4AC05"/>
    <w:rsid w:val="55B51540"/>
    <w:rsid w:val="55B5679E"/>
    <w:rsid w:val="55B7DFF5"/>
    <w:rsid w:val="55B8A6ED"/>
    <w:rsid w:val="55B9682E"/>
    <w:rsid w:val="55B96AE6"/>
    <w:rsid w:val="55BC9543"/>
    <w:rsid w:val="55C7510F"/>
    <w:rsid w:val="55C96509"/>
    <w:rsid w:val="55D24BF1"/>
    <w:rsid w:val="55D3A52A"/>
    <w:rsid w:val="55D7B14D"/>
    <w:rsid w:val="55DAE6B9"/>
    <w:rsid w:val="55DECC9F"/>
    <w:rsid w:val="55E54234"/>
    <w:rsid w:val="55E68AAD"/>
    <w:rsid w:val="55E7D1ED"/>
    <w:rsid w:val="55EC2BD7"/>
    <w:rsid w:val="55EC4CAD"/>
    <w:rsid w:val="55F10943"/>
    <w:rsid w:val="55F5804C"/>
    <w:rsid w:val="5608CDBB"/>
    <w:rsid w:val="560CB1BD"/>
    <w:rsid w:val="56116228"/>
    <w:rsid w:val="56144136"/>
    <w:rsid w:val="5616D5C1"/>
    <w:rsid w:val="561B5E66"/>
    <w:rsid w:val="561B9BDC"/>
    <w:rsid w:val="561DDBEC"/>
    <w:rsid w:val="56259722"/>
    <w:rsid w:val="562A3BB0"/>
    <w:rsid w:val="562D8B67"/>
    <w:rsid w:val="562F74A0"/>
    <w:rsid w:val="5633A16E"/>
    <w:rsid w:val="56379216"/>
    <w:rsid w:val="563DF974"/>
    <w:rsid w:val="563F2175"/>
    <w:rsid w:val="5644EE73"/>
    <w:rsid w:val="5645C242"/>
    <w:rsid w:val="56520878"/>
    <w:rsid w:val="5652DF4D"/>
    <w:rsid w:val="56573236"/>
    <w:rsid w:val="56576DBD"/>
    <w:rsid w:val="5658476B"/>
    <w:rsid w:val="565876FA"/>
    <w:rsid w:val="5658FB74"/>
    <w:rsid w:val="565A12AD"/>
    <w:rsid w:val="565BD276"/>
    <w:rsid w:val="565E9D0B"/>
    <w:rsid w:val="5661EB1F"/>
    <w:rsid w:val="5662807D"/>
    <w:rsid w:val="5663D1B4"/>
    <w:rsid w:val="5664C909"/>
    <w:rsid w:val="566AB065"/>
    <w:rsid w:val="566BAD2F"/>
    <w:rsid w:val="566D40E7"/>
    <w:rsid w:val="566E0A31"/>
    <w:rsid w:val="56738965"/>
    <w:rsid w:val="5673C0EB"/>
    <w:rsid w:val="5674E553"/>
    <w:rsid w:val="567786A5"/>
    <w:rsid w:val="5680BA67"/>
    <w:rsid w:val="56831537"/>
    <w:rsid w:val="568679CF"/>
    <w:rsid w:val="5688D563"/>
    <w:rsid w:val="5696A912"/>
    <w:rsid w:val="569F700B"/>
    <w:rsid w:val="56A1D2E4"/>
    <w:rsid w:val="56A27BC1"/>
    <w:rsid w:val="56A2B0C9"/>
    <w:rsid w:val="56A45B14"/>
    <w:rsid w:val="56AAD876"/>
    <w:rsid w:val="56AF016F"/>
    <w:rsid w:val="56AF2D9D"/>
    <w:rsid w:val="56AF549F"/>
    <w:rsid w:val="56AFEE9D"/>
    <w:rsid w:val="56B4FD1D"/>
    <w:rsid w:val="56B582C3"/>
    <w:rsid w:val="56B68037"/>
    <w:rsid w:val="56B80CF2"/>
    <w:rsid w:val="56C44B5A"/>
    <w:rsid w:val="56CC3DD6"/>
    <w:rsid w:val="56D0BB82"/>
    <w:rsid w:val="56D11D8A"/>
    <w:rsid w:val="56D1A7B1"/>
    <w:rsid w:val="56D9EC26"/>
    <w:rsid w:val="56DF2B11"/>
    <w:rsid w:val="56E40A68"/>
    <w:rsid w:val="56E63EE0"/>
    <w:rsid w:val="56E8DCBF"/>
    <w:rsid w:val="56EC8836"/>
    <w:rsid w:val="56ECE767"/>
    <w:rsid w:val="56EF5681"/>
    <w:rsid w:val="56F4B912"/>
    <w:rsid w:val="56F7A099"/>
    <w:rsid w:val="56FE7E1F"/>
    <w:rsid w:val="57058CC9"/>
    <w:rsid w:val="57093230"/>
    <w:rsid w:val="570C801E"/>
    <w:rsid w:val="570D5851"/>
    <w:rsid w:val="57119F17"/>
    <w:rsid w:val="57140847"/>
    <w:rsid w:val="57141EEE"/>
    <w:rsid w:val="5718315B"/>
    <w:rsid w:val="57198283"/>
    <w:rsid w:val="571CF8EC"/>
    <w:rsid w:val="571D63D6"/>
    <w:rsid w:val="571F6766"/>
    <w:rsid w:val="5721CCFC"/>
    <w:rsid w:val="572301DC"/>
    <w:rsid w:val="5723B356"/>
    <w:rsid w:val="5728195D"/>
    <w:rsid w:val="572A409D"/>
    <w:rsid w:val="572AF5CA"/>
    <w:rsid w:val="572B3032"/>
    <w:rsid w:val="572EDB25"/>
    <w:rsid w:val="5732BD8E"/>
    <w:rsid w:val="5732D989"/>
    <w:rsid w:val="57462E1A"/>
    <w:rsid w:val="5746E96E"/>
    <w:rsid w:val="574A1014"/>
    <w:rsid w:val="575250C2"/>
    <w:rsid w:val="57548795"/>
    <w:rsid w:val="5755A49C"/>
    <w:rsid w:val="575E08CD"/>
    <w:rsid w:val="5765776C"/>
    <w:rsid w:val="5768B365"/>
    <w:rsid w:val="577297D9"/>
    <w:rsid w:val="5778E750"/>
    <w:rsid w:val="5778F00C"/>
    <w:rsid w:val="5779F861"/>
    <w:rsid w:val="577CCE43"/>
    <w:rsid w:val="57827DFC"/>
    <w:rsid w:val="5785D385"/>
    <w:rsid w:val="5788EE8D"/>
    <w:rsid w:val="5789788A"/>
    <w:rsid w:val="578C131F"/>
    <w:rsid w:val="578DC349"/>
    <w:rsid w:val="5794F8C7"/>
    <w:rsid w:val="5795E3C4"/>
    <w:rsid w:val="57963CF0"/>
    <w:rsid w:val="5798A553"/>
    <w:rsid w:val="579A01C3"/>
    <w:rsid w:val="579B920A"/>
    <w:rsid w:val="579FF6D3"/>
    <w:rsid w:val="57A00841"/>
    <w:rsid w:val="57A1A5D2"/>
    <w:rsid w:val="57A3E37E"/>
    <w:rsid w:val="57A6435D"/>
    <w:rsid w:val="57AA54FF"/>
    <w:rsid w:val="57AD1ACE"/>
    <w:rsid w:val="57ADC120"/>
    <w:rsid w:val="57B2137A"/>
    <w:rsid w:val="57B40845"/>
    <w:rsid w:val="57B7C3F8"/>
    <w:rsid w:val="57BA738F"/>
    <w:rsid w:val="57BBFCA1"/>
    <w:rsid w:val="57BC1B5E"/>
    <w:rsid w:val="57BC9568"/>
    <w:rsid w:val="57C00FD5"/>
    <w:rsid w:val="57C3D373"/>
    <w:rsid w:val="57C53A89"/>
    <w:rsid w:val="57CC2A3D"/>
    <w:rsid w:val="57CC8ECB"/>
    <w:rsid w:val="57D6FC10"/>
    <w:rsid w:val="57E070D6"/>
    <w:rsid w:val="57E289C0"/>
    <w:rsid w:val="57E387A5"/>
    <w:rsid w:val="57E64120"/>
    <w:rsid w:val="57EA35CF"/>
    <w:rsid w:val="57EBE2DE"/>
    <w:rsid w:val="57EF1D33"/>
    <w:rsid w:val="57EF80E1"/>
    <w:rsid w:val="57F4E926"/>
    <w:rsid w:val="57F57443"/>
    <w:rsid w:val="57F9761A"/>
    <w:rsid w:val="57FAB5FF"/>
    <w:rsid w:val="57FCD5B6"/>
    <w:rsid w:val="58098857"/>
    <w:rsid w:val="580D4934"/>
    <w:rsid w:val="580D7AF5"/>
    <w:rsid w:val="58117305"/>
    <w:rsid w:val="58138157"/>
    <w:rsid w:val="58153359"/>
    <w:rsid w:val="58171E59"/>
    <w:rsid w:val="58174A96"/>
    <w:rsid w:val="5818AFAC"/>
    <w:rsid w:val="58278DEF"/>
    <w:rsid w:val="5827ED7F"/>
    <w:rsid w:val="582C458F"/>
    <w:rsid w:val="583283B2"/>
    <w:rsid w:val="583A594A"/>
    <w:rsid w:val="58403CBA"/>
    <w:rsid w:val="5841F53A"/>
    <w:rsid w:val="58448A55"/>
    <w:rsid w:val="584A02BC"/>
    <w:rsid w:val="584A081D"/>
    <w:rsid w:val="584C759E"/>
    <w:rsid w:val="5850CCCD"/>
    <w:rsid w:val="585CF1FA"/>
    <w:rsid w:val="585E4B8C"/>
    <w:rsid w:val="586036D7"/>
    <w:rsid w:val="5864A3FE"/>
    <w:rsid w:val="586820B6"/>
    <w:rsid w:val="586BD729"/>
    <w:rsid w:val="586C2D54"/>
    <w:rsid w:val="586CF86C"/>
    <w:rsid w:val="5872D00B"/>
    <w:rsid w:val="5879014C"/>
    <w:rsid w:val="587D36D4"/>
    <w:rsid w:val="587E1F9A"/>
    <w:rsid w:val="58839864"/>
    <w:rsid w:val="5883AC32"/>
    <w:rsid w:val="5885AB06"/>
    <w:rsid w:val="5886D87C"/>
    <w:rsid w:val="588A5CDC"/>
    <w:rsid w:val="588F3686"/>
    <w:rsid w:val="58922AA6"/>
    <w:rsid w:val="58966D77"/>
    <w:rsid w:val="5899E6E1"/>
    <w:rsid w:val="589AF012"/>
    <w:rsid w:val="589AFBD1"/>
    <w:rsid w:val="589D5AA1"/>
    <w:rsid w:val="589DDFDE"/>
    <w:rsid w:val="589E26BE"/>
    <w:rsid w:val="58A2B49B"/>
    <w:rsid w:val="58A344DB"/>
    <w:rsid w:val="58A353D5"/>
    <w:rsid w:val="58A53A6D"/>
    <w:rsid w:val="58A555C3"/>
    <w:rsid w:val="58A76B00"/>
    <w:rsid w:val="58AAA0D5"/>
    <w:rsid w:val="58AAB0FE"/>
    <w:rsid w:val="58ABEA92"/>
    <w:rsid w:val="58AD2E05"/>
    <w:rsid w:val="58AF1B3C"/>
    <w:rsid w:val="58B64899"/>
    <w:rsid w:val="58BA59B9"/>
    <w:rsid w:val="58BB59A1"/>
    <w:rsid w:val="58C0FF3E"/>
    <w:rsid w:val="58C5EC87"/>
    <w:rsid w:val="58C90CFE"/>
    <w:rsid w:val="58CDC0B4"/>
    <w:rsid w:val="58D3FF9F"/>
    <w:rsid w:val="58D51A47"/>
    <w:rsid w:val="58D67240"/>
    <w:rsid w:val="58D7F7AB"/>
    <w:rsid w:val="58D86B4A"/>
    <w:rsid w:val="58D87C7F"/>
    <w:rsid w:val="58DD5303"/>
    <w:rsid w:val="58E1EEC3"/>
    <w:rsid w:val="58E43EEA"/>
    <w:rsid w:val="58E485B5"/>
    <w:rsid w:val="58E6553A"/>
    <w:rsid w:val="58E81739"/>
    <w:rsid w:val="58E9F275"/>
    <w:rsid w:val="58F8E24B"/>
    <w:rsid w:val="58FE833D"/>
    <w:rsid w:val="59038912"/>
    <w:rsid w:val="59066831"/>
    <w:rsid w:val="59073232"/>
    <w:rsid w:val="590AF4BB"/>
    <w:rsid w:val="590B11DF"/>
    <w:rsid w:val="590CFF08"/>
    <w:rsid w:val="591223C4"/>
    <w:rsid w:val="59194D83"/>
    <w:rsid w:val="591CD993"/>
    <w:rsid w:val="5922780A"/>
    <w:rsid w:val="59235649"/>
    <w:rsid w:val="59268640"/>
    <w:rsid w:val="5929BC8D"/>
    <w:rsid w:val="592AD0F9"/>
    <w:rsid w:val="592C087D"/>
    <w:rsid w:val="592FE6C1"/>
    <w:rsid w:val="5930250C"/>
    <w:rsid w:val="5931C3C2"/>
    <w:rsid w:val="59362E58"/>
    <w:rsid w:val="593772CD"/>
    <w:rsid w:val="5939F5CF"/>
    <w:rsid w:val="593FBAF1"/>
    <w:rsid w:val="5940CC05"/>
    <w:rsid w:val="5942FF4D"/>
    <w:rsid w:val="59449155"/>
    <w:rsid w:val="5945E8D0"/>
    <w:rsid w:val="59496F5E"/>
    <w:rsid w:val="594BE857"/>
    <w:rsid w:val="594C45CD"/>
    <w:rsid w:val="594E5A10"/>
    <w:rsid w:val="594F0941"/>
    <w:rsid w:val="595154C3"/>
    <w:rsid w:val="595771FC"/>
    <w:rsid w:val="595C90BB"/>
    <w:rsid w:val="595F5AF3"/>
    <w:rsid w:val="596B7C76"/>
    <w:rsid w:val="596DE593"/>
    <w:rsid w:val="5972752C"/>
    <w:rsid w:val="59796802"/>
    <w:rsid w:val="597B2CFF"/>
    <w:rsid w:val="597CE070"/>
    <w:rsid w:val="597F6DDC"/>
    <w:rsid w:val="5981B36E"/>
    <w:rsid w:val="5982F5D7"/>
    <w:rsid w:val="59850BDF"/>
    <w:rsid w:val="5986DA1B"/>
    <w:rsid w:val="59951B33"/>
    <w:rsid w:val="5995E18A"/>
    <w:rsid w:val="59990405"/>
    <w:rsid w:val="59A085CA"/>
    <w:rsid w:val="59A541C2"/>
    <w:rsid w:val="59A79042"/>
    <w:rsid w:val="59A88E45"/>
    <w:rsid w:val="59A965E1"/>
    <w:rsid w:val="59AC0D00"/>
    <w:rsid w:val="59AC6971"/>
    <w:rsid w:val="59B39D33"/>
    <w:rsid w:val="59BDAD3D"/>
    <w:rsid w:val="59C3891D"/>
    <w:rsid w:val="59C86BAE"/>
    <w:rsid w:val="59CB325E"/>
    <w:rsid w:val="59CB881A"/>
    <w:rsid w:val="59CD4259"/>
    <w:rsid w:val="59CE93C8"/>
    <w:rsid w:val="59D1C6C6"/>
    <w:rsid w:val="59DC15D3"/>
    <w:rsid w:val="59DEBD05"/>
    <w:rsid w:val="59DF15FD"/>
    <w:rsid w:val="59E05367"/>
    <w:rsid w:val="59E126DF"/>
    <w:rsid w:val="59E178D0"/>
    <w:rsid w:val="59E5D56B"/>
    <w:rsid w:val="59E68BFE"/>
    <w:rsid w:val="59E6FA22"/>
    <w:rsid w:val="59E702B9"/>
    <w:rsid w:val="59E7E2EB"/>
    <w:rsid w:val="59E83F8A"/>
    <w:rsid w:val="59EBCCB5"/>
    <w:rsid w:val="59F2533D"/>
    <w:rsid w:val="59F6456A"/>
    <w:rsid w:val="59F66F02"/>
    <w:rsid w:val="59FE9A62"/>
    <w:rsid w:val="5A022F03"/>
    <w:rsid w:val="5A03DE4A"/>
    <w:rsid w:val="5A060C91"/>
    <w:rsid w:val="5A061437"/>
    <w:rsid w:val="5A091C8C"/>
    <w:rsid w:val="5A0C08C3"/>
    <w:rsid w:val="5A0EE97B"/>
    <w:rsid w:val="5A126BB2"/>
    <w:rsid w:val="5A1698BC"/>
    <w:rsid w:val="5A17B1BD"/>
    <w:rsid w:val="5A1BA571"/>
    <w:rsid w:val="5A1BCE86"/>
    <w:rsid w:val="5A1F6088"/>
    <w:rsid w:val="5A242BA9"/>
    <w:rsid w:val="5A265D63"/>
    <w:rsid w:val="5A28FBB2"/>
    <w:rsid w:val="5A31891D"/>
    <w:rsid w:val="5A321C83"/>
    <w:rsid w:val="5A32ED0A"/>
    <w:rsid w:val="5A351775"/>
    <w:rsid w:val="5A372A2E"/>
    <w:rsid w:val="5A3B8FD3"/>
    <w:rsid w:val="5A3C817E"/>
    <w:rsid w:val="5A414D48"/>
    <w:rsid w:val="5A4C8798"/>
    <w:rsid w:val="5A4F04F1"/>
    <w:rsid w:val="5A4F0722"/>
    <w:rsid w:val="5A50C549"/>
    <w:rsid w:val="5A50CC6F"/>
    <w:rsid w:val="5A562EC1"/>
    <w:rsid w:val="5A5773FA"/>
    <w:rsid w:val="5A596DFE"/>
    <w:rsid w:val="5A5C5DC1"/>
    <w:rsid w:val="5A5CC92B"/>
    <w:rsid w:val="5A5DA4B4"/>
    <w:rsid w:val="5A5F687B"/>
    <w:rsid w:val="5A63492E"/>
    <w:rsid w:val="5A638548"/>
    <w:rsid w:val="5A6A6AAE"/>
    <w:rsid w:val="5A6B0BD8"/>
    <w:rsid w:val="5A6D8379"/>
    <w:rsid w:val="5A6F8EAA"/>
    <w:rsid w:val="5A6FEFBA"/>
    <w:rsid w:val="5A706DC2"/>
    <w:rsid w:val="5A72D706"/>
    <w:rsid w:val="5A72F536"/>
    <w:rsid w:val="5A77A5A0"/>
    <w:rsid w:val="5A79EDA2"/>
    <w:rsid w:val="5A7C1034"/>
    <w:rsid w:val="5A8310D3"/>
    <w:rsid w:val="5A8353AF"/>
    <w:rsid w:val="5A83ACFF"/>
    <w:rsid w:val="5A867081"/>
    <w:rsid w:val="5A8692BB"/>
    <w:rsid w:val="5A875174"/>
    <w:rsid w:val="5A8A5420"/>
    <w:rsid w:val="5A8CFB67"/>
    <w:rsid w:val="5A8D3CA4"/>
    <w:rsid w:val="5A8D7F9E"/>
    <w:rsid w:val="5A8D9F7D"/>
    <w:rsid w:val="5A8FE136"/>
    <w:rsid w:val="5A9B4925"/>
    <w:rsid w:val="5A9D6BF7"/>
    <w:rsid w:val="5AA073EF"/>
    <w:rsid w:val="5AA1D610"/>
    <w:rsid w:val="5AA67560"/>
    <w:rsid w:val="5AA91A92"/>
    <w:rsid w:val="5AA92B98"/>
    <w:rsid w:val="5AA9A40D"/>
    <w:rsid w:val="5AAA4179"/>
    <w:rsid w:val="5AAD1295"/>
    <w:rsid w:val="5ABCBFCF"/>
    <w:rsid w:val="5ABE4DC1"/>
    <w:rsid w:val="5ABEAE05"/>
    <w:rsid w:val="5ABEB56A"/>
    <w:rsid w:val="5ABEEC40"/>
    <w:rsid w:val="5AC231B6"/>
    <w:rsid w:val="5AC562D7"/>
    <w:rsid w:val="5AC9503E"/>
    <w:rsid w:val="5ACB97AE"/>
    <w:rsid w:val="5ACCCE6F"/>
    <w:rsid w:val="5ACDCB5C"/>
    <w:rsid w:val="5AD23318"/>
    <w:rsid w:val="5AD44727"/>
    <w:rsid w:val="5AD45CC5"/>
    <w:rsid w:val="5AD527E1"/>
    <w:rsid w:val="5AD70BEA"/>
    <w:rsid w:val="5AD84765"/>
    <w:rsid w:val="5AD89E57"/>
    <w:rsid w:val="5ADB3710"/>
    <w:rsid w:val="5ADC0202"/>
    <w:rsid w:val="5AE38084"/>
    <w:rsid w:val="5AE5AE3A"/>
    <w:rsid w:val="5AE6E21B"/>
    <w:rsid w:val="5AE7CEE4"/>
    <w:rsid w:val="5AECBC5B"/>
    <w:rsid w:val="5AF0C913"/>
    <w:rsid w:val="5AF1A8E7"/>
    <w:rsid w:val="5AF39CE4"/>
    <w:rsid w:val="5AF3CF30"/>
    <w:rsid w:val="5AF81049"/>
    <w:rsid w:val="5AFC9059"/>
    <w:rsid w:val="5AFD3A76"/>
    <w:rsid w:val="5AFD69A1"/>
    <w:rsid w:val="5B014514"/>
    <w:rsid w:val="5B017A01"/>
    <w:rsid w:val="5B04FD9A"/>
    <w:rsid w:val="5B055079"/>
    <w:rsid w:val="5B0557F0"/>
    <w:rsid w:val="5B07FDBE"/>
    <w:rsid w:val="5B0910E8"/>
    <w:rsid w:val="5B0CF249"/>
    <w:rsid w:val="5B114934"/>
    <w:rsid w:val="5B138CE9"/>
    <w:rsid w:val="5B16ECB3"/>
    <w:rsid w:val="5B178719"/>
    <w:rsid w:val="5B1B1D41"/>
    <w:rsid w:val="5B1E5F85"/>
    <w:rsid w:val="5B203E43"/>
    <w:rsid w:val="5B256C19"/>
    <w:rsid w:val="5B2648CE"/>
    <w:rsid w:val="5B26B370"/>
    <w:rsid w:val="5B274F1C"/>
    <w:rsid w:val="5B290A87"/>
    <w:rsid w:val="5B29D2C0"/>
    <w:rsid w:val="5B2B198F"/>
    <w:rsid w:val="5B2F2702"/>
    <w:rsid w:val="5B30E4C6"/>
    <w:rsid w:val="5B35003E"/>
    <w:rsid w:val="5B375170"/>
    <w:rsid w:val="5B3D357B"/>
    <w:rsid w:val="5B3DACB8"/>
    <w:rsid w:val="5B40D163"/>
    <w:rsid w:val="5B461CF3"/>
    <w:rsid w:val="5B46F948"/>
    <w:rsid w:val="5B47DB63"/>
    <w:rsid w:val="5B4C6DD0"/>
    <w:rsid w:val="5B4DE30E"/>
    <w:rsid w:val="5B4DF65C"/>
    <w:rsid w:val="5B4DFF6A"/>
    <w:rsid w:val="5B4FE9B2"/>
    <w:rsid w:val="5B53FF4F"/>
    <w:rsid w:val="5B558798"/>
    <w:rsid w:val="5B55A1DD"/>
    <w:rsid w:val="5B567840"/>
    <w:rsid w:val="5B56A3FF"/>
    <w:rsid w:val="5B5F3A04"/>
    <w:rsid w:val="5B60C9A0"/>
    <w:rsid w:val="5B62978E"/>
    <w:rsid w:val="5B64C1FF"/>
    <w:rsid w:val="5B662198"/>
    <w:rsid w:val="5B666CDF"/>
    <w:rsid w:val="5B670861"/>
    <w:rsid w:val="5B71A356"/>
    <w:rsid w:val="5B72B0C9"/>
    <w:rsid w:val="5B8002EC"/>
    <w:rsid w:val="5B88B8C8"/>
    <w:rsid w:val="5B9C1596"/>
    <w:rsid w:val="5B9E4E9D"/>
    <w:rsid w:val="5BA244F0"/>
    <w:rsid w:val="5BA37856"/>
    <w:rsid w:val="5BA6CFEE"/>
    <w:rsid w:val="5BAB6D3D"/>
    <w:rsid w:val="5BAFF2CE"/>
    <w:rsid w:val="5BB2283A"/>
    <w:rsid w:val="5BB233B6"/>
    <w:rsid w:val="5BB36CDC"/>
    <w:rsid w:val="5BBA7FF0"/>
    <w:rsid w:val="5BBAC7D5"/>
    <w:rsid w:val="5BBD03E4"/>
    <w:rsid w:val="5BC0C401"/>
    <w:rsid w:val="5BC0C513"/>
    <w:rsid w:val="5BC13AC8"/>
    <w:rsid w:val="5BC3C596"/>
    <w:rsid w:val="5BCA2389"/>
    <w:rsid w:val="5BD1B0B5"/>
    <w:rsid w:val="5BD1B60C"/>
    <w:rsid w:val="5BDA21C6"/>
    <w:rsid w:val="5BDE62C1"/>
    <w:rsid w:val="5BDEFB42"/>
    <w:rsid w:val="5BE1CA9A"/>
    <w:rsid w:val="5BE49DB5"/>
    <w:rsid w:val="5BE4D72C"/>
    <w:rsid w:val="5BE7ED83"/>
    <w:rsid w:val="5BE811D4"/>
    <w:rsid w:val="5BF5E888"/>
    <w:rsid w:val="5BFA204C"/>
    <w:rsid w:val="5BFC21D1"/>
    <w:rsid w:val="5BFC90BA"/>
    <w:rsid w:val="5BFDFC6B"/>
    <w:rsid w:val="5C05ABB9"/>
    <w:rsid w:val="5C0C53BA"/>
    <w:rsid w:val="5C0F0E2C"/>
    <w:rsid w:val="5C109AE6"/>
    <w:rsid w:val="5C114F42"/>
    <w:rsid w:val="5C1B2AE0"/>
    <w:rsid w:val="5C28626B"/>
    <w:rsid w:val="5C3237D6"/>
    <w:rsid w:val="5C33EC44"/>
    <w:rsid w:val="5C35B34A"/>
    <w:rsid w:val="5C371BD6"/>
    <w:rsid w:val="5C379DBA"/>
    <w:rsid w:val="5C392A9E"/>
    <w:rsid w:val="5C3E217A"/>
    <w:rsid w:val="5C4013F0"/>
    <w:rsid w:val="5C434110"/>
    <w:rsid w:val="5C484992"/>
    <w:rsid w:val="5C485A18"/>
    <w:rsid w:val="5C4B38DF"/>
    <w:rsid w:val="5C4BF92B"/>
    <w:rsid w:val="5C4D26DF"/>
    <w:rsid w:val="5C4D3AFF"/>
    <w:rsid w:val="5C563141"/>
    <w:rsid w:val="5C5963A7"/>
    <w:rsid w:val="5C5F722B"/>
    <w:rsid w:val="5C633553"/>
    <w:rsid w:val="5C67C4DB"/>
    <w:rsid w:val="5C682261"/>
    <w:rsid w:val="5C6B56B6"/>
    <w:rsid w:val="5C6B5DA9"/>
    <w:rsid w:val="5C6ED021"/>
    <w:rsid w:val="5C74CBF7"/>
    <w:rsid w:val="5C7724D8"/>
    <w:rsid w:val="5C77FE37"/>
    <w:rsid w:val="5C7EA1EB"/>
    <w:rsid w:val="5C7FF03C"/>
    <w:rsid w:val="5C8303A6"/>
    <w:rsid w:val="5C836954"/>
    <w:rsid w:val="5C86A277"/>
    <w:rsid w:val="5C87F2E5"/>
    <w:rsid w:val="5C8B0B62"/>
    <w:rsid w:val="5C961096"/>
    <w:rsid w:val="5C9773DF"/>
    <w:rsid w:val="5C9B9CE7"/>
    <w:rsid w:val="5C9FB9BA"/>
    <w:rsid w:val="5CA2CCB7"/>
    <w:rsid w:val="5CA3E22D"/>
    <w:rsid w:val="5CA5D4E5"/>
    <w:rsid w:val="5CABF84D"/>
    <w:rsid w:val="5CACDC0C"/>
    <w:rsid w:val="5CAE8734"/>
    <w:rsid w:val="5CAF65CF"/>
    <w:rsid w:val="5CAF89B0"/>
    <w:rsid w:val="5CAFBC32"/>
    <w:rsid w:val="5CB016AF"/>
    <w:rsid w:val="5CB161D4"/>
    <w:rsid w:val="5CB58435"/>
    <w:rsid w:val="5CB77EC2"/>
    <w:rsid w:val="5CBACEE8"/>
    <w:rsid w:val="5CBC2EC9"/>
    <w:rsid w:val="5CBEE735"/>
    <w:rsid w:val="5CC051F4"/>
    <w:rsid w:val="5CC19E04"/>
    <w:rsid w:val="5CD647E5"/>
    <w:rsid w:val="5CD8016A"/>
    <w:rsid w:val="5CDC5283"/>
    <w:rsid w:val="5CDE818E"/>
    <w:rsid w:val="5CE08258"/>
    <w:rsid w:val="5CE0ED79"/>
    <w:rsid w:val="5CE4D8C8"/>
    <w:rsid w:val="5CE692C4"/>
    <w:rsid w:val="5CEF246C"/>
    <w:rsid w:val="5CF9AB23"/>
    <w:rsid w:val="5CFA4FAD"/>
    <w:rsid w:val="5CFDD346"/>
    <w:rsid w:val="5D00DF25"/>
    <w:rsid w:val="5D07EF01"/>
    <w:rsid w:val="5D0AD03A"/>
    <w:rsid w:val="5D0DE026"/>
    <w:rsid w:val="5D0EC2FD"/>
    <w:rsid w:val="5D122427"/>
    <w:rsid w:val="5D155E93"/>
    <w:rsid w:val="5D21A317"/>
    <w:rsid w:val="5D24279B"/>
    <w:rsid w:val="5D282E08"/>
    <w:rsid w:val="5D287E2B"/>
    <w:rsid w:val="5D2C552C"/>
    <w:rsid w:val="5D2D0CD7"/>
    <w:rsid w:val="5D30A8A5"/>
    <w:rsid w:val="5D327D69"/>
    <w:rsid w:val="5D33419C"/>
    <w:rsid w:val="5D348307"/>
    <w:rsid w:val="5D35340C"/>
    <w:rsid w:val="5D361138"/>
    <w:rsid w:val="5D36723D"/>
    <w:rsid w:val="5D370635"/>
    <w:rsid w:val="5D39F72E"/>
    <w:rsid w:val="5D3EBD64"/>
    <w:rsid w:val="5D435D8B"/>
    <w:rsid w:val="5D44C284"/>
    <w:rsid w:val="5D4A7FF0"/>
    <w:rsid w:val="5D4DC4D3"/>
    <w:rsid w:val="5D5110FB"/>
    <w:rsid w:val="5D5297A0"/>
    <w:rsid w:val="5D565E18"/>
    <w:rsid w:val="5D59B8FC"/>
    <w:rsid w:val="5D5BB839"/>
    <w:rsid w:val="5D5CFE1E"/>
    <w:rsid w:val="5D60A7B2"/>
    <w:rsid w:val="5D63F2F5"/>
    <w:rsid w:val="5D6A229A"/>
    <w:rsid w:val="5D6B536D"/>
    <w:rsid w:val="5D6CD21D"/>
    <w:rsid w:val="5D6E9356"/>
    <w:rsid w:val="5D711C3D"/>
    <w:rsid w:val="5D7B7717"/>
    <w:rsid w:val="5D7BF8C9"/>
    <w:rsid w:val="5D80188A"/>
    <w:rsid w:val="5D805ED1"/>
    <w:rsid w:val="5D8D589C"/>
    <w:rsid w:val="5D949685"/>
    <w:rsid w:val="5D94E798"/>
    <w:rsid w:val="5D9539FF"/>
    <w:rsid w:val="5D956134"/>
    <w:rsid w:val="5D99F3B3"/>
    <w:rsid w:val="5D9B58D4"/>
    <w:rsid w:val="5D9EE273"/>
    <w:rsid w:val="5D9F3B99"/>
    <w:rsid w:val="5D9FF68A"/>
    <w:rsid w:val="5DA1CF11"/>
    <w:rsid w:val="5DA7B9E2"/>
    <w:rsid w:val="5DAD4324"/>
    <w:rsid w:val="5DAFAB80"/>
    <w:rsid w:val="5DB3CA1A"/>
    <w:rsid w:val="5DB50263"/>
    <w:rsid w:val="5DB59A2A"/>
    <w:rsid w:val="5DBB6E94"/>
    <w:rsid w:val="5DBC5C52"/>
    <w:rsid w:val="5DBDAA22"/>
    <w:rsid w:val="5DBDB4D0"/>
    <w:rsid w:val="5DC11D3B"/>
    <w:rsid w:val="5DC806C1"/>
    <w:rsid w:val="5DC91FC9"/>
    <w:rsid w:val="5DCD715C"/>
    <w:rsid w:val="5DD147BE"/>
    <w:rsid w:val="5DD21FD3"/>
    <w:rsid w:val="5DD304FE"/>
    <w:rsid w:val="5DD74020"/>
    <w:rsid w:val="5DDA54B9"/>
    <w:rsid w:val="5DDD6657"/>
    <w:rsid w:val="5DDD7781"/>
    <w:rsid w:val="5DE060EA"/>
    <w:rsid w:val="5DE08A52"/>
    <w:rsid w:val="5DE3A046"/>
    <w:rsid w:val="5DEB4E18"/>
    <w:rsid w:val="5DEBA25C"/>
    <w:rsid w:val="5DEBF599"/>
    <w:rsid w:val="5DECABE3"/>
    <w:rsid w:val="5DEE0A7B"/>
    <w:rsid w:val="5DEFD049"/>
    <w:rsid w:val="5DF0C753"/>
    <w:rsid w:val="5DF31CA9"/>
    <w:rsid w:val="5DFD0ADE"/>
    <w:rsid w:val="5E069323"/>
    <w:rsid w:val="5E0D1DF9"/>
    <w:rsid w:val="5E0D9461"/>
    <w:rsid w:val="5E13B124"/>
    <w:rsid w:val="5E15C1A3"/>
    <w:rsid w:val="5E16EE6B"/>
    <w:rsid w:val="5E17A053"/>
    <w:rsid w:val="5E1B3962"/>
    <w:rsid w:val="5E1CFAF8"/>
    <w:rsid w:val="5E1FB33F"/>
    <w:rsid w:val="5E1FBFA4"/>
    <w:rsid w:val="5E205A41"/>
    <w:rsid w:val="5E243AAF"/>
    <w:rsid w:val="5E2483B2"/>
    <w:rsid w:val="5E25C3D8"/>
    <w:rsid w:val="5E299E90"/>
    <w:rsid w:val="5E2DFE0C"/>
    <w:rsid w:val="5E30CCD4"/>
    <w:rsid w:val="5E340813"/>
    <w:rsid w:val="5E34E994"/>
    <w:rsid w:val="5E384234"/>
    <w:rsid w:val="5E3B0EA5"/>
    <w:rsid w:val="5E3B45D8"/>
    <w:rsid w:val="5E3C5F46"/>
    <w:rsid w:val="5E4195B2"/>
    <w:rsid w:val="5E41A0D6"/>
    <w:rsid w:val="5E444F87"/>
    <w:rsid w:val="5E44C666"/>
    <w:rsid w:val="5E451923"/>
    <w:rsid w:val="5E466E9F"/>
    <w:rsid w:val="5E47E8CC"/>
    <w:rsid w:val="5E4C9C06"/>
    <w:rsid w:val="5E4D080D"/>
    <w:rsid w:val="5E50AC9D"/>
    <w:rsid w:val="5E53296B"/>
    <w:rsid w:val="5E55C214"/>
    <w:rsid w:val="5E561AAA"/>
    <w:rsid w:val="5E63015E"/>
    <w:rsid w:val="5E6324C3"/>
    <w:rsid w:val="5E64D9F6"/>
    <w:rsid w:val="5E6778C0"/>
    <w:rsid w:val="5E6D50D9"/>
    <w:rsid w:val="5E75CFE1"/>
    <w:rsid w:val="5E764390"/>
    <w:rsid w:val="5E7829E7"/>
    <w:rsid w:val="5E7FD002"/>
    <w:rsid w:val="5E813315"/>
    <w:rsid w:val="5E8161E7"/>
    <w:rsid w:val="5E842672"/>
    <w:rsid w:val="5E8450F1"/>
    <w:rsid w:val="5E8E2B4A"/>
    <w:rsid w:val="5E943E77"/>
    <w:rsid w:val="5E961B3E"/>
    <w:rsid w:val="5E97F4CB"/>
    <w:rsid w:val="5E998288"/>
    <w:rsid w:val="5E9A2885"/>
    <w:rsid w:val="5E9D2753"/>
    <w:rsid w:val="5EA1164E"/>
    <w:rsid w:val="5EA2BB32"/>
    <w:rsid w:val="5EA3B653"/>
    <w:rsid w:val="5EAC29C2"/>
    <w:rsid w:val="5EB37D6C"/>
    <w:rsid w:val="5EB7F604"/>
    <w:rsid w:val="5EB8B5A8"/>
    <w:rsid w:val="5EBA20E7"/>
    <w:rsid w:val="5EBA957A"/>
    <w:rsid w:val="5EBAF671"/>
    <w:rsid w:val="5EC4A9AC"/>
    <w:rsid w:val="5EC4DB57"/>
    <w:rsid w:val="5EC5214B"/>
    <w:rsid w:val="5EC68FB5"/>
    <w:rsid w:val="5EC841BE"/>
    <w:rsid w:val="5ECABF4A"/>
    <w:rsid w:val="5ECB85E0"/>
    <w:rsid w:val="5ECBBAC4"/>
    <w:rsid w:val="5ED07D6D"/>
    <w:rsid w:val="5EDA0816"/>
    <w:rsid w:val="5EDF2AD8"/>
    <w:rsid w:val="5EE046D3"/>
    <w:rsid w:val="5EE3DC43"/>
    <w:rsid w:val="5EE89C43"/>
    <w:rsid w:val="5EE99E21"/>
    <w:rsid w:val="5EE9AB62"/>
    <w:rsid w:val="5EEC3E13"/>
    <w:rsid w:val="5EECA371"/>
    <w:rsid w:val="5EF16D5E"/>
    <w:rsid w:val="5EF66B54"/>
    <w:rsid w:val="5EF779C8"/>
    <w:rsid w:val="5EFB1A34"/>
    <w:rsid w:val="5EFDB56C"/>
    <w:rsid w:val="5EFFDAB5"/>
    <w:rsid w:val="5F033458"/>
    <w:rsid w:val="5F062917"/>
    <w:rsid w:val="5F073417"/>
    <w:rsid w:val="5F0A5F35"/>
    <w:rsid w:val="5F110AF2"/>
    <w:rsid w:val="5F140765"/>
    <w:rsid w:val="5F16765C"/>
    <w:rsid w:val="5F193640"/>
    <w:rsid w:val="5F1AAAA3"/>
    <w:rsid w:val="5F1DB2DE"/>
    <w:rsid w:val="5F22EAF7"/>
    <w:rsid w:val="5F2D2E5A"/>
    <w:rsid w:val="5F3230A1"/>
    <w:rsid w:val="5F337607"/>
    <w:rsid w:val="5F34A67B"/>
    <w:rsid w:val="5F41FD6A"/>
    <w:rsid w:val="5F450EE8"/>
    <w:rsid w:val="5F4F87A0"/>
    <w:rsid w:val="5F50D641"/>
    <w:rsid w:val="5F542B18"/>
    <w:rsid w:val="5F564DD1"/>
    <w:rsid w:val="5F587B61"/>
    <w:rsid w:val="5F5A89BA"/>
    <w:rsid w:val="5F5AF207"/>
    <w:rsid w:val="5F5D96E5"/>
    <w:rsid w:val="5F60C06D"/>
    <w:rsid w:val="5F60F03A"/>
    <w:rsid w:val="5F66E9AF"/>
    <w:rsid w:val="5F6797B8"/>
    <w:rsid w:val="5F693E09"/>
    <w:rsid w:val="5F6B824D"/>
    <w:rsid w:val="5F6C8690"/>
    <w:rsid w:val="5F728AB3"/>
    <w:rsid w:val="5F795B88"/>
    <w:rsid w:val="5F7E6344"/>
    <w:rsid w:val="5F82E9DA"/>
    <w:rsid w:val="5F853480"/>
    <w:rsid w:val="5F854520"/>
    <w:rsid w:val="5F891AC6"/>
    <w:rsid w:val="5F8D5BE0"/>
    <w:rsid w:val="5F8F08D6"/>
    <w:rsid w:val="5F96674D"/>
    <w:rsid w:val="5F9D9B88"/>
    <w:rsid w:val="5F9E2286"/>
    <w:rsid w:val="5F9F32C6"/>
    <w:rsid w:val="5F9FE3D6"/>
    <w:rsid w:val="5FA0CEE6"/>
    <w:rsid w:val="5FA50074"/>
    <w:rsid w:val="5FA5BE4B"/>
    <w:rsid w:val="5FA66B8F"/>
    <w:rsid w:val="5FA78EC5"/>
    <w:rsid w:val="5FB13A4F"/>
    <w:rsid w:val="5FB377F8"/>
    <w:rsid w:val="5FB46D22"/>
    <w:rsid w:val="5FB5B517"/>
    <w:rsid w:val="5FB638B3"/>
    <w:rsid w:val="5FB9EEF5"/>
    <w:rsid w:val="5FBAB574"/>
    <w:rsid w:val="5FBBA97F"/>
    <w:rsid w:val="5FBBD3E8"/>
    <w:rsid w:val="5FBCAEB3"/>
    <w:rsid w:val="5FBF1980"/>
    <w:rsid w:val="5FBF8635"/>
    <w:rsid w:val="5FC1F3F7"/>
    <w:rsid w:val="5FC20181"/>
    <w:rsid w:val="5FC96243"/>
    <w:rsid w:val="5FCB98F1"/>
    <w:rsid w:val="5FD68FB8"/>
    <w:rsid w:val="5FD6AFC4"/>
    <w:rsid w:val="5FD80732"/>
    <w:rsid w:val="5FDB5BD0"/>
    <w:rsid w:val="5FDFB9C9"/>
    <w:rsid w:val="5FE52899"/>
    <w:rsid w:val="5FE80BA7"/>
    <w:rsid w:val="5FEE37A9"/>
    <w:rsid w:val="5FEFA08E"/>
    <w:rsid w:val="5FF04DAF"/>
    <w:rsid w:val="5FF3FD5E"/>
    <w:rsid w:val="5FFE465F"/>
    <w:rsid w:val="5FFEDBEB"/>
    <w:rsid w:val="6000DAA9"/>
    <w:rsid w:val="6001C9D4"/>
    <w:rsid w:val="6001F522"/>
    <w:rsid w:val="600DBCC4"/>
    <w:rsid w:val="60104432"/>
    <w:rsid w:val="60126077"/>
    <w:rsid w:val="6019808F"/>
    <w:rsid w:val="6019B6C2"/>
    <w:rsid w:val="601EED79"/>
    <w:rsid w:val="601F9CDB"/>
    <w:rsid w:val="602445E2"/>
    <w:rsid w:val="6024A3B6"/>
    <w:rsid w:val="6027DEBE"/>
    <w:rsid w:val="6029A456"/>
    <w:rsid w:val="602B5B83"/>
    <w:rsid w:val="602B6683"/>
    <w:rsid w:val="602C6CAD"/>
    <w:rsid w:val="6030ADE1"/>
    <w:rsid w:val="60313DCA"/>
    <w:rsid w:val="6033B2DA"/>
    <w:rsid w:val="6038C978"/>
    <w:rsid w:val="603A854F"/>
    <w:rsid w:val="60441E3D"/>
    <w:rsid w:val="6047EA7C"/>
    <w:rsid w:val="604BCAEF"/>
    <w:rsid w:val="6052D3EC"/>
    <w:rsid w:val="60545756"/>
    <w:rsid w:val="60545F2C"/>
    <w:rsid w:val="605AA923"/>
    <w:rsid w:val="605ABA80"/>
    <w:rsid w:val="6062C031"/>
    <w:rsid w:val="6067B727"/>
    <w:rsid w:val="606A1F0A"/>
    <w:rsid w:val="606D0DE2"/>
    <w:rsid w:val="606E148D"/>
    <w:rsid w:val="606EF424"/>
    <w:rsid w:val="6070AFBD"/>
    <w:rsid w:val="6078A2BA"/>
    <w:rsid w:val="607AD19D"/>
    <w:rsid w:val="607DEC51"/>
    <w:rsid w:val="607EAEB3"/>
    <w:rsid w:val="6081B0A5"/>
    <w:rsid w:val="60845ADB"/>
    <w:rsid w:val="608514B0"/>
    <w:rsid w:val="6089D216"/>
    <w:rsid w:val="608BC08D"/>
    <w:rsid w:val="608ECD84"/>
    <w:rsid w:val="608FA97B"/>
    <w:rsid w:val="60968BD0"/>
    <w:rsid w:val="609B9AA6"/>
    <w:rsid w:val="609D416E"/>
    <w:rsid w:val="609D43F7"/>
    <w:rsid w:val="60A21B45"/>
    <w:rsid w:val="60A51753"/>
    <w:rsid w:val="60A58ECB"/>
    <w:rsid w:val="60A86E77"/>
    <w:rsid w:val="60AA1687"/>
    <w:rsid w:val="60AD71B1"/>
    <w:rsid w:val="60B0299F"/>
    <w:rsid w:val="60B077B9"/>
    <w:rsid w:val="60B5ED44"/>
    <w:rsid w:val="60B74618"/>
    <w:rsid w:val="60BA8EEF"/>
    <w:rsid w:val="60BB803B"/>
    <w:rsid w:val="60BD3398"/>
    <w:rsid w:val="60BF825E"/>
    <w:rsid w:val="60C08848"/>
    <w:rsid w:val="60C19346"/>
    <w:rsid w:val="60C3F9DA"/>
    <w:rsid w:val="60C83021"/>
    <w:rsid w:val="60D45057"/>
    <w:rsid w:val="60D4F7DA"/>
    <w:rsid w:val="60D851DD"/>
    <w:rsid w:val="60D9019A"/>
    <w:rsid w:val="60DF83AC"/>
    <w:rsid w:val="60E0B158"/>
    <w:rsid w:val="60E0EE06"/>
    <w:rsid w:val="60E129E0"/>
    <w:rsid w:val="60E84AB4"/>
    <w:rsid w:val="60E9B597"/>
    <w:rsid w:val="60E9DEAE"/>
    <w:rsid w:val="60EBC322"/>
    <w:rsid w:val="60F8F777"/>
    <w:rsid w:val="60FBFB2A"/>
    <w:rsid w:val="60FC4526"/>
    <w:rsid w:val="60FE0B2D"/>
    <w:rsid w:val="61056675"/>
    <w:rsid w:val="610E3ECC"/>
    <w:rsid w:val="610F16C2"/>
    <w:rsid w:val="6110F38C"/>
    <w:rsid w:val="61162D5C"/>
    <w:rsid w:val="6118CF1F"/>
    <w:rsid w:val="611D9316"/>
    <w:rsid w:val="612049D1"/>
    <w:rsid w:val="612064FA"/>
    <w:rsid w:val="612366E7"/>
    <w:rsid w:val="6126A022"/>
    <w:rsid w:val="612C9133"/>
    <w:rsid w:val="6130EA2E"/>
    <w:rsid w:val="6132B0BB"/>
    <w:rsid w:val="613411CD"/>
    <w:rsid w:val="613E0C88"/>
    <w:rsid w:val="613E3F3B"/>
    <w:rsid w:val="61423775"/>
    <w:rsid w:val="61508BA9"/>
    <w:rsid w:val="61525D5D"/>
    <w:rsid w:val="61540FF5"/>
    <w:rsid w:val="61563F43"/>
    <w:rsid w:val="6156FCB8"/>
    <w:rsid w:val="615B9663"/>
    <w:rsid w:val="6161995B"/>
    <w:rsid w:val="616AAD32"/>
    <w:rsid w:val="616ABC74"/>
    <w:rsid w:val="616E512D"/>
    <w:rsid w:val="61713FC8"/>
    <w:rsid w:val="61740F38"/>
    <w:rsid w:val="61832A3C"/>
    <w:rsid w:val="618F4449"/>
    <w:rsid w:val="6190F1CB"/>
    <w:rsid w:val="6191BFE7"/>
    <w:rsid w:val="6197023E"/>
    <w:rsid w:val="619B1EEE"/>
    <w:rsid w:val="619B7E45"/>
    <w:rsid w:val="61A07C09"/>
    <w:rsid w:val="61A250D7"/>
    <w:rsid w:val="61A710AC"/>
    <w:rsid w:val="61A96268"/>
    <w:rsid w:val="61AB4B58"/>
    <w:rsid w:val="61B67C8C"/>
    <w:rsid w:val="61BCC85E"/>
    <w:rsid w:val="61C27B9C"/>
    <w:rsid w:val="61C2BCF6"/>
    <w:rsid w:val="61C63F95"/>
    <w:rsid w:val="61C8E2B0"/>
    <w:rsid w:val="61CB8C01"/>
    <w:rsid w:val="61CBE457"/>
    <w:rsid w:val="61CD8357"/>
    <w:rsid w:val="61CDCBF3"/>
    <w:rsid w:val="61D39F98"/>
    <w:rsid w:val="61D84EC8"/>
    <w:rsid w:val="61DADAA5"/>
    <w:rsid w:val="61DCC4CB"/>
    <w:rsid w:val="61DFECBB"/>
    <w:rsid w:val="61E7EF27"/>
    <w:rsid w:val="61E9234A"/>
    <w:rsid w:val="61EA25CA"/>
    <w:rsid w:val="61EE88A1"/>
    <w:rsid w:val="61F04325"/>
    <w:rsid w:val="61F2CD5D"/>
    <w:rsid w:val="61FA1640"/>
    <w:rsid w:val="61FC3A13"/>
    <w:rsid w:val="62015598"/>
    <w:rsid w:val="6204CC8C"/>
    <w:rsid w:val="6204F40F"/>
    <w:rsid w:val="62057BD9"/>
    <w:rsid w:val="6205AB00"/>
    <w:rsid w:val="6209A034"/>
    <w:rsid w:val="620DDC08"/>
    <w:rsid w:val="620E6806"/>
    <w:rsid w:val="620F8F07"/>
    <w:rsid w:val="62134551"/>
    <w:rsid w:val="621378F6"/>
    <w:rsid w:val="621BAD5F"/>
    <w:rsid w:val="621CB285"/>
    <w:rsid w:val="6225EDEB"/>
    <w:rsid w:val="622BA766"/>
    <w:rsid w:val="622BD57A"/>
    <w:rsid w:val="622FD9B5"/>
    <w:rsid w:val="6231A35D"/>
    <w:rsid w:val="623346F3"/>
    <w:rsid w:val="6237D0A0"/>
    <w:rsid w:val="623999EC"/>
    <w:rsid w:val="623A36A3"/>
    <w:rsid w:val="62414EB8"/>
    <w:rsid w:val="62436814"/>
    <w:rsid w:val="624868D8"/>
    <w:rsid w:val="624C2D6F"/>
    <w:rsid w:val="62512F90"/>
    <w:rsid w:val="6255F025"/>
    <w:rsid w:val="6259EF5E"/>
    <w:rsid w:val="625A0B40"/>
    <w:rsid w:val="626EE28D"/>
    <w:rsid w:val="62716E99"/>
    <w:rsid w:val="6274BC1B"/>
    <w:rsid w:val="62796A6C"/>
    <w:rsid w:val="627C0ED0"/>
    <w:rsid w:val="627F9B3F"/>
    <w:rsid w:val="6280F79D"/>
    <w:rsid w:val="628599A8"/>
    <w:rsid w:val="62861F52"/>
    <w:rsid w:val="62863231"/>
    <w:rsid w:val="6286D799"/>
    <w:rsid w:val="6288865D"/>
    <w:rsid w:val="62896F91"/>
    <w:rsid w:val="628B91E2"/>
    <w:rsid w:val="628D0D78"/>
    <w:rsid w:val="629313EC"/>
    <w:rsid w:val="6295128E"/>
    <w:rsid w:val="62962D7B"/>
    <w:rsid w:val="629C1049"/>
    <w:rsid w:val="629C426E"/>
    <w:rsid w:val="629DDEE7"/>
    <w:rsid w:val="62A23395"/>
    <w:rsid w:val="62A47FB4"/>
    <w:rsid w:val="62A4EC02"/>
    <w:rsid w:val="62A54DA9"/>
    <w:rsid w:val="62A70BE4"/>
    <w:rsid w:val="62AA96A3"/>
    <w:rsid w:val="62AD14BC"/>
    <w:rsid w:val="62AF9A0F"/>
    <w:rsid w:val="62B39075"/>
    <w:rsid w:val="62B4DD1D"/>
    <w:rsid w:val="62BA28E2"/>
    <w:rsid w:val="62BAD2A1"/>
    <w:rsid w:val="62BC25F6"/>
    <w:rsid w:val="62BEDDF6"/>
    <w:rsid w:val="62C43E63"/>
    <w:rsid w:val="62C6CE0C"/>
    <w:rsid w:val="62CBD883"/>
    <w:rsid w:val="62D0247B"/>
    <w:rsid w:val="62D05598"/>
    <w:rsid w:val="62D4DDB6"/>
    <w:rsid w:val="62D5A578"/>
    <w:rsid w:val="62D84C03"/>
    <w:rsid w:val="62DE9917"/>
    <w:rsid w:val="62DEEEE3"/>
    <w:rsid w:val="62EB5AA8"/>
    <w:rsid w:val="62EF24B0"/>
    <w:rsid w:val="62EFFC6C"/>
    <w:rsid w:val="62F1BA97"/>
    <w:rsid w:val="62F73CFA"/>
    <w:rsid w:val="62FA0CDB"/>
    <w:rsid w:val="6307E6D4"/>
    <w:rsid w:val="630BB8B3"/>
    <w:rsid w:val="630F9246"/>
    <w:rsid w:val="631A75F6"/>
    <w:rsid w:val="631AD006"/>
    <w:rsid w:val="631CD1FC"/>
    <w:rsid w:val="631F3904"/>
    <w:rsid w:val="6320E741"/>
    <w:rsid w:val="63246F42"/>
    <w:rsid w:val="6326A00A"/>
    <w:rsid w:val="6326FF53"/>
    <w:rsid w:val="63275C18"/>
    <w:rsid w:val="6329795B"/>
    <w:rsid w:val="6329D943"/>
    <w:rsid w:val="632ECEAA"/>
    <w:rsid w:val="63399AC1"/>
    <w:rsid w:val="6339EA7B"/>
    <w:rsid w:val="633BFDB7"/>
    <w:rsid w:val="633DF3CE"/>
    <w:rsid w:val="6343FA8E"/>
    <w:rsid w:val="63463921"/>
    <w:rsid w:val="63471D01"/>
    <w:rsid w:val="63485D4A"/>
    <w:rsid w:val="634A4E28"/>
    <w:rsid w:val="634C99F0"/>
    <w:rsid w:val="634EB052"/>
    <w:rsid w:val="635BD3A6"/>
    <w:rsid w:val="635CB3FF"/>
    <w:rsid w:val="635D538D"/>
    <w:rsid w:val="63600875"/>
    <w:rsid w:val="63688249"/>
    <w:rsid w:val="636EC4F3"/>
    <w:rsid w:val="636FB4BA"/>
    <w:rsid w:val="63705FEB"/>
    <w:rsid w:val="63743418"/>
    <w:rsid w:val="637C595C"/>
    <w:rsid w:val="637C9304"/>
    <w:rsid w:val="6382A9A7"/>
    <w:rsid w:val="6385A087"/>
    <w:rsid w:val="63890F69"/>
    <w:rsid w:val="638CC6DD"/>
    <w:rsid w:val="638E568A"/>
    <w:rsid w:val="63902999"/>
    <w:rsid w:val="639C53FB"/>
    <w:rsid w:val="639E243D"/>
    <w:rsid w:val="639E9A41"/>
    <w:rsid w:val="63A16379"/>
    <w:rsid w:val="63A2A631"/>
    <w:rsid w:val="63A5AD42"/>
    <w:rsid w:val="63A64000"/>
    <w:rsid w:val="63A72BB0"/>
    <w:rsid w:val="63AB1975"/>
    <w:rsid w:val="63AC3267"/>
    <w:rsid w:val="63B0ACAE"/>
    <w:rsid w:val="63B3B46C"/>
    <w:rsid w:val="63B8C8B2"/>
    <w:rsid w:val="63BA548B"/>
    <w:rsid w:val="63BBEEF3"/>
    <w:rsid w:val="63BF2587"/>
    <w:rsid w:val="63BFEE80"/>
    <w:rsid w:val="63C08896"/>
    <w:rsid w:val="63C3AA9A"/>
    <w:rsid w:val="63C5AF65"/>
    <w:rsid w:val="63CD3BB8"/>
    <w:rsid w:val="63CE90F0"/>
    <w:rsid w:val="63D13254"/>
    <w:rsid w:val="63D3B0C9"/>
    <w:rsid w:val="63D3CDE4"/>
    <w:rsid w:val="63D960CA"/>
    <w:rsid w:val="63DAF9DB"/>
    <w:rsid w:val="63EA560E"/>
    <w:rsid w:val="63F0BFFF"/>
    <w:rsid w:val="63F1439B"/>
    <w:rsid w:val="63F49E05"/>
    <w:rsid w:val="63F687CA"/>
    <w:rsid w:val="63F6B714"/>
    <w:rsid w:val="63F81A31"/>
    <w:rsid w:val="63F879EF"/>
    <w:rsid w:val="63FD27B8"/>
    <w:rsid w:val="6402AB20"/>
    <w:rsid w:val="64090307"/>
    <w:rsid w:val="640F2423"/>
    <w:rsid w:val="640FF292"/>
    <w:rsid w:val="6410CFEE"/>
    <w:rsid w:val="641426F0"/>
    <w:rsid w:val="6414CDB4"/>
    <w:rsid w:val="64152110"/>
    <w:rsid w:val="64190CA9"/>
    <w:rsid w:val="641A27F9"/>
    <w:rsid w:val="641B46D3"/>
    <w:rsid w:val="642B1A1C"/>
    <w:rsid w:val="642CCADD"/>
    <w:rsid w:val="642ED7CA"/>
    <w:rsid w:val="6432FDE5"/>
    <w:rsid w:val="64352599"/>
    <w:rsid w:val="6435A8C2"/>
    <w:rsid w:val="64380E37"/>
    <w:rsid w:val="643FECE2"/>
    <w:rsid w:val="644344D9"/>
    <w:rsid w:val="644494CF"/>
    <w:rsid w:val="64449A77"/>
    <w:rsid w:val="644529BB"/>
    <w:rsid w:val="64464872"/>
    <w:rsid w:val="64467163"/>
    <w:rsid w:val="6446E71D"/>
    <w:rsid w:val="644BC657"/>
    <w:rsid w:val="644DC0BC"/>
    <w:rsid w:val="6450BD3D"/>
    <w:rsid w:val="645AB25A"/>
    <w:rsid w:val="645ABCD2"/>
    <w:rsid w:val="645B6C1D"/>
    <w:rsid w:val="645E5AFD"/>
    <w:rsid w:val="645F4BF4"/>
    <w:rsid w:val="6469ABD3"/>
    <w:rsid w:val="646BBD19"/>
    <w:rsid w:val="646C01F1"/>
    <w:rsid w:val="646CEBDF"/>
    <w:rsid w:val="646E531A"/>
    <w:rsid w:val="6471471F"/>
    <w:rsid w:val="6473ED86"/>
    <w:rsid w:val="64775186"/>
    <w:rsid w:val="647821B1"/>
    <w:rsid w:val="64791941"/>
    <w:rsid w:val="647BB9EA"/>
    <w:rsid w:val="647C4FB3"/>
    <w:rsid w:val="6489A593"/>
    <w:rsid w:val="648CAFF5"/>
    <w:rsid w:val="64914E60"/>
    <w:rsid w:val="649158F6"/>
    <w:rsid w:val="64934057"/>
    <w:rsid w:val="64956021"/>
    <w:rsid w:val="649A0AE8"/>
    <w:rsid w:val="649B31BF"/>
    <w:rsid w:val="649FF396"/>
    <w:rsid w:val="64A00607"/>
    <w:rsid w:val="64A15E23"/>
    <w:rsid w:val="64A2B9EA"/>
    <w:rsid w:val="64A49670"/>
    <w:rsid w:val="64A78E7D"/>
    <w:rsid w:val="64B2DAA9"/>
    <w:rsid w:val="64B6AB30"/>
    <w:rsid w:val="64B716AA"/>
    <w:rsid w:val="64B94F23"/>
    <w:rsid w:val="64BF200E"/>
    <w:rsid w:val="64BF9C3F"/>
    <w:rsid w:val="64C10F95"/>
    <w:rsid w:val="64C2E70D"/>
    <w:rsid w:val="64C7A333"/>
    <w:rsid w:val="64C80E50"/>
    <w:rsid w:val="64CAAAB8"/>
    <w:rsid w:val="64CB0BD1"/>
    <w:rsid w:val="64CBB200"/>
    <w:rsid w:val="64CDDA47"/>
    <w:rsid w:val="64D13864"/>
    <w:rsid w:val="64D73A7F"/>
    <w:rsid w:val="64D8DB1D"/>
    <w:rsid w:val="64D9715E"/>
    <w:rsid w:val="64DD60CE"/>
    <w:rsid w:val="64DFE166"/>
    <w:rsid w:val="64E290A5"/>
    <w:rsid w:val="64E702EC"/>
    <w:rsid w:val="64EDCAEE"/>
    <w:rsid w:val="64EF49DC"/>
    <w:rsid w:val="64F1439E"/>
    <w:rsid w:val="64F2CC2B"/>
    <w:rsid w:val="64F39502"/>
    <w:rsid w:val="64F3CBC6"/>
    <w:rsid w:val="64F64836"/>
    <w:rsid w:val="64F65CA7"/>
    <w:rsid w:val="64F67A5A"/>
    <w:rsid w:val="64F6CFFA"/>
    <w:rsid w:val="64FE6A04"/>
    <w:rsid w:val="64FE6DC0"/>
    <w:rsid w:val="6501A48D"/>
    <w:rsid w:val="6502F413"/>
    <w:rsid w:val="6506E7A4"/>
    <w:rsid w:val="6507E1EC"/>
    <w:rsid w:val="6509CFE1"/>
    <w:rsid w:val="6509F970"/>
    <w:rsid w:val="650CB5EB"/>
    <w:rsid w:val="650D14C8"/>
    <w:rsid w:val="650E5444"/>
    <w:rsid w:val="650EAB0E"/>
    <w:rsid w:val="6510F6E1"/>
    <w:rsid w:val="6511EB4B"/>
    <w:rsid w:val="6514E6E0"/>
    <w:rsid w:val="651D3597"/>
    <w:rsid w:val="652021B9"/>
    <w:rsid w:val="6524DD44"/>
    <w:rsid w:val="65290496"/>
    <w:rsid w:val="652CC9CE"/>
    <w:rsid w:val="652D12EF"/>
    <w:rsid w:val="653027B5"/>
    <w:rsid w:val="65383491"/>
    <w:rsid w:val="653C2C8D"/>
    <w:rsid w:val="653ECD29"/>
    <w:rsid w:val="654529F9"/>
    <w:rsid w:val="6549849B"/>
    <w:rsid w:val="654A8900"/>
    <w:rsid w:val="654E37BA"/>
    <w:rsid w:val="6557FDF7"/>
    <w:rsid w:val="655CDDF5"/>
    <w:rsid w:val="65600007"/>
    <w:rsid w:val="6560253B"/>
    <w:rsid w:val="6560C423"/>
    <w:rsid w:val="6564AD9C"/>
    <w:rsid w:val="65687D09"/>
    <w:rsid w:val="65747900"/>
    <w:rsid w:val="6576DFD7"/>
    <w:rsid w:val="6578F160"/>
    <w:rsid w:val="65795B36"/>
    <w:rsid w:val="657B2CA9"/>
    <w:rsid w:val="657D1833"/>
    <w:rsid w:val="657F56C6"/>
    <w:rsid w:val="65835846"/>
    <w:rsid w:val="65841900"/>
    <w:rsid w:val="6586C3FD"/>
    <w:rsid w:val="6586E531"/>
    <w:rsid w:val="658819FF"/>
    <w:rsid w:val="658C07FE"/>
    <w:rsid w:val="658D1408"/>
    <w:rsid w:val="658E5BA9"/>
    <w:rsid w:val="6592F191"/>
    <w:rsid w:val="659454D8"/>
    <w:rsid w:val="6594981B"/>
    <w:rsid w:val="6596995B"/>
    <w:rsid w:val="65998E10"/>
    <w:rsid w:val="65A06964"/>
    <w:rsid w:val="65A2BBE6"/>
    <w:rsid w:val="65A9CEBA"/>
    <w:rsid w:val="65B5C846"/>
    <w:rsid w:val="65B7F025"/>
    <w:rsid w:val="65BB96ED"/>
    <w:rsid w:val="65BE9818"/>
    <w:rsid w:val="65C0A957"/>
    <w:rsid w:val="65D17297"/>
    <w:rsid w:val="65D290CB"/>
    <w:rsid w:val="65D3E553"/>
    <w:rsid w:val="65D5E841"/>
    <w:rsid w:val="65D9560D"/>
    <w:rsid w:val="65D958FA"/>
    <w:rsid w:val="65DAA79E"/>
    <w:rsid w:val="65DDDA48"/>
    <w:rsid w:val="65E23FA6"/>
    <w:rsid w:val="65E529E0"/>
    <w:rsid w:val="65EC82E7"/>
    <w:rsid w:val="65F353CD"/>
    <w:rsid w:val="65F57545"/>
    <w:rsid w:val="65F77A97"/>
    <w:rsid w:val="65F7EF77"/>
    <w:rsid w:val="65FBB69E"/>
    <w:rsid w:val="6601A62B"/>
    <w:rsid w:val="6601AFDF"/>
    <w:rsid w:val="66044782"/>
    <w:rsid w:val="660731A9"/>
    <w:rsid w:val="660878D3"/>
    <w:rsid w:val="660BF1CD"/>
    <w:rsid w:val="660D402C"/>
    <w:rsid w:val="660D8E01"/>
    <w:rsid w:val="660FEF8F"/>
    <w:rsid w:val="66166315"/>
    <w:rsid w:val="6616C361"/>
    <w:rsid w:val="661740FD"/>
    <w:rsid w:val="66230E0C"/>
    <w:rsid w:val="66239BF9"/>
    <w:rsid w:val="6623ECB4"/>
    <w:rsid w:val="6623F0D7"/>
    <w:rsid w:val="6629818C"/>
    <w:rsid w:val="66298ADE"/>
    <w:rsid w:val="66313024"/>
    <w:rsid w:val="66346559"/>
    <w:rsid w:val="66387C4D"/>
    <w:rsid w:val="663A1BBD"/>
    <w:rsid w:val="663E3C95"/>
    <w:rsid w:val="664056C7"/>
    <w:rsid w:val="66426EF2"/>
    <w:rsid w:val="6644A806"/>
    <w:rsid w:val="6653E272"/>
    <w:rsid w:val="665D9EA7"/>
    <w:rsid w:val="6660DC2A"/>
    <w:rsid w:val="66667F77"/>
    <w:rsid w:val="6669DA24"/>
    <w:rsid w:val="667118D7"/>
    <w:rsid w:val="6671ABF6"/>
    <w:rsid w:val="6672672D"/>
    <w:rsid w:val="66744BB8"/>
    <w:rsid w:val="66745865"/>
    <w:rsid w:val="667855E8"/>
    <w:rsid w:val="6679ED43"/>
    <w:rsid w:val="667B4403"/>
    <w:rsid w:val="667D216E"/>
    <w:rsid w:val="667FBE26"/>
    <w:rsid w:val="668729EC"/>
    <w:rsid w:val="6687B28B"/>
    <w:rsid w:val="668C3706"/>
    <w:rsid w:val="668F181E"/>
    <w:rsid w:val="6693CDFD"/>
    <w:rsid w:val="6699CA74"/>
    <w:rsid w:val="669B2FAA"/>
    <w:rsid w:val="669EAA20"/>
    <w:rsid w:val="66A38CC4"/>
    <w:rsid w:val="66A7239B"/>
    <w:rsid w:val="66AA69B3"/>
    <w:rsid w:val="66AAC454"/>
    <w:rsid w:val="66AE0787"/>
    <w:rsid w:val="66B42597"/>
    <w:rsid w:val="66B5A934"/>
    <w:rsid w:val="66BB47FE"/>
    <w:rsid w:val="66BB5468"/>
    <w:rsid w:val="66BC6F1C"/>
    <w:rsid w:val="66BCE4CE"/>
    <w:rsid w:val="66C4FBAF"/>
    <w:rsid w:val="66C65BD2"/>
    <w:rsid w:val="66CAA6BF"/>
    <w:rsid w:val="66D5A064"/>
    <w:rsid w:val="66D798F5"/>
    <w:rsid w:val="66DC0E66"/>
    <w:rsid w:val="66DC1294"/>
    <w:rsid w:val="66DD837B"/>
    <w:rsid w:val="66DF85AC"/>
    <w:rsid w:val="66E065FC"/>
    <w:rsid w:val="66E4E6A4"/>
    <w:rsid w:val="66EB3223"/>
    <w:rsid w:val="66EEC707"/>
    <w:rsid w:val="66EFCBEE"/>
    <w:rsid w:val="66F03C25"/>
    <w:rsid w:val="66F53A06"/>
    <w:rsid w:val="6705CC91"/>
    <w:rsid w:val="670A6BC3"/>
    <w:rsid w:val="670C867A"/>
    <w:rsid w:val="6710BC48"/>
    <w:rsid w:val="671102F0"/>
    <w:rsid w:val="6715C37A"/>
    <w:rsid w:val="671AA97B"/>
    <w:rsid w:val="671B24E6"/>
    <w:rsid w:val="672440CB"/>
    <w:rsid w:val="6733DB83"/>
    <w:rsid w:val="6734136B"/>
    <w:rsid w:val="673465B5"/>
    <w:rsid w:val="673551C1"/>
    <w:rsid w:val="6739C488"/>
    <w:rsid w:val="673AC9FE"/>
    <w:rsid w:val="673BC2B6"/>
    <w:rsid w:val="673C1CAF"/>
    <w:rsid w:val="67434CA3"/>
    <w:rsid w:val="674988D2"/>
    <w:rsid w:val="674C3F7E"/>
    <w:rsid w:val="674DA1EA"/>
    <w:rsid w:val="6751C0C6"/>
    <w:rsid w:val="675599AC"/>
    <w:rsid w:val="6756F21E"/>
    <w:rsid w:val="675E79A8"/>
    <w:rsid w:val="675E8F87"/>
    <w:rsid w:val="676234F6"/>
    <w:rsid w:val="6762AEC3"/>
    <w:rsid w:val="67678046"/>
    <w:rsid w:val="676A8A15"/>
    <w:rsid w:val="676BACC4"/>
    <w:rsid w:val="676CD7E4"/>
    <w:rsid w:val="676EF26C"/>
    <w:rsid w:val="677364AF"/>
    <w:rsid w:val="6780970A"/>
    <w:rsid w:val="67827EE8"/>
    <w:rsid w:val="6783A3C8"/>
    <w:rsid w:val="678C2A09"/>
    <w:rsid w:val="678C394E"/>
    <w:rsid w:val="678F6591"/>
    <w:rsid w:val="6792EFA8"/>
    <w:rsid w:val="67A458CD"/>
    <w:rsid w:val="67A8A83A"/>
    <w:rsid w:val="67A8E808"/>
    <w:rsid w:val="67AD20B0"/>
    <w:rsid w:val="67AE0A44"/>
    <w:rsid w:val="67BBC386"/>
    <w:rsid w:val="67BCD428"/>
    <w:rsid w:val="67C7A0FE"/>
    <w:rsid w:val="67C89D32"/>
    <w:rsid w:val="67CDEED9"/>
    <w:rsid w:val="67D495EE"/>
    <w:rsid w:val="67D593C4"/>
    <w:rsid w:val="67DB0C0D"/>
    <w:rsid w:val="67DEB142"/>
    <w:rsid w:val="67E1DE13"/>
    <w:rsid w:val="67E2BF5E"/>
    <w:rsid w:val="67E328D9"/>
    <w:rsid w:val="67E5D662"/>
    <w:rsid w:val="67E78AB9"/>
    <w:rsid w:val="67E8D2C1"/>
    <w:rsid w:val="67ED7C46"/>
    <w:rsid w:val="67EFBB41"/>
    <w:rsid w:val="67F0DB1E"/>
    <w:rsid w:val="67F1A996"/>
    <w:rsid w:val="67F296F8"/>
    <w:rsid w:val="67F65BBD"/>
    <w:rsid w:val="67F915D6"/>
    <w:rsid w:val="67FE2434"/>
    <w:rsid w:val="68002D23"/>
    <w:rsid w:val="68069433"/>
    <w:rsid w:val="680859AB"/>
    <w:rsid w:val="68141164"/>
    <w:rsid w:val="6815D104"/>
    <w:rsid w:val="68199E63"/>
    <w:rsid w:val="681B688B"/>
    <w:rsid w:val="68225214"/>
    <w:rsid w:val="682362EF"/>
    <w:rsid w:val="68237E9D"/>
    <w:rsid w:val="6825A6F4"/>
    <w:rsid w:val="68260D92"/>
    <w:rsid w:val="682C3F8D"/>
    <w:rsid w:val="683383E5"/>
    <w:rsid w:val="68362231"/>
    <w:rsid w:val="6838ACC6"/>
    <w:rsid w:val="6839153A"/>
    <w:rsid w:val="683A9A30"/>
    <w:rsid w:val="683B8269"/>
    <w:rsid w:val="68435E8E"/>
    <w:rsid w:val="684915F5"/>
    <w:rsid w:val="684B16C2"/>
    <w:rsid w:val="684CEE66"/>
    <w:rsid w:val="684E3A06"/>
    <w:rsid w:val="684F6335"/>
    <w:rsid w:val="6854962A"/>
    <w:rsid w:val="68570AE5"/>
    <w:rsid w:val="685A88A8"/>
    <w:rsid w:val="685AA57D"/>
    <w:rsid w:val="685BDC21"/>
    <w:rsid w:val="685FC033"/>
    <w:rsid w:val="68609F93"/>
    <w:rsid w:val="6861F4F3"/>
    <w:rsid w:val="6864ED15"/>
    <w:rsid w:val="686709F1"/>
    <w:rsid w:val="6868D35F"/>
    <w:rsid w:val="686CD363"/>
    <w:rsid w:val="686DC063"/>
    <w:rsid w:val="6877E1D9"/>
    <w:rsid w:val="687AC9B0"/>
    <w:rsid w:val="687BC2A9"/>
    <w:rsid w:val="6884DD4B"/>
    <w:rsid w:val="6887698D"/>
    <w:rsid w:val="6889891A"/>
    <w:rsid w:val="6889BC36"/>
    <w:rsid w:val="6893596A"/>
    <w:rsid w:val="6895A818"/>
    <w:rsid w:val="689B923F"/>
    <w:rsid w:val="689FC14B"/>
    <w:rsid w:val="68A607BC"/>
    <w:rsid w:val="68AA2D86"/>
    <w:rsid w:val="68AA3C90"/>
    <w:rsid w:val="68AA59DA"/>
    <w:rsid w:val="68AAEAE9"/>
    <w:rsid w:val="68ABB2D8"/>
    <w:rsid w:val="68AC6838"/>
    <w:rsid w:val="68ACC9A4"/>
    <w:rsid w:val="68B2FC2C"/>
    <w:rsid w:val="68B93028"/>
    <w:rsid w:val="68B96603"/>
    <w:rsid w:val="68BA6F89"/>
    <w:rsid w:val="68C2A51B"/>
    <w:rsid w:val="68C35DAF"/>
    <w:rsid w:val="68C45E80"/>
    <w:rsid w:val="68C570C1"/>
    <w:rsid w:val="68C8EEFD"/>
    <w:rsid w:val="68CD3818"/>
    <w:rsid w:val="68CFA5BD"/>
    <w:rsid w:val="68D670A0"/>
    <w:rsid w:val="68DB4605"/>
    <w:rsid w:val="68DCE981"/>
    <w:rsid w:val="68DD78A0"/>
    <w:rsid w:val="68E506B8"/>
    <w:rsid w:val="68E64EC8"/>
    <w:rsid w:val="68E6D848"/>
    <w:rsid w:val="68E6EC23"/>
    <w:rsid w:val="68E8F670"/>
    <w:rsid w:val="68EA0F1A"/>
    <w:rsid w:val="68EAB4D6"/>
    <w:rsid w:val="68EB91E1"/>
    <w:rsid w:val="68EC405A"/>
    <w:rsid w:val="68EC8CE5"/>
    <w:rsid w:val="68ED3ECE"/>
    <w:rsid w:val="68F5B4FC"/>
    <w:rsid w:val="68FCA016"/>
    <w:rsid w:val="68FCCBEC"/>
    <w:rsid w:val="68FCF521"/>
    <w:rsid w:val="68FD0ECC"/>
    <w:rsid w:val="69003CA7"/>
    <w:rsid w:val="6905F1FF"/>
    <w:rsid w:val="69061D6D"/>
    <w:rsid w:val="69069D85"/>
    <w:rsid w:val="6909A2DF"/>
    <w:rsid w:val="690B0AAA"/>
    <w:rsid w:val="69146D1B"/>
    <w:rsid w:val="6915B283"/>
    <w:rsid w:val="69184FB4"/>
    <w:rsid w:val="691B924F"/>
    <w:rsid w:val="691ED94A"/>
    <w:rsid w:val="69214F2A"/>
    <w:rsid w:val="69258D0D"/>
    <w:rsid w:val="69288A80"/>
    <w:rsid w:val="692B6CCD"/>
    <w:rsid w:val="692F719C"/>
    <w:rsid w:val="693343F1"/>
    <w:rsid w:val="69348321"/>
    <w:rsid w:val="6934A4FC"/>
    <w:rsid w:val="693A8581"/>
    <w:rsid w:val="693FBE90"/>
    <w:rsid w:val="6943812E"/>
    <w:rsid w:val="69468FA4"/>
    <w:rsid w:val="69493C26"/>
    <w:rsid w:val="694D835A"/>
    <w:rsid w:val="694DCF8C"/>
    <w:rsid w:val="69520CA4"/>
    <w:rsid w:val="6958C19E"/>
    <w:rsid w:val="695D9835"/>
    <w:rsid w:val="69645C19"/>
    <w:rsid w:val="6968BC1C"/>
    <w:rsid w:val="6970B8B3"/>
    <w:rsid w:val="69756E2F"/>
    <w:rsid w:val="6976C259"/>
    <w:rsid w:val="697B55AE"/>
    <w:rsid w:val="697D1992"/>
    <w:rsid w:val="697D1B33"/>
    <w:rsid w:val="697DCAAA"/>
    <w:rsid w:val="697FF2F0"/>
    <w:rsid w:val="69820D18"/>
    <w:rsid w:val="69837194"/>
    <w:rsid w:val="6985FC5D"/>
    <w:rsid w:val="6987584C"/>
    <w:rsid w:val="6987C833"/>
    <w:rsid w:val="6987FD05"/>
    <w:rsid w:val="698B20E7"/>
    <w:rsid w:val="698E6CD8"/>
    <w:rsid w:val="6990A372"/>
    <w:rsid w:val="6994EF91"/>
    <w:rsid w:val="6995D5E0"/>
    <w:rsid w:val="69972113"/>
    <w:rsid w:val="6997CC37"/>
    <w:rsid w:val="699AF17C"/>
    <w:rsid w:val="699C4D67"/>
    <w:rsid w:val="69A64479"/>
    <w:rsid w:val="69A6DB4B"/>
    <w:rsid w:val="69A7415B"/>
    <w:rsid w:val="69A9C2C5"/>
    <w:rsid w:val="69AEF7AB"/>
    <w:rsid w:val="69B3EED2"/>
    <w:rsid w:val="69B73B82"/>
    <w:rsid w:val="69BCD8A5"/>
    <w:rsid w:val="69C2DA01"/>
    <w:rsid w:val="69C41473"/>
    <w:rsid w:val="69CABA3A"/>
    <w:rsid w:val="69CB08E4"/>
    <w:rsid w:val="69CB87CA"/>
    <w:rsid w:val="69D5435F"/>
    <w:rsid w:val="69D5B849"/>
    <w:rsid w:val="69DB0BF7"/>
    <w:rsid w:val="69DC9777"/>
    <w:rsid w:val="69DEADFD"/>
    <w:rsid w:val="69E07099"/>
    <w:rsid w:val="69E0E8BD"/>
    <w:rsid w:val="69E55056"/>
    <w:rsid w:val="69E8B157"/>
    <w:rsid w:val="69EEEA76"/>
    <w:rsid w:val="69EEED6A"/>
    <w:rsid w:val="69F2BE01"/>
    <w:rsid w:val="69F451CB"/>
    <w:rsid w:val="69F46713"/>
    <w:rsid w:val="69F63F02"/>
    <w:rsid w:val="69F71B4E"/>
    <w:rsid w:val="69FD7CA1"/>
    <w:rsid w:val="69FD8F54"/>
    <w:rsid w:val="69FDE2EF"/>
    <w:rsid w:val="6A0346C2"/>
    <w:rsid w:val="6A03888E"/>
    <w:rsid w:val="6A06AF87"/>
    <w:rsid w:val="6A07745F"/>
    <w:rsid w:val="6A07F91C"/>
    <w:rsid w:val="6A0CB233"/>
    <w:rsid w:val="6A0D1798"/>
    <w:rsid w:val="6A130CB9"/>
    <w:rsid w:val="6A170404"/>
    <w:rsid w:val="6A17B8DA"/>
    <w:rsid w:val="6A17E263"/>
    <w:rsid w:val="6A1B24C9"/>
    <w:rsid w:val="6A227DA3"/>
    <w:rsid w:val="6A2318FF"/>
    <w:rsid w:val="6A236EE2"/>
    <w:rsid w:val="6A322818"/>
    <w:rsid w:val="6A3269FF"/>
    <w:rsid w:val="6A35B74A"/>
    <w:rsid w:val="6A366197"/>
    <w:rsid w:val="6A3A8E7B"/>
    <w:rsid w:val="6A3FDFDF"/>
    <w:rsid w:val="6A401D45"/>
    <w:rsid w:val="6A40BBFB"/>
    <w:rsid w:val="6A40F094"/>
    <w:rsid w:val="6A4C7BDC"/>
    <w:rsid w:val="6A4DA7D5"/>
    <w:rsid w:val="6A4E55CC"/>
    <w:rsid w:val="6A54F594"/>
    <w:rsid w:val="6A562FE2"/>
    <w:rsid w:val="6A567024"/>
    <w:rsid w:val="6A5B39E5"/>
    <w:rsid w:val="6A5E93E1"/>
    <w:rsid w:val="6A63F656"/>
    <w:rsid w:val="6A66DF2A"/>
    <w:rsid w:val="6A679434"/>
    <w:rsid w:val="6A686F67"/>
    <w:rsid w:val="6A69626D"/>
    <w:rsid w:val="6A6BD66C"/>
    <w:rsid w:val="6A6C92A6"/>
    <w:rsid w:val="6A6EA038"/>
    <w:rsid w:val="6A739AD1"/>
    <w:rsid w:val="6A749AE5"/>
    <w:rsid w:val="6A7589D9"/>
    <w:rsid w:val="6A83C62E"/>
    <w:rsid w:val="6A848813"/>
    <w:rsid w:val="6A87E51F"/>
    <w:rsid w:val="6A8B9459"/>
    <w:rsid w:val="6A927851"/>
    <w:rsid w:val="6A92CAB3"/>
    <w:rsid w:val="6A92DF41"/>
    <w:rsid w:val="6A93FA06"/>
    <w:rsid w:val="6A988A59"/>
    <w:rsid w:val="6A99565E"/>
    <w:rsid w:val="6A9B8DD6"/>
    <w:rsid w:val="6A9BA021"/>
    <w:rsid w:val="6A9EFC66"/>
    <w:rsid w:val="6AA60B44"/>
    <w:rsid w:val="6AA6D2A3"/>
    <w:rsid w:val="6AACDF5E"/>
    <w:rsid w:val="6AACF006"/>
    <w:rsid w:val="6AAD5560"/>
    <w:rsid w:val="6AAF2C99"/>
    <w:rsid w:val="6AB17EF7"/>
    <w:rsid w:val="6AB3A5D4"/>
    <w:rsid w:val="6AB3D198"/>
    <w:rsid w:val="6AB4060F"/>
    <w:rsid w:val="6AB4D83C"/>
    <w:rsid w:val="6AB852C9"/>
    <w:rsid w:val="6ABDF5A5"/>
    <w:rsid w:val="6AD31ACF"/>
    <w:rsid w:val="6ADA2B1F"/>
    <w:rsid w:val="6ADC7114"/>
    <w:rsid w:val="6AE57AB8"/>
    <w:rsid w:val="6AE80B55"/>
    <w:rsid w:val="6AE85B76"/>
    <w:rsid w:val="6AEA1E1F"/>
    <w:rsid w:val="6AEB6041"/>
    <w:rsid w:val="6AEBF717"/>
    <w:rsid w:val="6AEC76F7"/>
    <w:rsid w:val="6AEDFFC2"/>
    <w:rsid w:val="6AF0159D"/>
    <w:rsid w:val="6AF0CD27"/>
    <w:rsid w:val="6AF48897"/>
    <w:rsid w:val="6AF56D24"/>
    <w:rsid w:val="6AF8A3B5"/>
    <w:rsid w:val="6AFB8185"/>
    <w:rsid w:val="6AFC1B04"/>
    <w:rsid w:val="6AFE4652"/>
    <w:rsid w:val="6B06CD0D"/>
    <w:rsid w:val="6B070BF2"/>
    <w:rsid w:val="6B096BBE"/>
    <w:rsid w:val="6B09BB7F"/>
    <w:rsid w:val="6B09C54C"/>
    <w:rsid w:val="6B0A831E"/>
    <w:rsid w:val="6B0DF216"/>
    <w:rsid w:val="6B0DF98D"/>
    <w:rsid w:val="6B1409FB"/>
    <w:rsid w:val="6B1519BD"/>
    <w:rsid w:val="6B151A79"/>
    <w:rsid w:val="6B1609B4"/>
    <w:rsid w:val="6B1A6D77"/>
    <w:rsid w:val="6B1BDB0A"/>
    <w:rsid w:val="6B1C2343"/>
    <w:rsid w:val="6B1DD941"/>
    <w:rsid w:val="6B1DFCCD"/>
    <w:rsid w:val="6B1F7626"/>
    <w:rsid w:val="6B2269F5"/>
    <w:rsid w:val="6B22B0C6"/>
    <w:rsid w:val="6B253CA6"/>
    <w:rsid w:val="6B27E00C"/>
    <w:rsid w:val="6B2A8A00"/>
    <w:rsid w:val="6B2D0C23"/>
    <w:rsid w:val="6B2D3BCA"/>
    <w:rsid w:val="6B2FBE6C"/>
    <w:rsid w:val="6B321AF9"/>
    <w:rsid w:val="6B3464EC"/>
    <w:rsid w:val="6B3AB5A1"/>
    <w:rsid w:val="6B3FA4B9"/>
    <w:rsid w:val="6B40E7A4"/>
    <w:rsid w:val="6B493265"/>
    <w:rsid w:val="6B4B2517"/>
    <w:rsid w:val="6B502E80"/>
    <w:rsid w:val="6B526581"/>
    <w:rsid w:val="6B57F000"/>
    <w:rsid w:val="6B583DDD"/>
    <w:rsid w:val="6B5DC6EE"/>
    <w:rsid w:val="6B5FAFE9"/>
    <w:rsid w:val="6B602CBF"/>
    <w:rsid w:val="6B63896E"/>
    <w:rsid w:val="6B6508CC"/>
    <w:rsid w:val="6B67862D"/>
    <w:rsid w:val="6B67FD3B"/>
    <w:rsid w:val="6B6FBBB2"/>
    <w:rsid w:val="6B706E07"/>
    <w:rsid w:val="6B7354F1"/>
    <w:rsid w:val="6B7598F9"/>
    <w:rsid w:val="6B7A65EB"/>
    <w:rsid w:val="6B7CCFB8"/>
    <w:rsid w:val="6B827142"/>
    <w:rsid w:val="6B849B6C"/>
    <w:rsid w:val="6B85267F"/>
    <w:rsid w:val="6B85FA89"/>
    <w:rsid w:val="6B874AA4"/>
    <w:rsid w:val="6B8B47C3"/>
    <w:rsid w:val="6B8C40F2"/>
    <w:rsid w:val="6B8C7D2B"/>
    <w:rsid w:val="6B8F0C21"/>
    <w:rsid w:val="6B8F4B3E"/>
    <w:rsid w:val="6B986DEC"/>
    <w:rsid w:val="6B98DEFF"/>
    <w:rsid w:val="6B9C588B"/>
    <w:rsid w:val="6BA20662"/>
    <w:rsid w:val="6BA5848D"/>
    <w:rsid w:val="6BA59356"/>
    <w:rsid w:val="6BADF3E2"/>
    <w:rsid w:val="6BB16CC6"/>
    <w:rsid w:val="6BB177D5"/>
    <w:rsid w:val="6BB56FA3"/>
    <w:rsid w:val="6BBA598C"/>
    <w:rsid w:val="6BBB172D"/>
    <w:rsid w:val="6BBBC9DE"/>
    <w:rsid w:val="6BBCEC1F"/>
    <w:rsid w:val="6BBE66CE"/>
    <w:rsid w:val="6BC22E29"/>
    <w:rsid w:val="6BC482B0"/>
    <w:rsid w:val="6BC64479"/>
    <w:rsid w:val="6BC83719"/>
    <w:rsid w:val="6BCA8BB9"/>
    <w:rsid w:val="6BCB2AAF"/>
    <w:rsid w:val="6BD2A104"/>
    <w:rsid w:val="6BD2CCD0"/>
    <w:rsid w:val="6BD461D7"/>
    <w:rsid w:val="6BD6F5A2"/>
    <w:rsid w:val="6BD7049D"/>
    <w:rsid w:val="6BD77155"/>
    <w:rsid w:val="6BE09A1C"/>
    <w:rsid w:val="6BE10513"/>
    <w:rsid w:val="6BE1619C"/>
    <w:rsid w:val="6BE24D28"/>
    <w:rsid w:val="6BE52282"/>
    <w:rsid w:val="6BE5ABD1"/>
    <w:rsid w:val="6BE8188E"/>
    <w:rsid w:val="6BE8AB9D"/>
    <w:rsid w:val="6BF380F3"/>
    <w:rsid w:val="6BF3A7F2"/>
    <w:rsid w:val="6BF6A18E"/>
    <w:rsid w:val="6BF8CEEF"/>
    <w:rsid w:val="6BFA7C92"/>
    <w:rsid w:val="6BFAF8EA"/>
    <w:rsid w:val="6C007252"/>
    <w:rsid w:val="6C03DACF"/>
    <w:rsid w:val="6C045BCA"/>
    <w:rsid w:val="6C056C1D"/>
    <w:rsid w:val="6C05FCD3"/>
    <w:rsid w:val="6C08ABAE"/>
    <w:rsid w:val="6C08BE99"/>
    <w:rsid w:val="6C0AC9FE"/>
    <w:rsid w:val="6C0B85BA"/>
    <w:rsid w:val="6C0E7A47"/>
    <w:rsid w:val="6C102FBC"/>
    <w:rsid w:val="6C15EB78"/>
    <w:rsid w:val="6C17A94B"/>
    <w:rsid w:val="6C1A4BBF"/>
    <w:rsid w:val="6C1B41FF"/>
    <w:rsid w:val="6C1C913A"/>
    <w:rsid w:val="6C1D1CCB"/>
    <w:rsid w:val="6C1E330D"/>
    <w:rsid w:val="6C232963"/>
    <w:rsid w:val="6C23870C"/>
    <w:rsid w:val="6C26C119"/>
    <w:rsid w:val="6C29E1A7"/>
    <w:rsid w:val="6C2D2B37"/>
    <w:rsid w:val="6C2F71CA"/>
    <w:rsid w:val="6C32499D"/>
    <w:rsid w:val="6C3389A2"/>
    <w:rsid w:val="6C35CD64"/>
    <w:rsid w:val="6C3757A4"/>
    <w:rsid w:val="6C39FAE5"/>
    <w:rsid w:val="6C3F1E27"/>
    <w:rsid w:val="6C3F2480"/>
    <w:rsid w:val="6C4020C6"/>
    <w:rsid w:val="6C4513D7"/>
    <w:rsid w:val="6C47077D"/>
    <w:rsid w:val="6C49F2B4"/>
    <w:rsid w:val="6C4A59A6"/>
    <w:rsid w:val="6C4AE7B5"/>
    <w:rsid w:val="6C50D694"/>
    <w:rsid w:val="6C53A2EE"/>
    <w:rsid w:val="6C53BA21"/>
    <w:rsid w:val="6C57608E"/>
    <w:rsid w:val="6C57B191"/>
    <w:rsid w:val="6C5A174C"/>
    <w:rsid w:val="6C5E39FA"/>
    <w:rsid w:val="6C5E907B"/>
    <w:rsid w:val="6C5ED83D"/>
    <w:rsid w:val="6C607290"/>
    <w:rsid w:val="6C60F107"/>
    <w:rsid w:val="6C6411C2"/>
    <w:rsid w:val="6C65100D"/>
    <w:rsid w:val="6C697C23"/>
    <w:rsid w:val="6C6B94D8"/>
    <w:rsid w:val="6C6D9F2E"/>
    <w:rsid w:val="6C6E1DAC"/>
    <w:rsid w:val="6C71D286"/>
    <w:rsid w:val="6C74223E"/>
    <w:rsid w:val="6C778D5D"/>
    <w:rsid w:val="6C7D06BC"/>
    <w:rsid w:val="6C7E1DDA"/>
    <w:rsid w:val="6C7EAEED"/>
    <w:rsid w:val="6C825668"/>
    <w:rsid w:val="6C863F16"/>
    <w:rsid w:val="6C88C0E9"/>
    <w:rsid w:val="6C88D323"/>
    <w:rsid w:val="6C8B9C6F"/>
    <w:rsid w:val="6C8E5711"/>
    <w:rsid w:val="6C977FC0"/>
    <w:rsid w:val="6CA0AC2D"/>
    <w:rsid w:val="6CA16E4A"/>
    <w:rsid w:val="6CA71E0B"/>
    <w:rsid w:val="6CA843A9"/>
    <w:rsid w:val="6CAD8092"/>
    <w:rsid w:val="6CADB231"/>
    <w:rsid w:val="6CC31F3B"/>
    <w:rsid w:val="6CC4F7C8"/>
    <w:rsid w:val="6CC52B89"/>
    <w:rsid w:val="6CC8FC29"/>
    <w:rsid w:val="6CD10683"/>
    <w:rsid w:val="6CD2C838"/>
    <w:rsid w:val="6CD7B56A"/>
    <w:rsid w:val="6CDAED89"/>
    <w:rsid w:val="6CE23FFF"/>
    <w:rsid w:val="6CE6563C"/>
    <w:rsid w:val="6CE6E105"/>
    <w:rsid w:val="6CEBA1CD"/>
    <w:rsid w:val="6CED6F66"/>
    <w:rsid w:val="6CF15675"/>
    <w:rsid w:val="6CF80F31"/>
    <w:rsid w:val="6D0103A4"/>
    <w:rsid w:val="6D01E29C"/>
    <w:rsid w:val="6D024A61"/>
    <w:rsid w:val="6D042D95"/>
    <w:rsid w:val="6D09B987"/>
    <w:rsid w:val="6D0C9E13"/>
    <w:rsid w:val="6D1362EB"/>
    <w:rsid w:val="6D155B71"/>
    <w:rsid w:val="6D16FB16"/>
    <w:rsid w:val="6D172CFC"/>
    <w:rsid w:val="6D174515"/>
    <w:rsid w:val="6D1796AC"/>
    <w:rsid w:val="6D186947"/>
    <w:rsid w:val="6D1EF1D1"/>
    <w:rsid w:val="6D1F9BA3"/>
    <w:rsid w:val="6D203895"/>
    <w:rsid w:val="6D22E9DC"/>
    <w:rsid w:val="6D24687E"/>
    <w:rsid w:val="6D2517C1"/>
    <w:rsid w:val="6D25E2EE"/>
    <w:rsid w:val="6D26A89F"/>
    <w:rsid w:val="6D26B872"/>
    <w:rsid w:val="6D26D384"/>
    <w:rsid w:val="6D270E7D"/>
    <w:rsid w:val="6D2CEC38"/>
    <w:rsid w:val="6D2DDAE8"/>
    <w:rsid w:val="6D2E06FC"/>
    <w:rsid w:val="6D343935"/>
    <w:rsid w:val="6D37CEF9"/>
    <w:rsid w:val="6D386602"/>
    <w:rsid w:val="6D3A67D0"/>
    <w:rsid w:val="6D3DBC52"/>
    <w:rsid w:val="6D3EA22E"/>
    <w:rsid w:val="6D405325"/>
    <w:rsid w:val="6D40994F"/>
    <w:rsid w:val="6D4497D7"/>
    <w:rsid w:val="6D44F8FA"/>
    <w:rsid w:val="6D454C5D"/>
    <w:rsid w:val="6D47E92A"/>
    <w:rsid w:val="6D4EF206"/>
    <w:rsid w:val="6D5004C6"/>
    <w:rsid w:val="6D512E83"/>
    <w:rsid w:val="6D5290B2"/>
    <w:rsid w:val="6D562612"/>
    <w:rsid w:val="6D584F89"/>
    <w:rsid w:val="6D5DC740"/>
    <w:rsid w:val="6D5EFFCC"/>
    <w:rsid w:val="6D6ACD73"/>
    <w:rsid w:val="6D6BB880"/>
    <w:rsid w:val="6D6CD9E4"/>
    <w:rsid w:val="6D760CC3"/>
    <w:rsid w:val="6D761AF4"/>
    <w:rsid w:val="6D79DD6A"/>
    <w:rsid w:val="6D7B6209"/>
    <w:rsid w:val="6D834825"/>
    <w:rsid w:val="6D8350B8"/>
    <w:rsid w:val="6D854C3C"/>
    <w:rsid w:val="6D8B637B"/>
    <w:rsid w:val="6D8DA9DD"/>
    <w:rsid w:val="6D8F8430"/>
    <w:rsid w:val="6D92C4EF"/>
    <w:rsid w:val="6D92F5D4"/>
    <w:rsid w:val="6D94C8D9"/>
    <w:rsid w:val="6D94CEF8"/>
    <w:rsid w:val="6D963F3F"/>
    <w:rsid w:val="6D9AC462"/>
    <w:rsid w:val="6D9AC751"/>
    <w:rsid w:val="6D9B07CB"/>
    <w:rsid w:val="6D9B6FE8"/>
    <w:rsid w:val="6D9C2751"/>
    <w:rsid w:val="6DA0EEE3"/>
    <w:rsid w:val="6DA1C441"/>
    <w:rsid w:val="6DA31FE6"/>
    <w:rsid w:val="6DA3D2BB"/>
    <w:rsid w:val="6DA55C6B"/>
    <w:rsid w:val="6DA7678B"/>
    <w:rsid w:val="6DB1C21A"/>
    <w:rsid w:val="6DB4DFCC"/>
    <w:rsid w:val="6DC29C3C"/>
    <w:rsid w:val="6DC62AE0"/>
    <w:rsid w:val="6DC71AD5"/>
    <w:rsid w:val="6DC98365"/>
    <w:rsid w:val="6DD18D06"/>
    <w:rsid w:val="6DD77CDA"/>
    <w:rsid w:val="6DDBA205"/>
    <w:rsid w:val="6DDBFA32"/>
    <w:rsid w:val="6DDFBA90"/>
    <w:rsid w:val="6DE1D2C3"/>
    <w:rsid w:val="6DE61B10"/>
    <w:rsid w:val="6DEA0215"/>
    <w:rsid w:val="6DEA8595"/>
    <w:rsid w:val="6DF14CB1"/>
    <w:rsid w:val="6DF27102"/>
    <w:rsid w:val="6DF2A19E"/>
    <w:rsid w:val="6DF3854A"/>
    <w:rsid w:val="6DF39872"/>
    <w:rsid w:val="6DF50829"/>
    <w:rsid w:val="6DF9AE5C"/>
    <w:rsid w:val="6DFB05B2"/>
    <w:rsid w:val="6DFB876F"/>
    <w:rsid w:val="6DFF17E7"/>
    <w:rsid w:val="6E02BC0C"/>
    <w:rsid w:val="6E056B1C"/>
    <w:rsid w:val="6E060ADA"/>
    <w:rsid w:val="6E0A16E1"/>
    <w:rsid w:val="6E0B59B1"/>
    <w:rsid w:val="6E10C512"/>
    <w:rsid w:val="6E14A255"/>
    <w:rsid w:val="6E150103"/>
    <w:rsid w:val="6E2167DD"/>
    <w:rsid w:val="6E29A9C7"/>
    <w:rsid w:val="6E2E86F0"/>
    <w:rsid w:val="6E3632F2"/>
    <w:rsid w:val="6E390AB6"/>
    <w:rsid w:val="6E404E35"/>
    <w:rsid w:val="6E46EEB5"/>
    <w:rsid w:val="6E47A6F0"/>
    <w:rsid w:val="6E481484"/>
    <w:rsid w:val="6E4A44D2"/>
    <w:rsid w:val="6E4B6144"/>
    <w:rsid w:val="6E4EFC32"/>
    <w:rsid w:val="6E4F10DA"/>
    <w:rsid w:val="6E521623"/>
    <w:rsid w:val="6E59169D"/>
    <w:rsid w:val="6E5B0EF7"/>
    <w:rsid w:val="6E5E4CCB"/>
    <w:rsid w:val="6E5E615C"/>
    <w:rsid w:val="6E5EE40C"/>
    <w:rsid w:val="6E652FF9"/>
    <w:rsid w:val="6E65A2AF"/>
    <w:rsid w:val="6E661E28"/>
    <w:rsid w:val="6E6ABDBF"/>
    <w:rsid w:val="6E6D072B"/>
    <w:rsid w:val="6E6F3392"/>
    <w:rsid w:val="6E701CBD"/>
    <w:rsid w:val="6E7376C9"/>
    <w:rsid w:val="6E817D38"/>
    <w:rsid w:val="6E828893"/>
    <w:rsid w:val="6E8654F0"/>
    <w:rsid w:val="6E86F191"/>
    <w:rsid w:val="6E8707B6"/>
    <w:rsid w:val="6E879DBE"/>
    <w:rsid w:val="6E8AB4DC"/>
    <w:rsid w:val="6E8AF807"/>
    <w:rsid w:val="6E8B0B1B"/>
    <w:rsid w:val="6E8CB67C"/>
    <w:rsid w:val="6E8DCC2A"/>
    <w:rsid w:val="6E91408B"/>
    <w:rsid w:val="6E9455D4"/>
    <w:rsid w:val="6E9567CC"/>
    <w:rsid w:val="6E974F3C"/>
    <w:rsid w:val="6E9A94D2"/>
    <w:rsid w:val="6E9CC0B0"/>
    <w:rsid w:val="6EA02781"/>
    <w:rsid w:val="6EA2861B"/>
    <w:rsid w:val="6EA9F397"/>
    <w:rsid w:val="6EB38E23"/>
    <w:rsid w:val="6EB4D42E"/>
    <w:rsid w:val="6EB56A9F"/>
    <w:rsid w:val="6EB95071"/>
    <w:rsid w:val="6EBCF3F2"/>
    <w:rsid w:val="6EBF72EA"/>
    <w:rsid w:val="6EC42FBB"/>
    <w:rsid w:val="6EC617F8"/>
    <w:rsid w:val="6ECB1B92"/>
    <w:rsid w:val="6ECEA441"/>
    <w:rsid w:val="6ED039D3"/>
    <w:rsid w:val="6ED2F68C"/>
    <w:rsid w:val="6ED4715B"/>
    <w:rsid w:val="6ED60498"/>
    <w:rsid w:val="6ED62003"/>
    <w:rsid w:val="6EE23680"/>
    <w:rsid w:val="6EE2ED9E"/>
    <w:rsid w:val="6EEA2514"/>
    <w:rsid w:val="6EECC278"/>
    <w:rsid w:val="6EEE96DB"/>
    <w:rsid w:val="6EF292F0"/>
    <w:rsid w:val="6EF5516A"/>
    <w:rsid w:val="6EF96ACE"/>
    <w:rsid w:val="6EFF6EE7"/>
    <w:rsid w:val="6F01143C"/>
    <w:rsid w:val="6F074FA6"/>
    <w:rsid w:val="6F07C12C"/>
    <w:rsid w:val="6F17F880"/>
    <w:rsid w:val="6F1CF545"/>
    <w:rsid w:val="6F1EE38F"/>
    <w:rsid w:val="6F1EE69C"/>
    <w:rsid w:val="6F1F7BF3"/>
    <w:rsid w:val="6F20A6AF"/>
    <w:rsid w:val="6F26B43C"/>
    <w:rsid w:val="6F27AE67"/>
    <w:rsid w:val="6F2BD266"/>
    <w:rsid w:val="6F2C8271"/>
    <w:rsid w:val="6F31BCCC"/>
    <w:rsid w:val="6F32D146"/>
    <w:rsid w:val="6F338EA1"/>
    <w:rsid w:val="6F36A061"/>
    <w:rsid w:val="6F3A72D4"/>
    <w:rsid w:val="6F40674E"/>
    <w:rsid w:val="6F412A17"/>
    <w:rsid w:val="6F495170"/>
    <w:rsid w:val="6F50B5D5"/>
    <w:rsid w:val="6F51E3E2"/>
    <w:rsid w:val="6F5574A3"/>
    <w:rsid w:val="6F563E2D"/>
    <w:rsid w:val="6F5A2B6A"/>
    <w:rsid w:val="6F5A2C45"/>
    <w:rsid w:val="6F5AAD82"/>
    <w:rsid w:val="6F68ADD9"/>
    <w:rsid w:val="6F6A2351"/>
    <w:rsid w:val="6F6C7978"/>
    <w:rsid w:val="6F6DAB7A"/>
    <w:rsid w:val="6F70C3C4"/>
    <w:rsid w:val="6F752CA2"/>
    <w:rsid w:val="6F76D0C9"/>
    <w:rsid w:val="6F77CA32"/>
    <w:rsid w:val="6F7E0791"/>
    <w:rsid w:val="6F7FF26E"/>
    <w:rsid w:val="6F800BDF"/>
    <w:rsid w:val="6F80FA5A"/>
    <w:rsid w:val="6F82E446"/>
    <w:rsid w:val="6F855D30"/>
    <w:rsid w:val="6F8C47C0"/>
    <w:rsid w:val="6F96525C"/>
    <w:rsid w:val="6F973DBD"/>
    <w:rsid w:val="6F98B81C"/>
    <w:rsid w:val="6F9A795F"/>
    <w:rsid w:val="6F9FCBB3"/>
    <w:rsid w:val="6FA04059"/>
    <w:rsid w:val="6FA37175"/>
    <w:rsid w:val="6FAC4846"/>
    <w:rsid w:val="6FB07D56"/>
    <w:rsid w:val="6FB20B88"/>
    <w:rsid w:val="6FB37C70"/>
    <w:rsid w:val="6FB8068D"/>
    <w:rsid w:val="6FB84305"/>
    <w:rsid w:val="6FB922E2"/>
    <w:rsid w:val="6FC18DE2"/>
    <w:rsid w:val="6FC23776"/>
    <w:rsid w:val="6FC6E6C8"/>
    <w:rsid w:val="6FD47BEF"/>
    <w:rsid w:val="6FD7D012"/>
    <w:rsid w:val="6FD85F8A"/>
    <w:rsid w:val="6FDD179B"/>
    <w:rsid w:val="6FDE786D"/>
    <w:rsid w:val="6FDED838"/>
    <w:rsid w:val="6FDF6C6B"/>
    <w:rsid w:val="6FE0A709"/>
    <w:rsid w:val="6FE77CF6"/>
    <w:rsid w:val="6FE93CA2"/>
    <w:rsid w:val="6FEF64AE"/>
    <w:rsid w:val="6FF1077E"/>
    <w:rsid w:val="6FF11606"/>
    <w:rsid w:val="6FF32C05"/>
    <w:rsid w:val="6FF380EB"/>
    <w:rsid w:val="6FF47B06"/>
    <w:rsid w:val="6FF6C10B"/>
    <w:rsid w:val="6FF9EC1E"/>
    <w:rsid w:val="6FFDE07B"/>
    <w:rsid w:val="700271BD"/>
    <w:rsid w:val="7003B36B"/>
    <w:rsid w:val="7009115A"/>
    <w:rsid w:val="700CB376"/>
    <w:rsid w:val="70126801"/>
    <w:rsid w:val="7015ECCF"/>
    <w:rsid w:val="70162AF0"/>
    <w:rsid w:val="701EE3E1"/>
    <w:rsid w:val="70212A8A"/>
    <w:rsid w:val="7021A016"/>
    <w:rsid w:val="7023236F"/>
    <w:rsid w:val="70288E9C"/>
    <w:rsid w:val="702D6B0D"/>
    <w:rsid w:val="702E7F4E"/>
    <w:rsid w:val="702E9E46"/>
    <w:rsid w:val="7032BAC1"/>
    <w:rsid w:val="70332D22"/>
    <w:rsid w:val="7038DD93"/>
    <w:rsid w:val="703C26BD"/>
    <w:rsid w:val="7048141A"/>
    <w:rsid w:val="70491190"/>
    <w:rsid w:val="70520F02"/>
    <w:rsid w:val="70547EC0"/>
    <w:rsid w:val="705603F9"/>
    <w:rsid w:val="7056CF92"/>
    <w:rsid w:val="705A024D"/>
    <w:rsid w:val="705E60DC"/>
    <w:rsid w:val="7060478F"/>
    <w:rsid w:val="7060BCAB"/>
    <w:rsid w:val="7065B1CB"/>
    <w:rsid w:val="7068AF45"/>
    <w:rsid w:val="70698D2D"/>
    <w:rsid w:val="706B66C3"/>
    <w:rsid w:val="7071C958"/>
    <w:rsid w:val="70721D43"/>
    <w:rsid w:val="7073E495"/>
    <w:rsid w:val="70763540"/>
    <w:rsid w:val="70766E1F"/>
    <w:rsid w:val="7076DEE5"/>
    <w:rsid w:val="7079634B"/>
    <w:rsid w:val="70813B7A"/>
    <w:rsid w:val="7083EA10"/>
    <w:rsid w:val="7087AA90"/>
    <w:rsid w:val="708B6DF9"/>
    <w:rsid w:val="708E30DB"/>
    <w:rsid w:val="708F2D25"/>
    <w:rsid w:val="709314FE"/>
    <w:rsid w:val="7094FCED"/>
    <w:rsid w:val="70967B32"/>
    <w:rsid w:val="70980FF6"/>
    <w:rsid w:val="7099E905"/>
    <w:rsid w:val="709BF3C7"/>
    <w:rsid w:val="709C1E26"/>
    <w:rsid w:val="70A108C3"/>
    <w:rsid w:val="70A66A69"/>
    <w:rsid w:val="70A790FE"/>
    <w:rsid w:val="70ABA802"/>
    <w:rsid w:val="70AF918D"/>
    <w:rsid w:val="70B2C2C0"/>
    <w:rsid w:val="70B6252C"/>
    <w:rsid w:val="70B6D070"/>
    <w:rsid w:val="70B77678"/>
    <w:rsid w:val="70BC391C"/>
    <w:rsid w:val="70C1B861"/>
    <w:rsid w:val="70C7E451"/>
    <w:rsid w:val="70CB04D2"/>
    <w:rsid w:val="70D3E3F4"/>
    <w:rsid w:val="70DA9ECE"/>
    <w:rsid w:val="70DC91FB"/>
    <w:rsid w:val="70DCE54C"/>
    <w:rsid w:val="70E1997D"/>
    <w:rsid w:val="70E98B5D"/>
    <w:rsid w:val="70E9A935"/>
    <w:rsid w:val="70EA6F5A"/>
    <w:rsid w:val="70ED502A"/>
    <w:rsid w:val="70EE257E"/>
    <w:rsid w:val="70F0B47B"/>
    <w:rsid w:val="70F192F7"/>
    <w:rsid w:val="70F6888C"/>
    <w:rsid w:val="70F9DEFE"/>
    <w:rsid w:val="70FDE327"/>
    <w:rsid w:val="7102E4AE"/>
    <w:rsid w:val="710471DE"/>
    <w:rsid w:val="71062890"/>
    <w:rsid w:val="7107DE2C"/>
    <w:rsid w:val="7108CA7A"/>
    <w:rsid w:val="710B0E96"/>
    <w:rsid w:val="710BF8A3"/>
    <w:rsid w:val="710CFABB"/>
    <w:rsid w:val="710DE510"/>
    <w:rsid w:val="7110288B"/>
    <w:rsid w:val="7112ECD8"/>
    <w:rsid w:val="711F4A4E"/>
    <w:rsid w:val="71207E65"/>
    <w:rsid w:val="71284F38"/>
    <w:rsid w:val="71289D91"/>
    <w:rsid w:val="712E1312"/>
    <w:rsid w:val="713363F0"/>
    <w:rsid w:val="71359F3F"/>
    <w:rsid w:val="713B7335"/>
    <w:rsid w:val="713FC0BF"/>
    <w:rsid w:val="71426D2F"/>
    <w:rsid w:val="714633C5"/>
    <w:rsid w:val="714C6C45"/>
    <w:rsid w:val="714D4032"/>
    <w:rsid w:val="715029A2"/>
    <w:rsid w:val="71502FDF"/>
    <w:rsid w:val="7152A0CA"/>
    <w:rsid w:val="71530C69"/>
    <w:rsid w:val="71549A24"/>
    <w:rsid w:val="71550BB7"/>
    <w:rsid w:val="71589844"/>
    <w:rsid w:val="7159B3BD"/>
    <w:rsid w:val="715A247C"/>
    <w:rsid w:val="715E1F28"/>
    <w:rsid w:val="715E8169"/>
    <w:rsid w:val="71610807"/>
    <w:rsid w:val="7162146E"/>
    <w:rsid w:val="71629F2C"/>
    <w:rsid w:val="716624B7"/>
    <w:rsid w:val="71680264"/>
    <w:rsid w:val="716DBC4A"/>
    <w:rsid w:val="716DE1A4"/>
    <w:rsid w:val="71708E8D"/>
    <w:rsid w:val="7172A864"/>
    <w:rsid w:val="7175466E"/>
    <w:rsid w:val="71777304"/>
    <w:rsid w:val="717798B6"/>
    <w:rsid w:val="71782EB7"/>
    <w:rsid w:val="7178998E"/>
    <w:rsid w:val="717B49D7"/>
    <w:rsid w:val="717CA43F"/>
    <w:rsid w:val="717DF424"/>
    <w:rsid w:val="717ED898"/>
    <w:rsid w:val="7180023B"/>
    <w:rsid w:val="71828B1E"/>
    <w:rsid w:val="71843142"/>
    <w:rsid w:val="7186FB24"/>
    <w:rsid w:val="71872CD1"/>
    <w:rsid w:val="7190F7DC"/>
    <w:rsid w:val="7191FE6E"/>
    <w:rsid w:val="719357B0"/>
    <w:rsid w:val="71954951"/>
    <w:rsid w:val="719604CD"/>
    <w:rsid w:val="71A21689"/>
    <w:rsid w:val="71A3BAB1"/>
    <w:rsid w:val="71A3F9DD"/>
    <w:rsid w:val="71A40693"/>
    <w:rsid w:val="71A631EF"/>
    <w:rsid w:val="71A8289F"/>
    <w:rsid w:val="71AB4C52"/>
    <w:rsid w:val="71B09B70"/>
    <w:rsid w:val="71B156F3"/>
    <w:rsid w:val="71B21884"/>
    <w:rsid w:val="71B2BBB1"/>
    <w:rsid w:val="71B667B5"/>
    <w:rsid w:val="71B9A481"/>
    <w:rsid w:val="71BAD6CA"/>
    <w:rsid w:val="71BC2356"/>
    <w:rsid w:val="71BC7648"/>
    <w:rsid w:val="71BEB936"/>
    <w:rsid w:val="71C00608"/>
    <w:rsid w:val="71C0F475"/>
    <w:rsid w:val="71C2512C"/>
    <w:rsid w:val="71C6799B"/>
    <w:rsid w:val="71CD88DC"/>
    <w:rsid w:val="71CE5DCE"/>
    <w:rsid w:val="71D57CF2"/>
    <w:rsid w:val="71D7A3E0"/>
    <w:rsid w:val="71D8E289"/>
    <w:rsid w:val="71DBB453"/>
    <w:rsid w:val="71DE917F"/>
    <w:rsid w:val="71DF2D7C"/>
    <w:rsid w:val="71E142C9"/>
    <w:rsid w:val="71E24335"/>
    <w:rsid w:val="71E9958A"/>
    <w:rsid w:val="71EB7EA3"/>
    <w:rsid w:val="71EC05CA"/>
    <w:rsid w:val="71EE847D"/>
    <w:rsid w:val="71F047F8"/>
    <w:rsid w:val="71F5AB24"/>
    <w:rsid w:val="71F660DB"/>
    <w:rsid w:val="71FA44A3"/>
    <w:rsid w:val="71FB92B7"/>
    <w:rsid w:val="7203A17B"/>
    <w:rsid w:val="72076E9F"/>
    <w:rsid w:val="720907E1"/>
    <w:rsid w:val="72092B1D"/>
    <w:rsid w:val="720D8647"/>
    <w:rsid w:val="720E700E"/>
    <w:rsid w:val="721026FA"/>
    <w:rsid w:val="7213D46B"/>
    <w:rsid w:val="721991B8"/>
    <w:rsid w:val="721A16FD"/>
    <w:rsid w:val="721DA86C"/>
    <w:rsid w:val="721F2918"/>
    <w:rsid w:val="7221FEE8"/>
    <w:rsid w:val="722306A4"/>
    <w:rsid w:val="7228CD0B"/>
    <w:rsid w:val="722F5359"/>
    <w:rsid w:val="723059EC"/>
    <w:rsid w:val="7230CBB6"/>
    <w:rsid w:val="7230CE52"/>
    <w:rsid w:val="72362E48"/>
    <w:rsid w:val="72377E8A"/>
    <w:rsid w:val="723D62F6"/>
    <w:rsid w:val="7242A370"/>
    <w:rsid w:val="7242D1A6"/>
    <w:rsid w:val="724CFC31"/>
    <w:rsid w:val="724D2F0C"/>
    <w:rsid w:val="72543BC6"/>
    <w:rsid w:val="7255F719"/>
    <w:rsid w:val="72579A18"/>
    <w:rsid w:val="7258B242"/>
    <w:rsid w:val="72593BC5"/>
    <w:rsid w:val="726366A1"/>
    <w:rsid w:val="7266055A"/>
    <w:rsid w:val="7267141D"/>
    <w:rsid w:val="726928FE"/>
    <w:rsid w:val="726AAF18"/>
    <w:rsid w:val="726B99F2"/>
    <w:rsid w:val="727084C9"/>
    <w:rsid w:val="72748E94"/>
    <w:rsid w:val="7275E4C9"/>
    <w:rsid w:val="7279B51D"/>
    <w:rsid w:val="727BB7B6"/>
    <w:rsid w:val="727C3FCD"/>
    <w:rsid w:val="727CE2DF"/>
    <w:rsid w:val="727DE2E4"/>
    <w:rsid w:val="727E25F1"/>
    <w:rsid w:val="7280F106"/>
    <w:rsid w:val="7282CB48"/>
    <w:rsid w:val="7284AAC0"/>
    <w:rsid w:val="7288E69A"/>
    <w:rsid w:val="728F2A13"/>
    <w:rsid w:val="728FEAC6"/>
    <w:rsid w:val="7290CFB5"/>
    <w:rsid w:val="7290EF91"/>
    <w:rsid w:val="72926A1B"/>
    <w:rsid w:val="72929130"/>
    <w:rsid w:val="7297D895"/>
    <w:rsid w:val="72A0E212"/>
    <w:rsid w:val="72A20868"/>
    <w:rsid w:val="72A3DDE1"/>
    <w:rsid w:val="72A5D692"/>
    <w:rsid w:val="72A60CFA"/>
    <w:rsid w:val="72AE51DB"/>
    <w:rsid w:val="72B65910"/>
    <w:rsid w:val="72B712B9"/>
    <w:rsid w:val="72BA3F54"/>
    <w:rsid w:val="72C00F9D"/>
    <w:rsid w:val="72C0E9C8"/>
    <w:rsid w:val="72C1B703"/>
    <w:rsid w:val="72C221AA"/>
    <w:rsid w:val="72CA1E56"/>
    <w:rsid w:val="72CE3781"/>
    <w:rsid w:val="72D4D982"/>
    <w:rsid w:val="72DE3C22"/>
    <w:rsid w:val="72E02F14"/>
    <w:rsid w:val="72E03628"/>
    <w:rsid w:val="72E05BB9"/>
    <w:rsid w:val="72E13FE8"/>
    <w:rsid w:val="72E22DE4"/>
    <w:rsid w:val="72E3EA29"/>
    <w:rsid w:val="72E584D0"/>
    <w:rsid w:val="72E87436"/>
    <w:rsid w:val="72E9B329"/>
    <w:rsid w:val="72EA8C8D"/>
    <w:rsid w:val="72EBB0E8"/>
    <w:rsid w:val="72EDCD5E"/>
    <w:rsid w:val="72EEA80F"/>
    <w:rsid w:val="72EF03E1"/>
    <w:rsid w:val="72EFE17C"/>
    <w:rsid w:val="72F5B290"/>
    <w:rsid w:val="72FBA0C8"/>
    <w:rsid w:val="72FCBDFA"/>
    <w:rsid w:val="72FD0BA9"/>
    <w:rsid w:val="72FDB009"/>
    <w:rsid w:val="72FE9F6B"/>
    <w:rsid w:val="7303B1BE"/>
    <w:rsid w:val="7308CF18"/>
    <w:rsid w:val="730EE28A"/>
    <w:rsid w:val="7314D3DA"/>
    <w:rsid w:val="73194DBA"/>
    <w:rsid w:val="731F772C"/>
    <w:rsid w:val="73209458"/>
    <w:rsid w:val="73236BF7"/>
    <w:rsid w:val="732444B1"/>
    <w:rsid w:val="7324C618"/>
    <w:rsid w:val="73264B4C"/>
    <w:rsid w:val="732AF036"/>
    <w:rsid w:val="732B4FEF"/>
    <w:rsid w:val="7339A8CC"/>
    <w:rsid w:val="733AAC2B"/>
    <w:rsid w:val="733E262A"/>
    <w:rsid w:val="734068E4"/>
    <w:rsid w:val="73415078"/>
    <w:rsid w:val="73419CD5"/>
    <w:rsid w:val="7342277E"/>
    <w:rsid w:val="73423BE4"/>
    <w:rsid w:val="734730A0"/>
    <w:rsid w:val="734D7786"/>
    <w:rsid w:val="735F1C49"/>
    <w:rsid w:val="73672A6E"/>
    <w:rsid w:val="736C17D9"/>
    <w:rsid w:val="737C1F5E"/>
    <w:rsid w:val="737CFAB1"/>
    <w:rsid w:val="73846B88"/>
    <w:rsid w:val="73866909"/>
    <w:rsid w:val="7388C859"/>
    <w:rsid w:val="738A1132"/>
    <w:rsid w:val="738DE34D"/>
    <w:rsid w:val="738E77D0"/>
    <w:rsid w:val="73914B06"/>
    <w:rsid w:val="7391ADD1"/>
    <w:rsid w:val="7391D4F5"/>
    <w:rsid w:val="73924A52"/>
    <w:rsid w:val="7396C377"/>
    <w:rsid w:val="739740EC"/>
    <w:rsid w:val="7399A534"/>
    <w:rsid w:val="739B247A"/>
    <w:rsid w:val="739DD424"/>
    <w:rsid w:val="73A39D9F"/>
    <w:rsid w:val="73A432C4"/>
    <w:rsid w:val="73A480A3"/>
    <w:rsid w:val="73A52A98"/>
    <w:rsid w:val="73A88ACC"/>
    <w:rsid w:val="73A95410"/>
    <w:rsid w:val="73AC2299"/>
    <w:rsid w:val="73AF9E73"/>
    <w:rsid w:val="73B0AD6A"/>
    <w:rsid w:val="73B25819"/>
    <w:rsid w:val="73B2ECC8"/>
    <w:rsid w:val="73B36BB9"/>
    <w:rsid w:val="73B3E0F2"/>
    <w:rsid w:val="73B728C9"/>
    <w:rsid w:val="73B7FFCE"/>
    <w:rsid w:val="73BB5526"/>
    <w:rsid w:val="73BD3574"/>
    <w:rsid w:val="73BE4DBA"/>
    <w:rsid w:val="73BF14FB"/>
    <w:rsid w:val="73C29BB8"/>
    <w:rsid w:val="73C3BEAB"/>
    <w:rsid w:val="73C8EF11"/>
    <w:rsid w:val="73CDE7FC"/>
    <w:rsid w:val="73CF6E53"/>
    <w:rsid w:val="73D2B061"/>
    <w:rsid w:val="73D5440C"/>
    <w:rsid w:val="73DC9866"/>
    <w:rsid w:val="73E9435E"/>
    <w:rsid w:val="73ECA77F"/>
    <w:rsid w:val="73F81562"/>
    <w:rsid w:val="73F87199"/>
    <w:rsid w:val="73FB6295"/>
    <w:rsid w:val="73FD1650"/>
    <w:rsid w:val="7401C082"/>
    <w:rsid w:val="7402D6C0"/>
    <w:rsid w:val="740347BE"/>
    <w:rsid w:val="740350FC"/>
    <w:rsid w:val="740AC07B"/>
    <w:rsid w:val="7410CBE8"/>
    <w:rsid w:val="741300CC"/>
    <w:rsid w:val="74191A9C"/>
    <w:rsid w:val="741B38F1"/>
    <w:rsid w:val="741C61B8"/>
    <w:rsid w:val="741E13CF"/>
    <w:rsid w:val="741EEE6D"/>
    <w:rsid w:val="7420BADE"/>
    <w:rsid w:val="74223DD9"/>
    <w:rsid w:val="7429EDC5"/>
    <w:rsid w:val="742A4B98"/>
    <w:rsid w:val="742CE3A8"/>
    <w:rsid w:val="743152A2"/>
    <w:rsid w:val="743434D5"/>
    <w:rsid w:val="743AB703"/>
    <w:rsid w:val="743E9768"/>
    <w:rsid w:val="743F93A8"/>
    <w:rsid w:val="74434DED"/>
    <w:rsid w:val="7449814B"/>
    <w:rsid w:val="7449C31C"/>
    <w:rsid w:val="744A53D8"/>
    <w:rsid w:val="744A75B6"/>
    <w:rsid w:val="744AB9EF"/>
    <w:rsid w:val="744DD4C8"/>
    <w:rsid w:val="745440DC"/>
    <w:rsid w:val="745545F8"/>
    <w:rsid w:val="745951F4"/>
    <w:rsid w:val="745BA5EA"/>
    <w:rsid w:val="745C16A2"/>
    <w:rsid w:val="745DE3D1"/>
    <w:rsid w:val="745F9F37"/>
    <w:rsid w:val="74659E70"/>
    <w:rsid w:val="74669629"/>
    <w:rsid w:val="746F411E"/>
    <w:rsid w:val="7472C5C7"/>
    <w:rsid w:val="7472EEB8"/>
    <w:rsid w:val="7473009B"/>
    <w:rsid w:val="7473EE83"/>
    <w:rsid w:val="7473F30D"/>
    <w:rsid w:val="74770D93"/>
    <w:rsid w:val="747960C4"/>
    <w:rsid w:val="747FD30D"/>
    <w:rsid w:val="748187B7"/>
    <w:rsid w:val="74862E31"/>
    <w:rsid w:val="7488CD32"/>
    <w:rsid w:val="7488E318"/>
    <w:rsid w:val="748CAB45"/>
    <w:rsid w:val="7491FB97"/>
    <w:rsid w:val="74948F3E"/>
    <w:rsid w:val="749F03F0"/>
    <w:rsid w:val="74ACD5F6"/>
    <w:rsid w:val="74B18A77"/>
    <w:rsid w:val="74B2CD60"/>
    <w:rsid w:val="74B479C4"/>
    <w:rsid w:val="74B6682A"/>
    <w:rsid w:val="74B68D89"/>
    <w:rsid w:val="74BB1982"/>
    <w:rsid w:val="74BD0712"/>
    <w:rsid w:val="74BD3BFE"/>
    <w:rsid w:val="74BD7A70"/>
    <w:rsid w:val="74BE8C11"/>
    <w:rsid w:val="74BEBC1E"/>
    <w:rsid w:val="74C0D6FA"/>
    <w:rsid w:val="74C2347A"/>
    <w:rsid w:val="74C2680E"/>
    <w:rsid w:val="74C63CD3"/>
    <w:rsid w:val="74C85D9E"/>
    <w:rsid w:val="74CB2763"/>
    <w:rsid w:val="74CBE604"/>
    <w:rsid w:val="74D4782A"/>
    <w:rsid w:val="74D69E42"/>
    <w:rsid w:val="74D7DE8D"/>
    <w:rsid w:val="74DA56CA"/>
    <w:rsid w:val="74DC8AE8"/>
    <w:rsid w:val="74DDF7B4"/>
    <w:rsid w:val="74E3F76E"/>
    <w:rsid w:val="74E82B84"/>
    <w:rsid w:val="74EA0B05"/>
    <w:rsid w:val="74EB178D"/>
    <w:rsid w:val="74EFA07C"/>
    <w:rsid w:val="74EFAF52"/>
    <w:rsid w:val="74F2BD5B"/>
    <w:rsid w:val="74F32843"/>
    <w:rsid w:val="74F55D12"/>
    <w:rsid w:val="74F5A7DC"/>
    <w:rsid w:val="74F746B1"/>
    <w:rsid w:val="74FA065F"/>
    <w:rsid w:val="74FA1108"/>
    <w:rsid w:val="74FAACC5"/>
    <w:rsid w:val="74FC463D"/>
    <w:rsid w:val="74FE1BB4"/>
    <w:rsid w:val="75009DDA"/>
    <w:rsid w:val="7502E941"/>
    <w:rsid w:val="75093FC3"/>
    <w:rsid w:val="7509CD3F"/>
    <w:rsid w:val="750BC6E7"/>
    <w:rsid w:val="750C3AEE"/>
    <w:rsid w:val="7511708F"/>
    <w:rsid w:val="7513DF02"/>
    <w:rsid w:val="7515FB3E"/>
    <w:rsid w:val="751805E4"/>
    <w:rsid w:val="751CC5C3"/>
    <w:rsid w:val="751DFA6E"/>
    <w:rsid w:val="751F8305"/>
    <w:rsid w:val="7520B57A"/>
    <w:rsid w:val="75214824"/>
    <w:rsid w:val="75224D94"/>
    <w:rsid w:val="752D937F"/>
    <w:rsid w:val="75315060"/>
    <w:rsid w:val="75339E82"/>
    <w:rsid w:val="75348904"/>
    <w:rsid w:val="7534E7C7"/>
    <w:rsid w:val="7535E24C"/>
    <w:rsid w:val="75411827"/>
    <w:rsid w:val="75461F5F"/>
    <w:rsid w:val="754BBC78"/>
    <w:rsid w:val="754BD547"/>
    <w:rsid w:val="754EF5BF"/>
    <w:rsid w:val="754FC766"/>
    <w:rsid w:val="7558667F"/>
    <w:rsid w:val="755B2A24"/>
    <w:rsid w:val="7562BA98"/>
    <w:rsid w:val="75635DA8"/>
    <w:rsid w:val="7563D5B8"/>
    <w:rsid w:val="7565CAC9"/>
    <w:rsid w:val="7565E875"/>
    <w:rsid w:val="7566CEEF"/>
    <w:rsid w:val="7566EC52"/>
    <w:rsid w:val="756F8380"/>
    <w:rsid w:val="757436E0"/>
    <w:rsid w:val="757955A1"/>
    <w:rsid w:val="7582A796"/>
    <w:rsid w:val="7585E3D8"/>
    <w:rsid w:val="758741CE"/>
    <w:rsid w:val="7588A253"/>
    <w:rsid w:val="758ADC34"/>
    <w:rsid w:val="758F6F61"/>
    <w:rsid w:val="759FBA2A"/>
    <w:rsid w:val="75A2DD59"/>
    <w:rsid w:val="75ABE775"/>
    <w:rsid w:val="75AC11C6"/>
    <w:rsid w:val="75ADCB99"/>
    <w:rsid w:val="75ADE1F1"/>
    <w:rsid w:val="75B08066"/>
    <w:rsid w:val="75B1AE32"/>
    <w:rsid w:val="75B742F2"/>
    <w:rsid w:val="75B9F450"/>
    <w:rsid w:val="75BB24B6"/>
    <w:rsid w:val="75C0CAF9"/>
    <w:rsid w:val="75C2D926"/>
    <w:rsid w:val="75C52A35"/>
    <w:rsid w:val="75C6B103"/>
    <w:rsid w:val="75C8F128"/>
    <w:rsid w:val="75CD87F9"/>
    <w:rsid w:val="75CEB33E"/>
    <w:rsid w:val="75D46DEE"/>
    <w:rsid w:val="75D5871D"/>
    <w:rsid w:val="75D63263"/>
    <w:rsid w:val="75DAD8F4"/>
    <w:rsid w:val="75DCA04B"/>
    <w:rsid w:val="75DF9D33"/>
    <w:rsid w:val="75E12C4A"/>
    <w:rsid w:val="75EA3099"/>
    <w:rsid w:val="75EAE351"/>
    <w:rsid w:val="75EB90F7"/>
    <w:rsid w:val="75EF2E98"/>
    <w:rsid w:val="75EF6E2E"/>
    <w:rsid w:val="75F06DF8"/>
    <w:rsid w:val="75F3BECF"/>
    <w:rsid w:val="75F4C704"/>
    <w:rsid w:val="7603FB5F"/>
    <w:rsid w:val="760B62E9"/>
    <w:rsid w:val="760B726D"/>
    <w:rsid w:val="760BCD2D"/>
    <w:rsid w:val="760E5DB3"/>
    <w:rsid w:val="76153622"/>
    <w:rsid w:val="76165B6C"/>
    <w:rsid w:val="7616A320"/>
    <w:rsid w:val="7616DA5F"/>
    <w:rsid w:val="7617347B"/>
    <w:rsid w:val="761DBEE2"/>
    <w:rsid w:val="761E5D79"/>
    <w:rsid w:val="761FE8C5"/>
    <w:rsid w:val="76251950"/>
    <w:rsid w:val="7627F74C"/>
    <w:rsid w:val="76325208"/>
    <w:rsid w:val="763357CF"/>
    <w:rsid w:val="763725F2"/>
    <w:rsid w:val="763BCAFB"/>
    <w:rsid w:val="7640B5D0"/>
    <w:rsid w:val="7648732C"/>
    <w:rsid w:val="764A9776"/>
    <w:rsid w:val="764ACF5E"/>
    <w:rsid w:val="764B42B3"/>
    <w:rsid w:val="764DBF2E"/>
    <w:rsid w:val="764F98F9"/>
    <w:rsid w:val="765468D0"/>
    <w:rsid w:val="765A3A7F"/>
    <w:rsid w:val="765BD4FE"/>
    <w:rsid w:val="765C8530"/>
    <w:rsid w:val="765D0715"/>
    <w:rsid w:val="7662D4E7"/>
    <w:rsid w:val="76641C31"/>
    <w:rsid w:val="7664C5D8"/>
    <w:rsid w:val="76656DB5"/>
    <w:rsid w:val="7666A692"/>
    <w:rsid w:val="76697277"/>
    <w:rsid w:val="7669E7F1"/>
    <w:rsid w:val="766A1EA7"/>
    <w:rsid w:val="767739A8"/>
    <w:rsid w:val="76785690"/>
    <w:rsid w:val="7678E645"/>
    <w:rsid w:val="767AAFF3"/>
    <w:rsid w:val="767C429C"/>
    <w:rsid w:val="7684D782"/>
    <w:rsid w:val="768860C9"/>
    <w:rsid w:val="768CF964"/>
    <w:rsid w:val="768F75AC"/>
    <w:rsid w:val="7691796C"/>
    <w:rsid w:val="76924354"/>
    <w:rsid w:val="7694AF36"/>
    <w:rsid w:val="7694BEC5"/>
    <w:rsid w:val="769728FC"/>
    <w:rsid w:val="769A7A09"/>
    <w:rsid w:val="769AB81E"/>
    <w:rsid w:val="769B09B0"/>
    <w:rsid w:val="769FFD52"/>
    <w:rsid w:val="76A3FA16"/>
    <w:rsid w:val="76A681C9"/>
    <w:rsid w:val="76B024DD"/>
    <w:rsid w:val="76B178D7"/>
    <w:rsid w:val="76B54DE9"/>
    <w:rsid w:val="76BA6802"/>
    <w:rsid w:val="76BC84A9"/>
    <w:rsid w:val="76BDCF4F"/>
    <w:rsid w:val="76C12477"/>
    <w:rsid w:val="76C24320"/>
    <w:rsid w:val="76C31B5D"/>
    <w:rsid w:val="76C4165C"/>
    <w:rsid w:val="76CA8914"/>
    <w:rsid w:val="76CC101A"/>
    <w:rsid w:val="76CD6E07"/>
    <w:rsid w:val="76CDC608"/>
    <w:rsid w:val="76DBDD44"/>
    <w:rsid w:val="76E105A5"/>
    <w:rsid w:val="76E2FC55"/>
    <w:rsid w:val="76E484B3"/>
    <w:rsid w:val="76F33A37"/>
    <w:rsid w:val="76F880EF"/>
    <w:rsid w:val="76F8ADD5"/>
    <w:rsid w:val="76F8BDDA"/>
    <w:rsid w:val="76FE9878"/>
    <w:rsid w:val="7702860A"/>
    <w:rsid w:val="77066CBB"/>
    <w:rsid w:val="77096625"/>
    <w:rsid w:val="7709A0E6"/>
    <w:rsid w:val="770BC841"/>
    <w:rsid w:val="770E781E"/>
    <w:rsid w:val="77113E94"/>
    <w:rsid w:val="77126CB4"/>
    <w:rsid w:val="771C1558"/>
    <w:rsid w:val="77240365"/>
    <w:rsid w:val="7725476F"/>
    <w:rsid w:val="77292908"/>
    <w:rsid w:val="773053C8"/>
    <w:rsid w:val="77318A20"/>
    <w:rsid w:val="7735D7FA"/>
    <w:rsid w:val="773DE98F"/>
    <w:rsid w:val="773F04D7"/>
    <w:rsid w:val="77436ECB"/>
    <w:rsid w:val="774443B6"/>
    <w:rsid w:val="77483736"/>
    <w:rsid w:val="774F1170"/>
    <w:rsid w:val="77514DED"/>
    <w:rsid w:val="77551D45"/>
    <w:rsid w:val="7755367F"/>
    <w:rsid w:val="7755F1B5"/>
    <w:rsid w:val="7762EE59"/>
    <w:rsid w:val="7765778B"/>
    <w:rsid w:val="776AFD54"/>
    <w:rsid w:val="776CD79E"/>
    <w:rsid w:val="776E69EC"/>
    <w:rsid w:val="7777560E"/>
    <w:rsid w:val="77798FA3"/>
    <w:rsid w:val="777B4466"/>
    <w:rsid w:val="777E5364"/>
    <w:rsid w:val="777E5C02"/>
    <w:rsid w:val="777F2C5A"/>
    <w:rsid w:val="777FF13F"/>
    <w:rsid w:val="778259C3"/>
    <w:rsid w:val="77840DF2"/>
    <w:rsid w:val="7790A5B4"/>
    <w:rsid w:val="7791DCDC"/>
    <w:rsid w:val="7795A89F"/>
    <w:rsid w:val="7799FC60"/>
    <w:rsid w:val="779B4878"/>
    <w:rsid w:val="77A515E5"/>
    <w:rsid w:val="77A5C0EB"/>
    <w:rsid w:val="77A67926"/>
    <w:rsid w:val="77B40408"/>
    <w:rsid w:val="77B6D97A"/>
    <w:rsid w:val="77B7742B"/>
    <w:rsid w:val="77BB7A36"/>
    <w:rsid w:val="77BF5B74"/>
    <w:rsid w:val="77C19118"/>
    <w:rsid w:val="77C5605E"/>
    <w:rsid w:val="77C92AEA"/>
    <w:rsid w:val="77CAF6B0"/>
    <w:rsid w:val="77CF7077"/>
    <w:rsid w:val="77D0877A"/>
    <w:rsid w:val="77D20BA2"/>
    <w:rsid w:val="77D31AE2"/>
    <w:rsid w:val="77D47611"/>
    <w:rsid w:val="77D48A08"/>
    <w:rsid w:val="77D80329"/>
    <w:rsid w:val="77D9BE49"/>
    <w:rsid w:val="77DCBFCB"/>
    <w:rsid w:val="77E100DD"/>
    <w:rsid w:val="77E3ED80"/>
    <w:rsid w:val="77E86A83"/>
    <w:rsid w:val="77EA51CD"/>
    <w:rsid w:val="77EBC766"/>
    <w:rsid w:val="77ECFBFE"/>
    <w:rsid w:val="77F864E3"/>
    <w:rsid w:val="77F9CE59"/>
    <w:rsid w:val="77FAAD92"/>
    <w:rsid w:val="78079B15"/>
    <w:rsid w:val="7808C7C5"/>
    <w:rsid w:val="7809476C"/>
    <w:rsid w:val="780A0ADA"/>
    <w:rsid w:val="780D651A"/>
    <w:rsid w:val="780D678A"/>
    <w:rsid w:val="780DA6F1"/>
    <w:rsid w:val="78159581"/>
    <w:rsid w:val="781AB3BE"/>
    <w:rsid w:val="781B9984"/>
    <w:rsid w:val="781FD81D"/>
    <w:rsid w:val="7822C2FD"/>
    <w:rsid w:val="7822E25A"/>
    <w:rsid w:val="78246627"/>
    <w:rsid w:val="7825AEDE"/>
    <w:rsid w:val="782A27D0"/>
    <w:rsid w:val="782A6594"/>
    <w:rsid w:val="782CDB3A"/>
    <w:rsid w:val="782E6A93"/>
    <w:rsid w:val="782E8180"/>
    <w:rsid w:val="782EF469"/>
    <w:rsid w:val="78391932"/>
    <w:rsid w:val="78394D6F"/>
    <w:rsid w:val="783F83F1"/>
    <w:rsid w:val="783FB3E3"/>
    <w:rsid w:val="7840E890"/>
    <w:rsid w:val="7843ECA8"/>
    <w:rsid w:val="7846BB80"/>
    <w:rsid w:val="78544810"/>
    <w:rsid w:val="7856DFF5"/>
    <w:rsid w:val="785AD3C6"/>
    <w:rsid w:val="785B0222"/>
    <w:rsid w:val="785BB61F"/>
    <w:rsid w:val="785D67B8"/>
    <w:rsid w:val="785F9173"/>
    <w:rsid w:val="78613D85"/>
    <w:rsid w:val="786D6AE0"/>
    <w:rsid w:val="786DA49A"/>
    <w:rsid w:val="786FC7A2"/>
    <w:rsid w:val="787027E0"/>
    <w:rsid w:val="78768E6A"/>
    <w:rsid w:val="78778AAA"/>
    <w:rsid w:val="787F57B8"/>
    <w:rsid w:val="7881820B"/>
    <w:rsid w:val="78862E7A"/>
    <w:rsid w:val="788692FD"/>
    <w:rsid w:val="78899A3D"/>
    <w:rsid w:val="788A0E7A"/>
    <w:rsid w:val="788DBD10"/>
    <w:rsid w:val="78966DAC"/>
    <w:rsid w:val="789857EA"/>
    <w:rsid w:val="7898DFD5"/>
    <w:rsid w:val="789DA41A"/>
    <w:rsid w:val="78A08948"/>
    <w:rsid w:val="78A0BB58"/>
    <w:rsid w:val="78A4AFE5"/>
    <w:rsid w:val="78A4F22B"/>
    <w:rsid w:val="78ABD63C"/>
    <w:rsid w:val="78AC9F73"/>
    <w:rsid w:val="78ACA622"/>
    <w:rsid w:val="78AD3E52"/>
    <w:rsid w:val="78AE8051"/>
    <w:rsid w:val="78B2503C"/>
    <w:rsid w:val="78B55105"/>
    <w:rsid w:val="78B5AEA6"/>
    <w:rsid w:val="78B5F466"/>
    <w:rsid w:val="78B893C1"/>
    <w:rsid w:val="78B8A696"/>
    <w:rsid w:val="78B9F4F0"/>
    <w:rsid w:val="78B9FD80"/>
    <w:rsid w:val="78BA388D"/>
    <w:rsid w:val="78BAD1B2"/>
    <w:rsid w:val="78BEABF6"/>
    <w:rsid w:val="78BF05A0"/>
    <w:rsid w:val="78C37B51"/>
    <w:rsid w:val="78C3CF9E"/>
    <w:rsid w:val="78C96CCC"/>
    <w:rsid w:val="78C999B3"/>
    <w:rsid w:val="78CA7F3F"/>
    <w:rsid w:val="78CAF984"/>
    <w:rsid w:val="78CEFE9A"/>
    <w:rsid w:val="78D115F9"/>
    <w:rsid w:val="78D63ED5"/>
    <w:rsid w:val="78D7D47A"/>
    <w:rsid w:val="78D887FB"/>
    <w:rsid w:val="78DB21B9"/>
    <w:rsid w:val="78DC65B7"/>
    <w:rsid w:val="78DD2066"/>
    <w:rsid w:val="78E53143"/>
    <w:rsid w:val="78ED7549"/>
    <w:rsid w:val="78EF0C1F"/>
    <w:rsid w:val="78F121EA"/>
    <w:rsid w:val="78F5E35B"/>
    <w:rsid w:val="78F83646"/>
    <w:rsid w:val="78F83BF3"/>
    <w:rsid w:val="78F85120"/>
    <w:rsid w:val="78FD312C"/>
    <w:rsid w:val="7905F86A"/>
    <w:rsid w:val="7906CA13"/>
    <w:rsid w:val="79071A36"/>
    <w:rsid w:val="790922F8"/>
    <w:rsid w:val="790B1FE3"/>
    <w:rsid w:val="790DFDE5"/>
    <w:rsid w:val="7911D861"/>
    <w:rsid w:val="7913112C"/>
    <w:rsid w:val="791525EB"/>
    <w:rsid w:val="79189BEE"/>
    <w:rsid w:val="79194FE9"/>
    <w:rsid w:val="7922EE4D"/>
    <w:rsid w:val="79263879"/>
    <w:rsid w:val="79263A17"/>
    <w:rsid w:val="792DC426"/>
    <w:rsid w:val="792EF9AC"/>
    <w:rsid w:val="7931F30F"/>
    <w:rsid w:val="7933D908"/>
    <w:rsid w:val="793416B7"/>
    <w:rsid w:val="79352D02"/>
    <w:rsid w:val="793636B9"/>
    <w:rsid w:val="793938FC"/>
    <w:rsid w:val="7940CF05"/>
    <w:rsid w:val="7940F11C"/>
    <w:rsid w:val="7942297A"/>
    <w:rsid w:val="7945C88E"/>
    <w:rsid w:val="794722C3"/>
    <w:rsid w:val="7947551C"/>
    <w:rsid w:val="794AD33E"/>
    <w:rsid w:val="794B31B3"/>
    <w:rsid w:val="794C7E8C"/>
    <w:rsid w:val="794D766B"/>
    <w:rsid w:val="7950D7FE"/>
    <w:rsid w:val="795522F2"/>
    <w:rsid w:val="79598A57"/>
    <w:rsid w:val="795FF372"/>
    <w:rsid w:val="7960512F"/>
    <w:rsid w:val="7965D5CB"/>
    <w:rsid w:val="7968B950"/>
    <w:rsid w:val="79762758"/>
    <w:rsid w:val="797BD8F7"/>
    <w:rsid w:val="797FF4FF"/>
    <w:rsid w:val="79811C4B"/>
    <w:rsid w:val="79834484"/>
    <w:rsid w:val="7984004F"/>
    <w:rsid w:val="79863ACC"/>
    <w:rsid w:val="79880510"/>
    <w:rsid w:val="798CE077"/>
    <w:rsid w:val="798D334B"/>
    <w:rsid w:val="79947421"/>
    <w:rsid w:val="799A3FEA"/>
    <w:rsid w:val="799C8C89"/>
    <w:rsid w:val="799E4BE1"/>
    <w:rsid w:val="799FC050"/>
    <w:rsid w:val="79A05A5C"/>
    <w:rsid w:val="79A33B86"/>
    <w:rsid w:val="79A3B06F"/>
    <w:rsid w:val="79A62DFF"/>
    <w:rsid w:val="79A750B7"/>
    <w:rsid w:val="79A824F3"/>
    <w:rsid w:val="79AC25EC"/>
    <w:rsid w:val="79ACC192"/>
    <w:rsid w:val="79AEFF5E"/>
    <w:rsid w:val="79B4168D"/>
    <w:rsid w:val="79B52586"/>
    <w:rsid w:val="79B8E5EA"/>
    <w:rsid w:val="79BBCCB3"/>
    <w:rsid w:val="79BBF162"/>
    <w:rsid w:val="79BE62CE"/>
    <w:rsid w:val="79BE8DD5"/>
    <w:rsid w:val="79C209D5"/>
    <w:rsid w:val="79C3E1D7"/>
    <w:rsid w:val="79D42BEB"/>
    <w:rsid w:val="79D4D9C7"/>
    <w:rsid w:val="79D5070E"/>
    <w:rsid w:val="79D5695B"/>
    <w:rsid w:val="79D570EB"/>
    <w:rsid w:val="79D627F6"/>
    <w:rsid w:val="79D7A5A4"/>
    <w:rsid w:val="79D7D626"/>
    <w:rsid w:val="79D833B1"/>
    <w:rsid w:val="79D9D8CB"/>
    <w:rsid w:val="79DB9513"/>
    <w:rsid w:val="79DC6CBF"/>
    <w:rsid w:val="79DDEFCF"/>
    <w:rsid w:val="79DECE9A"/>
    <w:rsid w:val="79E44080"/>
    <w:rsid w:val="79E63C9B"/>
    <w:rsid w:val="79F07F47"/>
    <w:rsid w:val="79F4F24C"/>
    <w:rsid w:val="79F7B997"/>
    <w:rsid w:val="79F8088D"/>
    <w:rsid w:val="79FAE179"/>
    <w:rsid w:val="79FCCE75"/>
    <w:rsid w:val="7A08B2DE"/>
    <w:rsid w:val="7A0A009F"/>
    <w:rsid w:val="7A0A8800"/>
    <w:rsid w:val="7A0D4564"/>
    <w:rsid w:val="7A1089DA"/>
    <w:rsid w:val="7A10E191"/>
    <w:rsid w:val="7A147EDB"/>
    <w:rsid w:val="7A1836A6"/>
    <w:rsid w:val="7A18EE08"/>
    <w:rsid w:val="7A1BD5EF"/>
    <w:rsid w:val="7A230312"/>
    <w:rsid w:val="7A38E26A"/>
    <w:rsid w:val="7A39ADBB"/>
    <w:rsid w:val="7A40C097"/>
    <w:rsid w:val="7A414180"/>
    <w:rsid w:val="7A452BB3"/>
    <w:rsid w:val="7A4B6978"/>
    <w:rsid w:val="7A522EB3"/>
    <w:rsid w:val="7A52AF65"/>
    <w:rsid w:val="7A5670B7"/>
    <w:rsid w:val="7A56B2A0"/>
    <w:rsid w:val="7A656C48"/>
    <w:rsid w:val="7A700F9B"/>
    <w:rsid w:val="7A71D847"/>
    <w:rsid w:val="7A7C1B6D"/>
    <w:rsid w:val="7A7E5200"/>
    <w:rsid w:val="7A86270D"/>
    <w:rsid w:val="7A877FD6"/>
    <w:rsid w:val="7A878977"/>
    <w:rsid w:val="7A978BC3"/>
    <w:rsid w:val="7A981069"/>
    <w:rsid w:val="7A9A1298"/>
    <w:rsid w:val="7AA1006F"/>
    <w:rsid w:val="7AA586EE"/>
    <w:rsid w:val="7AADCDC9"/>
    <w:rsid w:val="7AAE3434"/>
    <w:rsid w:val="7AAF8D65"/>
    <w:rsid w:val="7AB0AEB9"/>
    <w:rsid w:val="7AB10670"/>
    <w:rsid w:val="7AB50B6A"/>
    <w:rsid w:val="7AB636A0"/>
    <w:rsid w:val="7AB9EFF8"/>
    <w:rsid w:val="7ABEA784"/>
    <w:rsid w:val="7AC3FEAC"/>
    <w:rsid w:val="7AC760A5"/>
    <w:rsid w:val="7AC89918"/>
    <w:rsid w:val="7AC93252"/>
    <w:rsid w:val="7ACB371F"/>
    <w:rsid w:val="7ACCB221"/>
    <w:rsid w:val="7ACD3C8B"/>
    <w:rsid w:val="7ACF95C4"/>
    <w:rsid w:val="7AD0DEE0"/>
    <w:rsid w:val="7AD16234"/>
    <w:rsid w:val="7AD46EFA"/>
    <w:rsid w:val="7AD586FB"/>
    <w:rsid w:val="7AD709B1"/>
    <w:rsid w:val="7ADA2174"/>
    <w:rsid w:val="7AE25069"/>
    <w:rsid w:val="7AEA5044"/>
    <w:rsid w:val="7AF55C7D"/>
    <w:rsid w:val="7AF66111"/>
    <w:rsid w:val="7AFB25C8"/>
    <w:rsid w:val="7AFED0DF"/>
    <w:rsid w:val="7B0027F2"/>
    <w:rsid w:val="7B07B6EB"/>
    <w:rsid w:val="7B0962A4"/>
    <w:rsid w:val="7B097513"/>
    <w:rsid w:val="7B0CC688"/>
    <w:rsid w:val="7B0F9152"/>
    <w:rsid w:val="7B10671C"/>
    <w:rsid w:val="7B10E42C"/>
    <w:rsid w:val="7B11EF69"/>
    <w:rsid w:val="7B16C9E8"/>
    <w:rsid w:val="7B174D5F"/>
    <w:rsid w:val="7B24845E"/>
    <w:rsid w:val="7B2CA722"/>
    <w:rsid w:val="7B2E0EB7"/>
    <w:rsid w:val="7B2F738F"/>
    <w:rsid w:val="7B328C71"/>
    <w:rsid w:val="7B329EB4"/>
    <w:rsid w:val="7B331D0C"/>
    <w:rsid w:val="7B3CA5EC"/>
    <w:rsid w:val="7B411C7C"/>
    <w:rsid w:val="7B41FA18"/>
    <w:rsid w:val="7B42CF53"/>
    <w:rsid w:val="7B4C0229"/>
    <w:rsid w:val="7B4D03C7"/>
    <w:rsid w:val="7B4D9546"/>
    <w:rsid w:val="7B5078CC"/>
    <w:rsid w:val="7B52BDF3"/>
    <w:rsid w:val="7B542191"/>
    <w:rsid w:val="7B551BAD"/>
    <w:rsid w:val="7B55C238"/>
    <w:rsid w:val="7B574A03"/>
    <w:rsid w:val="7B5F83FE"/>
    <w:rsid w:val="7B60BC32"/>
    <w:rsid w:val="7B634EA5"/>
    <w:rsid w:val="7B64365B"/>
    <w:rsid w:val="7B677056"/>
    <w:rsid w:val="7B6B809C"/>
    <w:rsid w:val="7B6CD379"/>
    <w:rsid w:val="7B6D1D21"/>
    <w:rsid w:val="7B71A733"/>
    <w:rsid w:val="7B72FF27"/>
    <w:rsid w:val="7B748E53"/>
    <w:rsid w:val="7B7A2105"/>
    <w:rsid w:val="7B7F4DC1"/>
    <w:rsid w:val="7B82CDE0"/>
    <w:rsid w:val="7B82F4E4"/>
    <w:rsid w:val="7B8CC03C"/>
    <w:rsid w:val="7B904BC5"/>
    <w:rsid w:val="7B913817"/>
    <w:rsid w:val="7B9370DF"/>
    <w:rsid w:val="7B93DA68"/>
    <w:rsid w:val="7B9B60BE"/>
    <w:rsid w:val="7B9DFACC"/>
    <w:rsid w:val="7BA1FAFE"/>
    <w:rsid w:val="7BA2F503"/>
    <w:rsid w:val="7BA3CDD5"/>
    <w:rsid w:val="7BA57406"/>
    <w:rsid w:val="7BA79C59"/>
    <w:rsid w:val="7BAB6DFC"/>
    <w:rsid w:val="7BAFF04A"/>
    <w:rsid w:val="7BB035A8"/>
    <w:rsid w:val="7BB1D126"/>
    <w:rsid w:val="7BB449A9"/>
    <w:rsid w:val="7BB4B16A"/>
    <w:rsid w:val="7BB67888"/>
    <w:rsid w:val="7BB6F13A"/>
    <w:rsid w:val="7BB9F637"/>
    <w:rsid w:val="7BBAC656"/>
    <w:rsid w:val="7BBC7F59"/>
    <w:rsid w:val="7BBCD355"/>
    <w:rsid w:val="7BC2683A"/>
    <w:rsid w:val="7BC3A8ED"/>
    <w:rsid w:val="7BC8668D"/>
    <w:rsid w:val="7BCB666D"/>
    <w:rsid w:val="7BCB9365"/>
    <w:rsid w:val="7BCBE989"/>
    <w:rsid w:val="7BCC2199"/>
    <w:rsid w:val="7BCD477F"/>
    <w:rsid w:val="7BCDED7B"/>
    <w:rsid w:val="7BD15997"/>
    <w:rsid w:val="7BD1966D"/>
    <w:rsid w:val="7BD1ABA4"/>
    <w:rsid w:val="7BD573C8"/>
    <w:rsid w:val="7BD5A07A"/>
    <w:rsid w:val="7BD61D0D"/>
    <w:rsid w:val="7BD7A1B4"/>
    <w:rsid w:val="7BD91362"/>
    <w:rsid w:val="7BDE34EA"/>
    <w:rsid w:val="7BE13F12"/>
    <w:rsid w:val="7BE8238A"/>
    <w:rsid w:val="7BE99C73"/>
    <w:rsid w:val="7BEB6146"/>
    <w:rsid w:val="7BF79B78"/>
    <w:rsid w:val="7BFDBBE8"/>
    <w:rsid w:val="7C018EBC"/>
    <w:rsid w:val="7C03080A"/>
    <w:rsid w:val="7C0BEE1A"/>
    <w:rsid w:val="7C0C9A3D"/>
    <w:rsid w:val="7C0FB232"/>
    <w:rsid w:val="7C13F03E"/>
    <w:rsid w:val="7C1A9591"/>
    <w:rsid w:val="7C1B0FD3"/>
    <w:rsid w:val="7C1BE6ED"/>
    <w:rsid w:val="7C22E2BC"/>
    <w:rsid w:val="7C23D88B"/>
    <w:rsid w:val="7C2A8A88"/>
    <w:rsid w:val="7C2CA2B2"/>
    <w:rsid w:val="7C2FDD04"/>
    <w:rsid w:val="7C303A2D"/>
    <w:rsid w:val="7C309359"/>
    <w:rsid w:val="7C347692"/>
    <w:rsid w:val="7C381E5D"/>
    <w:rsid w:val="7C3A5DCB"/>
    <w:rsid w:val="7C3A6C0F"/>
    <w:rsid w:val="7C3CD6C1"/>
    <w:rsid w:val="7C41230C"/>
    <w:rsid w:val="7C414E50"/>
    <w:rsid w:val="7C4458DA"/>
    <w:rsid w:val="7C49B636"/>
    <w:rsid w:val="7C4A66E0"/>
    <w:rsid w:val="7C4E2999"/>
    <w:rsid w:val="7C4E7F2F"/>
    <w:rsid w:val="7C4F78A5"/>
    <w:rsid w:val="7C509A00"/>
    <w:rsid w:val="7C52C956"/>
    <w:rsid w:val="7C54CBE9"/>
    <w:rsid w:val="7C56DA99"/>
    <w:rsid w:val="7C58D318"/>
    <w:rsid w:val="7C5A473C"/>
    <w:rsid w:val="7C5D30D0"/>
    <w:rsid w:val="7C69696B"/>
    <w:rsid w:val="7C69F8D3"/>
    <w:rsid w:val="7C6C81E0"/>
    <w:rsid w:val="7C6E57AF"/>
    <w:rsid w:val="7C6F81B4"/>
    <w:rsid w:val="7C72A2DC"/>
    <w:rsid w:val="7C7315B5"/>
    <w:rsid w:val="7C750130"/>
    <w:rsid w:val="7C7A6C76"/>
    <w:rsid w:val="7C7CE7BC"/>
    <w:rsid w:val="7C7DE032"/>
    <w:rsid w:val="7C7E0E68"/>
    <w:rsid w:val="7C7EC7AB"/>
    <w:rsid w:val="7C82FA9E"/>
    <w:rsid w:val="7C83977E"/>
    <w:rsid w:val="7C845BA5"/>
    <w:rsid w:val="7C8C37DB"/>
    <w:rsid w:val="7C90884E"/>
    <w:rsid w:val="7C925CF9"/>
    <w:rsid w:val="7C96FADB"/>
    <w:rsid w:val="7C9D5759"/>
    <w:rsid w:val="7C9FE477"/>
    <w:rsid w:val="7CA2CA29"/>
    <w:rsid w:val="7CA8AA08"/>
    <w:rsid w:val="7CABC969"/>
    <w:rsid w:val="7CB3E629"/>
    <w:rsid w:val="7CB46D5B"/>
    <w:rsid w:val="7CB9A872"/>
    <w:rsid w:val="7CBB125E"/>
    <w:rsid w:val="7CBF03CE"/>
    <w:rsid w:val="7CC56875"/>
    <w:rsid w:val="7CC661A2"/>
    <w:rsid w:val="7CC70289"/>
    <w:rsid w:val="7CC819AA"/>
    <w:rsid w:val="7CC896E5"/>
    <w:rsid w:val="7CC935C3"/>
    <w:rsid w:val="7CCBA4CA"/>
    <w:rsid w:val="7CCCB4ED"/>
    <w:rsid w:val="7CCCD91B"/>
    <w:rsid w:val="7CD169AB"/>
    <w:rsid w:val="7CD5FBC9"/>
    <w:rsid w:val="7CDB3A18"/>
    <w:rsid w:val="7CE0B345"/>
    <w:rsid w:val="7CE3CFC8"/>
    <w:rsid w:val="7CE539C2"/>
    <w:rsid w:val="7CE7D28B"/>
    <w:rsid w:val="7CE80686"/>
    <w:rsid w:val="7CE86E71"/>
    <w:rsid w:val="7CE89211"/>
    <w:rsid w:val="7CE8DE9C"/>
    <w:rsid w:val="7CE8DF77"/>
    <w:rsid w:val="7CEB66BD"/>
    <w:rsid w:val="7CEF652F"/>
    <w:rsid w:val="7CF0B7BE"/>
    <w:rsid w:val="7CF214F8"/>
    <w:rsid w:val="7CF234AB"/>
    <w:rsid w:val="7CF2FDD6"/>
    <w:rsid w:val="7CF4652F"/>
    <w:rsid w:val="7CF5D2D6"/>
    <w:rsid w:val="7CFA0ADF"/>
    <w:rsid w:val="7CFCE96B"/>
    <w:rsid w:val="7D00BCE4"/>
    <w:rsid w:val="7D05A2BA"/>
    <w:rsid w:val="7D06A319"/>
    <w:rsid w:val="7D0800C1"/>
    <w:rsid w:val="7D08A778"/>
    <w:rsid w:val="7D0AD250"/>
    <w:rsid w:val="7D0FF84E"/>
    <w:rsid w:val="7D11947D"/>
    <w:rsid w:val="7D12C5FA"/>
    <w:rsid w:val="7D167FF9"/>
    <w:rsid w:val="7D1962CF"/>
    <w:rsid w:val="7D1E7201"/>
    <w:rsid w:val="7D264670"/>
    <w:rsid w:val="7D2F5578"/>
    <w:rsid w:val="7D319F16"/>
    <w:rsid w:val="7D32AD52"/>
    <w:rsid w:val="7D3512FA"/>
    <w:rsid w:val="7D3BD223"/>
    <w:rsid w:val="7D3C71A0"/>
    <w:rsid w:val="7D3E600B"/>
    <w:rsid w:val="7D41940E"/>
    <w:rsid w:val="7D419BA1"/>
    <w:rsid w:val="7D491D1A"/>
    <w:rsid w:val="7D52A881"/>
    <w:rsid w:val="7D53EAEA"/>
    <w:rsid w:val="7D5568B4"/>
    <w:rsid w:val="7D5816F3"/>
    <w:rsid w:val="7D584573"/>
    <w:rsid w:val="7D59C035"/>
    <w:rsid w:val="7D60E800"/>
    <w:rsid w:val="7D69E2BF"/>
    <w:rsid w:val="7D6BC784"/>
    <w:rsid w:val="7D6DDD9F"/>
    <w:rsid w:val="7D73213B"/>
    <w:rsid w:val="7D733F68"/>
    <w:rsid w:val="7D74A5B2"/>
    <w:rsid w:val="7D7C9ABB"/>
    <w:rsid w:val="7D7D471C"/>
    <w:rsid w:val="7D841068"/>
    <w:rsid w:val="7D8664C2"/>
    <w:rsid w:val="7D893469"/>
    <w:rsid w:val="7D8C0438"/>
    <w:rsid w:val="7D90301F"/>
    <w:rsid w:val="7D91870A"/>
    <w:rsid w:val="7D956400"/>
    <w:rsid w:val="7D99DBD6"/>
    <w:rsid w:val="7D9D3683"/>
    <w:rsid w:val="7D9F6451"/>
    <w:rsid w:val="7DA07548"/>
    <w:rsid w:val="7DA5CEBF"/>
    <w:rsid w:val="7DA77F47"/>
    <w:rsid w:val="7DADA09F"/>
    <w:rsid w:val="7DB0FB01"/>
    <w:rsid w:val="7DB1C69F"/>
    <w:rsid w:val="7DBE4FEF"/>
    <w:rsid w:val="7DBEC42A"/>
    <w:rsid w:val="7DC06D4E"/>
    <w:rsid w:val="7DC09574"/>
    <w:rsid w:val="7DD1115F"/>
    <w:rsid w:val="7DD27692"/>
    <w:rsid w:val="7DD2F33B"/>
    <w:rsid w:val="7DDAA2FB"/>
    <w:rsid w:val="7DDE1139"/>
    <w:rsid w:val="7DDF6D11"/>
    <w:rsid w:val="7DDFC7AE"/>
    <w:rsid w:val="7DE562F5"/>
    <w:rsid w:val="7DEC9207"/>
    <w:rsid w:val="7DED97EB"/>
    <w:rsid w:val="7DF0649C"/>
    <w:rsid w:val="7DF0F17B"/>
    <w:rsid w:val="7DF11F9F"/>
    <w:rsid w:val="7DF15DAA"/>
    <w:rsid w:val="7DF8E56B"/>
    <w:rsid w:val="7DFA58FA"/>
    <w:rsid w:val="7DFBD124"/>
    <w:rsid w:val="7DFBE7D0"/>
    <w:rsid w:val="7E09D4E0"/>
    <w:rsid w:val="7E0B3C1C"/>
    <w:rsid w:val="7E111C84"/>
    <w:rsid w:val="7E15AB84"/>
    <w:rsid w:val="7E17409E"/>
    <w:rsid w:val="7E244C03"/>
    <w:rsid w:val="7E250912"/>
    <w:rsid w:val="7E357CCC"/>
    <w:rsid w:val="7E37303A"/>
    <w:rsid w:val="7E396C91"/>
    <w:rsid w:val="7E3A8FAD"/>
    <w:rsid w:val="7E3DC4CF"/>
    <w:rsid w:val="7E41CB30"/>
    <w:rsid w:val="7E45C955"/>
    <w:rsid w:val="7E4D6FE4"/>
    <w:rsid w:val="7E503171"/>
    <w:rsid w:val="7E537F55"/>
    <w:rsid w:val="7E54B006"/>
    <w:rsid w:val="7E556C9F"/>
    <w:rsid w:val="7E56EF5F"/>
    <w:rsid w:val="7E59ED0E"/>
    <w:rsid w:val="7E5B5DD6"/>
    <w:rsid w:val="7E5F0F7D"/>
    <w:rsid w:val="7E6255DC"/>
    <w:rsid w:val="7E62F750"/>
    <w:rsid w:val="7E676D3F"/>
    <w:rsid w:val="7E68B5F6"/>
    <w:rsid w:val="7E6C1D39"/>
    <w:rsid w:val="7E6EA5AD"/>
    <w:rsid w:val="7E6EAEAD"/>
    <w:rsid w:val="7E709A62"/>
    <w:rsid w:val="7E727F28"/>
    <w:rsid w:val="7E7531D7"/>
    <w:rsid w:val="7E76B9FB"/>
    <w:rsid w:val="7E7B25ED"/>
    <w:rsid w:val="7E7CCA27"/>
    <w:rsid w:val="7E7CCFFD"/>
    <w:rsid w:val="7E7F858D"/>
    <w:rsid w:val="7E7FD62D"/>
    <w:rsid w:val="7E8A5933"/>
    <w:rsid w:val="7E8C178D"/>
    <w:rsid w:val="7E8E9560"/>
    <w:rsid w:val="7E8FBBE8"/>
    <w:rsid w:val="7E9AF429"/>
    <w:rsid w:val="7E9DD36C"/>
    <w:rsid w:val="7EA07C73"/>
    <w:rsid w:val="7EAAF653"/>
    <w:rsid w:val="7EB00C1F"/>
    <w:rsid w:val="7EB0B8FC"/>
    <w:rsid w:val="7EB85A31"/>
    <w:rsid w:val="7EB9572E"/>
    <w:rsid w:val="7EBD2488"/>
    <w:rsid w:val="7EC511AB"/>
    <w:rsid w:val="7EC7750A"/>
    <w:rsid w:val="7ECEA5AB"/>
    <w:rsid w:val="7ED0B939"/>
    <w:rsid w:val="7ED1A6DD"/>
    <w:rsid w:val="7ED2AEAA"/>
    <w:rsid w:val="7ED57AF4"/>
    <w:rsid w:val="7EDA01C6"/>
    <w:rsid w:val="7EDA9668"/>
    <w:rsid w:val="7EDC81BC"/>
    <w:rsid w:val="7EE99498"/>
    <w:rsid w:val="7EEF9ED0"/>
    <w:rsid w:val="7EF469CA"/>
    <w:rsid w:val="7EFBE114"/>
    <w:rsid w:val="7F0D01B0"/>
    <w:rsid w:val="7F0D258F"/>
    <w:rsid w:val="7F0D5669"/>
    <w:rsid w:val="7F0FDB3F"/>
    <w:rsid w:val="7F10ECEE"/>
    <w:rsid w:val="7F117DA4"/>
    <w:rsid w:val="7F16BE9B"/>
    <w:rsid w:val="7F17028D"/>
    <w:rsid w:val="7F19F81B"/>
    <w:rsid w:val="7F1C83A2"/>
    <w:rsid w:val="7F1D577E"/>
    <w:rsid w:val="7F220F8C"/>
    <w:rsid w:val="7F233B4F"/>
    <w:rsid w:val="7F297D8F"/>
    <w:rsid w:val="7F2C4A9F"/>
    <w:rsid w:val="7F2CA851"/>
    <w:rsid w:val="7F2F21D5"/>
    <w:rsid w:val="7F30890A"/>
    <w:rsid w:val="7F31E47F"/>
    <w:rsid w:val="7F35FDDD"/>
    <w:rsid w:val="7F37B3B7"/>
    <w:rsid w:val="7F3AEF39"/>
    <w:rsid w:val="7F4434D5"/>
    <w:rsid w:val="7F45E50F"/>
    <w:rsid w:val="7F46E3AF"/>
    <w:rsid w:val="7F4A12FF"/>
    <w:rsid w:val="7F4B0848"/>
    <w:rsid w:val="7F4BF376"/>
    <w:rsid w:val="7F4D8592"/>
    <w:rsid w:val="7F560C22"/>
    <w:rsid w:val="7F5968DA"/>
    <w:rsid w:val="7F59F9AB"/>
    <w:rsid w:val="7F5F6026"/>
    <w:rsid w:val="7F6031FD"/>
    <w:rsid w:val="7F6135F0"/>
    <w:rsid w:val="7F620964"/>
    <w:rsid w:val="7F668407"/>
    <w:rsid w:val="7F679ADD"/>
    <w:rsid w:val="7F67DE9D"/>
    <w:rsid w:val="7F6A7553"/>
    <w:rsid w:val="7F6ADB2D"/>
    <w:rsid w:val="7F73D576"/>
    <w:rsid w:val="7F795016"/>
    <w:rsid w:val="7F7EC944"/>
    <w:rsid w:val="7F8472AC"/>
    <w:rsid w:val="7F853B37"/>
    <w:rsid w:val="7F884E52"/>
    <w:rsid w:val="7F899CC6"/>
    <w:rsid w:val="7F8F0008"/>
    <w:rsid w:val="7F937578"/>
    <w:rsid w:val="7F9AF1E1"/>
    <w:rsid w:val="7F9BF5B0"/>
    <w:rsid w:val="7F9BF651"/>
    <w:rsid w:val="7F9DD1CD"/>
    <w:rsid w:val="7F9F7111"/>
    <w:rsid w:val="7FA19F89"/>
    <w:rsid w:val="7FA1FE77"/>
    <w:rsid w:val="7FA2C077"/>
    <w:rsid w:val="7FA3D7EA"/>
    <w:rsid w:val="7FA6E9BC"/>
    <w:rsid w:val="7FA731DC"/>
    <w:rsid w:val="7FAACC0A"/>
    <w:rsid w:val="7FABE77F"/>
    <w:rsid w:val="7FAC3742"/>
    <w:rsid w:val="7FADA615"/>
    <w:rsid w:val="7FB06203"/>
    <w:rsid w:val="7FB330A3"/>
    <w:rsid w:val="7FB40EBF"/>
    <w:rsid w:val="7FB4D055"/>
    <w:rsid w:val="7FB954F0"/>
    <w:rsid w:val="7FBD4FC8"/>
    <w:rsid w:val="7FC6B2C3"/>
    <w:rsid w:val="7FCCFA7A"/>
    <w:rsid w:val="7FD07592"/>
    <w:rsid w:val="7FD6EFA0"/>
    <w:rsid w:val="7FDAA445"/>
    <w:rsid w:val="7FDBD8B9"/>
    <w:rsid w:val="7FDF5534"/>
    <w:rsid w:val="7FE5304A"/>
    <w:rsid w:val="7FE53D7A"/>
    <w:rsid w:val="7FE73701"/>
    <w:rsid w:val="7FED1552"/>
    <w:rsid w:val="7FEE85F5"/>
    <w:rsid w:val="7FF1BA84"/>
    <w:rsid w:val="7FF22809"/>
    <w:rsid w:val="7FF3E9E3"/>
    <w:rsid w:val="7FF4043B"/>
    <w:rsid w:val="7FF76D3D"/>
    <w:rsid w:val="7FF884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1A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18"/>
    <w:pPr>
      <w:spacing w:after="240" w:line="240" w:lineRule="auto"/>
      <w:jc w:val="both"/>
    </w:pPr>
    <w:rPr>
      <w:rFonts w:ascii="Times New Roman" w:hAnsi="Times New Roman" w:cs="Times New Roman"/>
      <w:sz w:val="24"/>
      <w:szCs w:val="24"/>
    </w:rPr>
  </w:style>
  <w:style w:type="paragraph" w:styleId="Heading1">
    <w:name w:val="heading 1"/>
    <w:basedOn w:val="Normal"/>
    <w:next w:val="Text1"/>
    <w:link w:val="Heading1Char"/>
    <w:qFormat/>
    <w:rsid w:val="006B087E"/>
    <w:pPr>
      <w:keepNext/>
      <w:numPr>
        <w:numId w:val="59"/>
      </w:numPr>
      <w:spacing w:before="240"/>
      <w:outlineLvl w:val="0"/>
    </w:pPr>
    <w:rPr>
      <w:rFonts w:eastAsia="Times New Roman"/>
      <w:b/>
      <w:smallCaps/>
      <w:szCs w:val="20"/>
    </w:rPr>
  </w:style>
  <w:style w:type="paragraph" w:styleId="Heading2">
    <w:name w:val="heading 2"/>
    <w:basedOn w:val="Normal"/>
    <w:next w:val="Text2"/>
    <w:link w:val="Heading2Char"/>
    <w:qFormat/>
    <w:rsid w:val="006B087E"/>
    <w:pPr>
      <w:keepNext/>
      <w:numPr>
        <w:ilvl w:val="1"/>
        <w:numId w:val="59"/>
      </w:numPr>
      <w:outlineLvl w:val="1"/>
    </w:pPr>
    <w:rPr>
      <w:rFonts w:eastAsia="Times New Roman"/>
      <w:b/>
      <w:szCs w:val="20"/>
    </w:rPr>
  </w:style>
  <w:style w:type="paragraph" w:styleId="Heading3">
    <w:name w:val="heading 3"/>
    <w:basedOn w:val="Normal"/>
    <w:next w:val="Normal"/>
    <w:link w:val="Heading3Char"/>
    <w:qFormat/>
    <w:rsid w:val="006B087E"/>
    <w:pPr>
      <w:keepNext/>
      <w:numPr>
        <w:ilvl w:val="2"/>
        <w:numId w:val="59"/>
      </w:numPr>
      <w:outlineLvl w:val="2"/>
    </w:pPr>
    <w:rPr>
      <w:rFonts w:eastAsia="Times New Roman"/>
      <w:i/>
      <w:szCs w:val="20"/>
    </w:rPr>
  </w:style>
  <w:style w:type="paragraph" w:styleId="Heading4">
    <w:name w:val="heading 4"/>
    <w:basedOn w:val="Normal"/>
    <w:next w:val="Normal"/>
    <w:link w:val="Heading4Char"/>
    <w:qFormat/>
    <w:rsid w:val="006B087E"/>
    <w:pPr>
      <w:keepNext/>
      <w:numPr>
        <w:ilvl w:val="3"/>
        <w:numId w:val="59"/>
      </w:numPr>
      <w:outlineLvl w:val="3"/>
    </w:pPr>
    <w:rPr>
      <w:rFonts w:eastAsia="Times New Roman"/>
      <w:szCs w:val="20"/>
    </w:rPr>
  </w:style>
  <w:style w:type="paragraph" w:styleId="Heading5">
    <w:name w:val="heading 5"/>
    <w:basedOn w:val="Normal"/>
    <w:next w:val="Normal"/>
    <w:link w:val="Heading5Char"/>
    <w:uiPriority w:val="9"/>
    <w:unhideWhenUsed/>
    <w:qFormat/>
    <w:rsid w:val="0053316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6B087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B087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pPr>
  </w:style>
  <w:style w:type="paragraph" w:styleId="Header">
    <w:name w:val="header"/>
    <w:basedOn w:val="Normal"/>
    <w:link w:val="HeaderChar"/>
    <w:uiPriority w:val="99"/>
    <w:unhideWhenUsed/>
    <w:rsid w:val="006B087E"/>
    <w:pPr>
      <w:tabs>
        <w:tab w:val="center" w:pos="4535"/>
        <w:tab w:val="right" w:pos="9071"/>
      </w:tabs>
      <w:spacing w:after="120"/>
    </w:pPr>
  </w:style>
  <w:style w:type="character" w:customStyle="1" w:styleId="HeaderChar">
    <w:name w:val="Header Char"/>
    <w:basedOn w:val="DefaultParagraphFont"/>
    <w:link w:val="Header"/>
    <w:uiPriority w:val="99"/>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B087E"/>
    <w:rPr>
      <w:rFonts w:ascii="Times New Roman" w:hAnsi="Times New Roman" w:cs="Times New Roman"/>
      <w:sz w:val="24"/>
      <w:szCs w:val="24"/>
    </w:rPr>
  </w:style>
  <w:style w:type="paragraph" w:customStyle="1" w:styleId="HeaderCoverPage">
    <w:name w:val="Header Cover Page"/>
    <w:basedOn w:val="Normal"/>
    <w:link w:val="HeaderCoverPageChar"/>
    <w:rsid w:val="006B087E"/>
    <w:pPr>
      <w:tabs>
        <w:tab w:val="center" w:pos="4535"/>
        <w:tab w:val="right" w:pos="9071"/>
      </w:tabs>
      <w:spacing w:after="120"/>
    </w:pPr>
  </w:style>
  <w:style w:type="character" w:customStyle="1" w:styleId="HeaderCoverPageChar">
    <w:name w:val="Header Cover Page Char"/>
    <w:basedOn w:val="DefaultParagraphFont"/>
    <w:link w:val="HeaderCoverPage"/>
    <w:rsid w:val="006B087E"/>
    <w:rPr>
      <w:rFonts w:ascii="Times New Roman" w:hAnsi="Times New Roman" w:cs="Times New Roman"/>
      <w:sz w:val="24"/>
      <w:szCs w:val="24"/>
    </w:rPr>
  </w:style>
  <w:style w:type="paragraph" w:customStyle="1" w:styleId="Text1">
    <w:name w:val="Text 1"/>
    <w:basedOn w:val="Normal"/>
    <w:qFormat/>
    <w:rsid w:val="006B087E"/>
    <w:pPr>
      <w:ind w:left="482"/>
    </w:pPr>
    <w:rPr>
      <w:rFonts w:eastAsia="Times New Roman"/>
      <w:szCs w:val="20"/>
    </w:rPr>
  </w:style>
  <w:style w:type="paragraph" w:customStyle="1" w:styleId="Text2">
    <w:name w:val="Text 2"/>
    <w:basedOn w:val="Normal"/>
    <w:uiPriority w:val="1"/>
    <w:qFormat/>
    <w:rsid w:val="006B087E"/>
    <w:pPr>
      <w:tabs>
        <w:tab w:val="left" w:pos="2302"/>
      </w:tabs>
      <w:ind w:left="1202"/>
    </w:pPr>
    <w:rPr>
      <w:rFonts w:eastAsia="Times New Roman"/>
      <w:szCs w:val="20"/>
    </w:rPr>
  </w:style>
  <w:style w:type="paragraph" w:styleId="ListBullet">
    <w:name w:val="List Bullet"/>
    <w:basedOn w:val="Normal"/>
    <w:rsid w:val="006B087E"/>
    <w:pPr>
      <w:numPr>
        <w:numId w:val="12"/>
      </w:numPr>
    </w:pPr>
    <w:rPr>
      <w:rFonts w:eastAsia="Times New Roman"/>
      <w:szCs w:val="20"/>
    </w:rPr>
  </w:style>
  <w:style w:type="paragraph" w:customStyle="1" w:styleId="ListDash1">
    <w:name w:val="List Dash 1"/>
    <w:basedOn w:val="Text1"/>
    <w:rsid w:val="006B087E"/>
    <w:pPr>
      <w:numPr>
        <w:numId w:val="13"/>
      </w:numPr>
    </w:pPr>
  </w:style>
  <w:style w:type="table" w:styleId="TableGrid">
    <w:name w:val="Table Grid"/>
    <w:aliases w:val="Document Table,CV1"/>
    <w:basedOn w:val="TableNormal"/>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Heading1"/>
    <w:next w:val="Normal"/>
    <w:link w:val="AnnexTitleChar"/>
    <w:autoRedefine/>
    <w:qFormat/>
    <w:rsid w:val="008A4E72"/>
    <w:pPr>
      <w:numPr>
        <w:numId w:val="0"/>
      </w:numPr>
      <w:spacing w:after="480"/>
      <w:jc w:val="center"/>
    </w:pPr>
    <w:rPr>
      <w:sz w:val="32"/>
    </w:rPr>
  </w:style>
  <w:style w:type="character" w:customStyle="1" w:styleId="AnnexTitleChar">
    <w:name w:val="Annex Title Char"/>
    <w:basedOn w:val="DefaultParagraphFont"/>
    <w:link w:val="AnnexTitle"/>
    <w:rsid w:val="008A4E72"/>
    <w:rPr>
      <w:rFonts w:ascii="Times New Roman" w:eastAsia="Times New Roman" w:hAnsi="Times New Roman" w:cs="Times New Roman"/>
      <w:b/>
      <w:smallCaps/>
      <w:sz w:val="32"/>
      <w:szCs w:val="20"/>
    </w:rPr>
  </w:style>
  <w:style w:type="table" w:customStyle="1" w:styleId="CV11">
    <w:name w:val="CV11"/>
    <w:basedOn w:val="TableNormal"/>
    <w:next w:val="TableGrid"/>
    <w:uiPriority w:val="5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B087E"/>
    <w:pPr>
      <w:tabs>
        <w:tab w:val="right" w:leader="dot" w:pos="8640"/>
      </w:tabs>
      <w:spacing w:before="120" w:after="120"/>
      <w:ind w:left="482" w:right="720" w:hanging="482"/>
    </w:pPr>
    <w:rPr>
      <w:rFonts w:eastAsia="Times New Roman"/>
      <w:caps/>
      <w:sz w:val="20"/>
      <w:szCs w:val="20"/>
    </w:rPr>
  </w:style>
  <w:style w:type="paragraph" w:styleId="TOC2">
    <w:name w:val="toc 2"/>
    <w:basedOn w:val="Normal"/>
    <w:next w:val="Normal"/>
    <w:uiPriority w:val="39"/>
    <w:rsid w:val="006B087E"/>
    <w:pPr>
      <w:tabs>
        <w:tab w:val="right" w:leader="dot" w:pos="8640"/>
      </w:tabs>
      <w:spacing w:before="60" w:after="60"/>
      <w:ind w:left="1077" w:right="720" w:hanging="595"/>
    </w:pPr>
    <w:rPr>
      <w:rFonts w:eastAsia="Times New Roman"/>
      <w:szCs w:val="20"/>
    </w:rPr>
  </w:style>
  <w:style w:type="paragraph" w:styleId="TOCHeading">
    <w:name w:val="TOC Heading"/>
    <w:basedOn w:val="Normal"/>
    <w:next w:val="Normal"/>
    <w:qFormat/>
    <w:rsid w:val="006B087E"/>
    <w:pPr>
      <w:keepNext/>
      <w:spacing w:before="240"/>
      <w:jc w:val="center"/>
    </w:pPr>
    <w:rPr>
      <w:rFonts w:eastAsia="Times New Roman"/>
      <w:b/>
      <w:szCs w:val="20"/>
    </w:rPr>
  </w:style>
  <w:style w:type="character" w:styleId="Hyperlink">
    <w:name w:val="Hyperlink"/>
    <w:aliases w:val=" Znak Znak Znak,Znak Znak Znak,draft,Hypervincle"/>
    <w:basedOn w:val="DefaultParagraphFont"/>
    <w:uiPriority w:val="99"/>
    <w:unhideWhenUsed/>
    <w:qFormat/>
    <w:rsid w:val="006B087E"/>
    <w:rPr>
      <w:color w:val="0000FF" w:themeColor="hyperlink"/>
      <w:u w:val="single"/>
    </w:rPr>
  </w:style>
  <w:style w:type="paragraph" w:styleId="BalloonText">
    <w:name w:val="Balloon Text"/>
    <w:basedOn w:val="Normal"/>
    <w:link w:val="BalloonTextChar"/>
    <w:uiPriority w:val="99"/>
    <w:semiHidden/>
    <w:unhideWhenUsed/>
    <w:rsid w:val="006B08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pPr>
  </w:style>
  <w:style w:type="paragraph" w:customStyle="1" w:styleId="HeaderLandscape">
    <w:name w:val="HeaderLandscape"/>
    <w:basedOn w:val="Normal"/>
    <w:rsid w:val="006B087E"/>
    <w:pPr>
      <w:tabs>
        <w:tab w:val="center" w:pos="7285"/>
        <w:tab w:val="right" w:pos="14003"/>
      </w:tabs>
      <w:spacing w:after="120"/>
    </w:p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rsid w:val="006B087E"/>
    <w:pPr>
      <w:tabs>
        <w:tab w:val="center" w:pos="7285"/>
        <w:tab w:val="center" w:pos="10913"/>
        <w:tab w:val="right" w:pos="15137"/>
      </w:tabs>
      <w:spacing w:before="360" w:after="0"/>
      <w:ind w:left="-567" w:right="-567"/>
    </w:p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HeaderSensitivityRight">
    <w:name w:val="Header Sensitivity Right"/>
    <w:basedOn w:val="Normal"/>
    <w:link w:val="HeaderSensitivityRightChar"/>
    <w:rsid w:val="006B087E"/>
    <w:pPr>
      <w:spacing w:after="120"/>
      <w:jc w:val="right"/>
    </w:pPr>
    <w:rPr>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szCs w:val="24"/>
    </w:rPr>
  </w:style>
  <w:style w:type="character" w:customStyle="1" w:styleId="Heading5Char">
    <w:name w:val="Heading 5 Char"/>
    <w:basedOn w:val="DefaultParagraphFont"/>
    <w:link w:val="Heading5"/>
    <w:uiPriority w:val="9"/>
    <w:rsid w:val="0053316B"/>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5331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16B"/>
    <w:rPr>
      <w:rFonts w:asciiTheme="majorHAnsi" w:eastAsiaTheme="majorEastAsia" w:hAnsiTheme="majorHAnsi" w:cstheme="majorBidi"/>
      <w:spacing w:val="-10"/>
      <w:kern w:val="28"/>
      <w:sz w:val="56"/>
      <w:szCs w:val="56"/>
    </w:rPr>
  </w:style>
  <w:style w:type="paragraph" w:styleId="NoSpacing">
    <w:name w:val="No Spacing"/>
    <w:uiPriority w:val="1"/>
    <w:qFormat/>
    <w:rsid w:val="00FB0D73"/>
    <w:pPr>
      <w:spacing w:after="0" w:line="240" w:lineRule="auto"/>
    </w:pPr>
    <w:rPr>
      <w:rFonts w:eastAsiaTheme="minorEastAsia"/>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FB0D73"/>
    <w:pPr>
      <w:spacing w:after="0"/>
    </w:pPr>
    <w:rPr>
      <w:rFonts w:eastAsiaTheme="minorEastAsia"/>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FB0D73"/>
    <w:rPr>
      <w:rFonts w:ascii="Times New Roman" w:eastAsiaTheme="minorEastAsia" w:hAnsi="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nhideWhenUsed/>
    <w:qFormat/>
    <w:rsid w:val="00FB0D73"/>
    <w:rPr>
      <w:vertAlign w:val="superscript"/>
    </w:rPr>
  </w:style>
  <w:style w:type="paragraph" w:customStyle="1" w:styleId="CharCharChar1">
    <w:name w:val="Char Char Char1"/>
    <w:basedOn w:val="Normal"/>
    <w:link w:val="FootnoteReference"/>
    <w:uiPriority w:val="99"/>
    <w:rsid w:val="00FB0D73"/>
    <w:pPr>
      <w:spacing w:after="160" w:line="240" w:lineRule="exact"/>
    </w:pPr>
    <w:rPr>
      <w:vertAlign w:val="superscript"/>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Bullet 1"/>
    <w:basedOn w:val="Normal"/>
    <w:link w:val="ListParagraphChar"/>
    <w:uiPriority w:val="34"/>
    <w:qFormat/>
    <w:rsid w:val="00281573"/>
    <w:pPr>
      <w:ind w:left="720"/>
      <w:contextualSpacing/>
    </w:pPr>
  </w:style>
  <w:style w:type="character" w:styleId="CommentReference">
    <w:name w:val="annotation reference"/>
    <w:basedOn w:val="DefaultParagraphFont"/>
    <w:unhideWhenUsed/>
    <w:rsid w:val="002252CF"/>
    <w:rPr>
      <w:sz w:val="16"/>
      <w:szCs w:val="16"/>
    </w:rPr>
  </w:style>
  <w:style w:type="paragraph" w:styleId="CommentText">
    <w:name w:val="annotation text"/>
    <w:basedOn w:val="Normal"/>
    <w:link w:val="CommentTextChar"/>
    <w:unhideWhenUsed/>
    <w:rsid w:val="002252CF"/>
    <w:rPr>
      <w:sz w:val="20"/>
      <w:szCs w:val="20"/>
    </w:rPr>
  </w:style>
  <w:style w:type="character" w:customStyle="1" w:styleId="CommentTextChar">
    <w:name w:val="Comment Text Char"/>
    <w:basedOn w:val="DefaultParagraphFont"/>
    <w:link w:val="CommentText"/>
    <w:uiPriority w:val="99"/>
    <w:rsid w:val="002252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2CF"/>
    <w:rPr>
      <w:b/>
      <w:bCs/>
    </w:rPr>
  </w:style>
  <w:style w:type="character" w:customStyle="1" w:styleId="CommentSubjectChar">
    <w:name w:val="Comment Subject Char"/>
    <w:basedOn w:val="CommentTextChar"/>
    <w:link w:val="CommentSubject"/>
    <w:uiPriority w:val="99"/>
    <w:semiHidden/>
    <w:rsid w:val="002252CF"/>
    <w:rPr>
      <w:rFonts w:ascii="Times New Roman" w:hAnsi="Times New Roman" w:cs="Times New Roman"/>
      <w:b/>
      <w:bCs/>
      <w:sz w:val="20"/>
      <w:szCs w:val="20"/>
    </w:rPr>
  </w:style>
  <w:style w:type="paragraph" w:styleId="Revision">
    <w:name w:val="Revision"/>
    <w:hidden/>
    <w:uiPriority w:val="99"/>
    <w:semiHidden/>
    <w:rsid w:val="002252CF"/>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03B8A"/>
    <w:rPr>
      <w:color w:val="605E5C"/>
      <w:shd w:val="clear" w:color="auto" w:fill="E1DFDD"/>
    </w:rPr>
  </w:style>
  <w:style w:type="character" w:styleId="FollowedHyperlink">
    <w:name w:val="FollowedHyperlink"/>
    <w:basedOn w:val="DefaultParagraphFont"/>
    <w:uiPriority w:val="99"/>
    <w:semiHidden/>
    <w:unhideWhenUsed/>
    <w:rsid w:val="002564DE"/>
    <w:rPr>
      <w:color w:val="800080" w:themeColor="followedHyperlink"/>
      <w:u w:val="single"/>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995F32"/>
    <w:rPr>
      <w:rFonts w:ascii="Times New Roman" w:hAnsi="Times New Roman" w:cs="Times New Roman"/>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
    <w:basedOn w:val="Normal"/>
    <w:uiPriority w:val="99"/>
    <w:rsid w:val="003A3556"/>
    <w:pPr>
      <w:spacing w:before="120" w:after="120" w:line="240" w:lineRule="exact"/>
    </w:pPr>
    <w:rPr>
      <w:rFonts w:asciiTheme="minorHAnsi" w:hAnsiTheme="minorHAnsi" w:cstheme="minorBidi"/>
      <w:kern w:val="2"/>
      <w:sz w:val="20"/>
      <w:szCs w:val="22"/>
      <w:vertAlign w:val="superscript"/>
    </w:rPr>
  </w:style>
  <w:style w:type="character" w:customStyle="1" w:styleId="normaltextrun">
    <w:name w:val="normaltextrun"/>
    <w:basedOn w:val="DefaultParagraphFont"/>
    <w:rsid w:val="003A3556"/>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B65257"/>
    <w:pPr>
      <w:spacing w:after="160" w:line="240" w:lineRule="exact"/>
    </w:pPr>
    <w:rPr>
      <w:rFonts w:asciiTheme="minorHAnsi" w:eastAsiaTheme="minorEastAsia" w:hAnsiTheme="minorHAnsi" w:cstheme="minorBidi"/>
      <w:vertAlign w:val="superscript"/>
      <w:lang w:val="en-IE" w:eastAsia="ja-JP"/>
    </w:rPr>
  </w:style>
  <w:style w:type="paragraph" w:customStyle="1" w:styleId="Footnote">
    <w:name w:val="Footnote"/>
    <w:basedOn w:val="FootnoteText"/>
    <w:qFormat/>
    <w:rsid w:val="00E92697"/>
    <w:pPr>
      <w:jc w:val="left"/>
    </w:pPr>
    <w:rPr>
      <w:rFonts w:eastAsiaTheme="minorHAnsi" w:cstheme="minorBidi"/>
      <w:lang w:val="de-DE"/>
    </w:rPr>
  </w:style>
  <w:style w:type="paragraph" w:styleId="EndnoteText">
    <w:name w:val="endnote text"/>
    <w:basedOn w:val="Normal"/>
    <w:link w:val="EndnoteTextChar"/>
    <w:uiPriority w:val="99"/>
    <w:semiHidden/>
    <w:unhideWhenUsed/>
    <w:rsid w:val="00052A5C"/>
    <w:pPr>
      <w:spacing w:after="0"/>
    </w:pPr>
    <w:rPr>
      <w:sz w:val="20"/>
      <w:szCs w:val="20"/>
    </w:rPr>
  </w:style>
  <w:style w:type="character" w:customStyle="1" w:styleId="EndnoteTextChar">
    <w:name w:val="Endnote Text Char"/>
    <w:basedOn w:val="DefaultParagraphFont"/>
    <w:link w:val="EndnoteText"/>
    <w:uiPriority w:val="99"/>
    <w:semiHidden/>
    <w:rsid w:val="00052A5C"/>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52A5C"/>
    <w:rPr>
      <w:vertAlign w:val="superscript"/>
    </w:rPr>
  </w:style>
  <w:style w:type="paragraph" w:customStyle="1" w:styleId="Default">
    <w:name w:val="Default"/>
    <w:rsid w:val="00BC3D58"/>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paragraph">
    <w:name w:val="paragraph"/>
    <w:basedOn w:val="Normal"/>
    <w:rsid w:val="007E4795"/>
    <w:pPr>
      <w:spacing w:before="100" w:beforeAutospacing="1" w:after="100" w:afterAutospacing="1"/>
      <w:jc w:val="left"/>
    </w:pPr>
    <w:rPr>
      <w:rFonts w:eastAsia="Times New Roman"/>
      <w:lang w:val="en-IE" w:eastAsia="en-IE"/>
    </w:rPr>
  </w:style>
  <w:style w:type="character" w:customStyle="1" w:styleId="eop">
    <w:name w:val="eop"/>
    <w:basedOn w:val="DefaultParagraphFont"/>
    <w:rsid w:val="007E4795"/>
  </w:style>
  <w:style w:type="character" w:customStyle="1" w:styleId="Mention1">
    <w:name w:val="Mention1"/>
    <w:basedOn w:val="DefaultParagraphFont"/>
    <w:uiPriority w:val="99"/>
    <w:unhideWhenUsed/>
    <w:rsid w:val="00865CBE"/>
    <w:rPr>
      <w:color w:val="2B579A"/>
      <w:shd w:val="clear" w:color="auto" w:fill="E1DFDD"/>
    </w:rPr>
  </w:style>
  <w:style w:type="paragraph" w:styleId="TOC3">
    <w:name w:val="toc 3"/>
    <w:basedOn w:val="Normal"/>
    <w:next w:val="Normal"/>
    <w:autoRedefine/>
    <w:uiPriority w:val="39"/>
    <w:unhideWhenUsed/>
    <w:rsid w:val="00E40CB0"/>
    <w:pPr>
      <w:tabs>
        <w:tab w:val="left" w:pos="993"/>
      </w:tabs>
      <w:spacing w:after="100"/>
      <w:ind w:left="480"/>
    </w:pPr>
  </w:style>
  <w:style w:type="paragraph" w:customStyle="1" w:styleId="BodyText1">
    <w:name w:val="Body Text1"/>
    <w:basedOn w:val="Normal"/>
    <w:link w:val="BodytextChar"/>
    <w:qFormat/>
    <w:rsid w:val="00697A16"/>
    <w:pPr>
      <w:widowControl w:val="0"/>
      <w:spacing w:before="120" w:after="120"/>
    </w:pPr>
    <w:rPr>
      <w:rFonts w:ascii="Arial" w:eastAsia="Times New Roman" w:hAnsi="Arial"/>
      <w:sz w:val="22"/>
      <w:szCs w:val="20"/>
    </w:rPr>
  </w:style>
  <w:style w:type="character" w:customStyle="1" w:styleId="BodytextChar">
    <w:name w:val="Body text Char"/>
    <w:link w:val="BodyText1"/>
    <w:rsid w:val="00697A16"/>
    <w:rPr>
      <w:rFonts w:ascii="Arial" w:eastAsia="Times New Roman" w:hAnsi="Arial" w:cs="Times New Roman"/>
      <w:szCs w:val="20"/>
    </w:rPr>
  </w:style>
  <w:style w:type="paragraph" w:customStyle="1" w:styleId="Subject">
    <w:name w:val="Subject"/>
    <w:basedOn w:val="Normal"/>
    <w:next w:val="Normal"/>
    <w:rsid w:val="00BB56CB"/>
    <w:pPr>
      <w:spacing w:after="480"/>
      <w:ind w:left="1531" w:hanging="1531"/>
      <w:jc w:val="left"/>
    </w:pPr>
    <w:rPr>
      <w:rFonts w:eastAsia="Times New Roman"/>
      <w:b/>
      <w:szCs w:val="20"/>
      <w:lang w:val="fr-FR"/>
    </w:rPr>
  </w:style>
  <w:style w:type="paragraph" w:customStyle="1" w:styleId="bullet1">
    <w:name w:val="bullet 1"/>
    <w:basedOn w:val="BodyText1"/>
    <w:link w:val="bullet1Char"/>
    <w:qFormat/>
    <w:rsid w:val="00BB56CB"/>
    <w:pPr>
      <w:widowControl/>
      <w:numPr>
        <w:numId w:val="87"/>
      </w:numPr>
    </w:pPr>
    <w:rPr>
      <w:noProof/>
      <w:szCs w:val="24"/>
    </w:rPr>
  </w:style>
  <w:style w:type="character" w:customStyle="1" w:styleId="bullet1Char">
    <w:name w:val="bullet 1 Char"/>
    <w:basedOn w:val="BodytextChar"/>
    <w:link w:val="bullet1"/>
    <w:rsid w:val="00BB56CB"/>
    <w:rPr>
      <w:rFonts w:ascii="Arial" w:eastAsia="Times New Roman" w:hAnsi="Arial" w:cs="Times New Roman"/>
      <w:noProof/>
      <w:szCs w:val="24"/>
    </w:rPr>
  </w:style>
  <w:style w:type="paragraph" w:customStyle="1" w:styleId="Bullets2">
    <w:name w:val="Bullets 2"/>
    <w:basedOn w:val="BodyText1"/>
    <w:link w:val="Bullets2Char"/>
    <w:qFormat/>
    <w:rsid w:val="008646A3"/>
    <w:pPr>
      <w:widowControl/>
      <w:numPr>
        <w:numId w:val="88"/>
      </w:numPr>
    </w:pPr>
    <w:rPr>
      <w:noProof/>
      <w:lang w:val="it-IT"/>
    </w:rPr>
  </w:style>
  <w:style w:type="character" w:customStyle="1" w:styleId="Bullets2Char">
    <w:name w:val="Bullets 2 Char"/>
    <w:basedOn w:val="BodytextChar"/>
    <w:link w:val="Bullets2"/>
    <w:rsid w:val="008646A3"/>
    <w:rPr>
      <w:rFonts w:ascii="Arial" w:eastAsia="Times New Roman" w:hAnsi="Arial" w:cs="Times New Roman"/>
      <w:noProof/>
      <w:szCs w:val="20"/>
      <w:lang w:val="it-IT"/>
    </w:rPr>
  </w:style>
  <w:style w:type="paragraph" w:customStyle="1" w:styleId="NumPar4">
    <w:name w:val="NumPar 4"/>
    <w:basedOn w:val="Heading4"/>
    <w:next w:val="Normal"/>
    <w:rsid w:val="000E081F"/>
    <w:pPr>
      <w:keepNext w:val="0"/>
      <w:numPr>
        <w:numId w:val="3"/>
      </w:numPr>
      <w:outlineLvl w:val="9"/>
    </w:pPr>
    <w:rPr>
      <w:lang w:val="fr-FR"/>
    </w:rPr>
  </w:style>
  <w:style w:type="paragraph" w:styleId="BodyTextIndent3">
    <w:name w:val="Body Text Indent 3"/>
    <w:basedOn w:val="Normal"/>
    <w:link w:val="BodyTextIndent3Char"/>
    <w:rsid w:val="00066FE6"/>
    <w:pPr>
      <w:spacing w:after="120"/>
      <w:ind w:left="283"/>
    </w:pPr>
    <w:rPr>
      <w:rFonts w:eastAsia="Times New Roman"/>
      <w:sz w:val="16"/>
      <w:szCs w:val="20"/>
      <w:lang w:val="fr-FR"/>
    </w:rPr>
  </w:style>
  <w:style w:type="character" w:customStyle="1" w:styleId="BodyTextIndent3Char">
    <w:name w:val="Body Text Indent 3 Char"/>
    <w:basedOn w:val="DefaultParagraphFont"/>
    <w:link w:val="BodyTextIndent3"/>
    <w:rsid w:val="00066FE6"/>
    <w:rPr>
      <w:rFonts w:ascii="Times New Roman" w:eastAsia="Times New Roman" w:hAnsi="Times New Roman" w:cs="Times New Roman"/>
      <w:sz w:val="16"/>
      <w:szCs w:val="20"/>
      <w:lang w:val="fr-FR"/>
    </w:rPr>
  </w:style>
  <w:style w:type="table" w:customStyle="1" w:styleId="DocumentTable1">
    <w:name w:val="Document Table1"/>
    <w:basedOn w:val="TableNormal"/>
    <w:next w:val="TableGrid"/>
    <w:uiPriority w:val="39"/>
    <w:rsid w:val="00015977"/>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table" w:styleId="TableGridLight">
    <w:name w:val="Grid Table Light"/>
    <w:basedOn w:val="TableNormal"/>
    <w:uiPriority w:val="40"/>
    <w:rsid w:val="00C633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rsid w:val="00652C98"/>
    <w:pPr>
      <w:spacing w:before="120" w:after="120"/>
      <w:jc w:val="center"/>
    </w:pPr>
    <w:rPr>
      <w:rFonts w:ascii="Arial" w:eastAsia="Times New Roman" w:hAnsi="Arial"/>
      <w:i/>
      <w:sz w:val="16"/>
      <w:szCs w:val="20"/>
      <w:lang w:val="fr-FR"/>
    </w:rPr>
  </w:style>
  <w:style w:type="paragraph" w:customStyle="1" w:styleId="ListDash3">
    <w:name w:val="List Dash 3"/>
    <w:basedOn w:val="Normal"/>
    <w:rsid w:val="00652C98"/>
    <w:pPr>
      <w:numPr>
        <w:numId w:val="93"/>
      </w:numPr>
    </w:pPr>
    <w:rPr>
      <w:rFonts w:eastAsia="Times New Roman"/>
      <w:szCs w:val="20"/>
      <w:lang w:val="fr-FR"/>
    </w:rPr>
  </w:style>
  <w:style w:type="paragraph" w:customStyle="1" w:styleId="Title1">
    <w:name w:val="Title_1"/>
    <w:basedOn w:val="Normal"/>
    <w:link w:val="Title1Char"/>
    <w:qFormat/>
    <w:rsid w:val="00652C98"/>
    <w:pPr>
      <w:keepNext/>
      <w:numPr>
        <w:numId w:val="94"/>
      </w:numPr>
      <w:spacing w:before="120" w:after="360"/>
      <w:outlineLvl w:val="1"/>
    </w:pPr>
    <w:rPr>
      <w:rFonts w:ascii="Arial" w:eastAsia="Times New Roman" w:hAnsi="Arial"/>
      <w:color w:val="325BAA"/>
      <w:sz w:val="36"/>
      <w:szCs w:val="36"/>
    </w:rPr>
  </w:style>
  <w:style w:type="paragraph" w:customStyle="1" w:styleId="title3">
    <w:name w:val="title_3"/>
    <w:basedOn w:val="Normal"/>
    <w:next w:val="BodyText1"/>
    <w:qFormat/>
    <w:rsid w:val="00652C98"/>
    <w:pPr>
      <w:keepNext/>
      <w:numPr>
        <w:ilvl w:val="2"/>
        <w:numId w:val="94"/>
      </w:numPr>
      <w:spacing w:before="240"/>
      <w:outlineLvl w:val="2"/>
    </w:pPr>
    <w:rPr>
      <w:rFonts w:ascii="Arial" w:eastAsia="Times New Roman" w:hAnsi="Arial"/>
      <w:color w:val="325BAA"/>
      <w:sz w:val="28"/>
      <w:szCs w:val="28"/>
    </w:rPr>
  </w:style>
  <w:style w:type="character" w:customStyle="1" w:styleId="Title1Char">
    <w:name w:val="Title_1 Char"/>
    <w:link w:val="Title1"/>
    <w:rsid w:val="00652C98"/>
    <w:rPr>
      <w:rFonts w:ascii="Arial" w:eastAsia="Times New Roman" w:hAnsi="Arial" w:cs="Times New Roman"/>
      <w:color w:val="325BAA"/>
      <w:sz w:val="36"/>
      <w:szCs w:val="36"/>
    </w:rPr>
  </w:style>
  <w:style w:type="paragraph" w:customStyle="1" w:styleId="Figure">
    <w:name w:val="Figure"/>
    <w:basedOn w:val="Normal"/>
    <w:link w:val="FigureChar"/>
    <w:qFormat/>
    <w:rsid w:val="00652C98"/>
    <w:pPr>
      <w:spacing w:before="120" w:after="120"/>
      <w:jc w:val="center"/>
    </w:pPr>
    <w:rPr>
      <w:rFonts w:ascii="Arial" w:eastAsia="Times New Roman" w:hAnsi="Arial"/>
      <w:i/>
      <w:sz w:val="16"/>
      <w:szCs w:val="14"/>
      <w:lang w:eastAsia="nl-BE"/>
    </w:rPr>
  </w:style>
  <w:style w:type="character" w:customStyle="1" w:styleId="FigureChar">
    <w:name w:val="Figure Char"/>
    <w:basedOn w:val="DefaultParagraphFont"/>
    <w:link w:val="Figure"/>
    <w:rsid w:val="00652C98"/>
    <w:rPr>
      <w:rFonts w:ascii="Arial" w:eastAsia="Times New Roman" w:hAnsi="Arial" w:cs="Times New Roman"/>
      <w:i/>
      <w:sz w:val="16"/>
      <w:szCs w:val="14"/>
      <w:lang w:eastAsia="nl-BE"/>
    </w:rPr>
  </w:style>
  <w:style w:type="paragraph" w:customStyle="1" w:styleId="Subtitle1">
    <w:name w:val="Subtitle 1"/>
    <w:basedOn w:val="BodyText1"/>
    <w:link w:val="Subtitle1Char"/>
    <w:qFormat/>
    <w:rsid w:val="00652C98"/>
    <w:pPr>
      <w:widowControl/>
      <w:spacing w:before="240" w:after="240"/>
    </w:pPr>
    <w:rPr>
      <w:i/>
      <w:noProof/>
      <w:color w:val="1F497D" w:themeColor="text2"/>
      <w:sz w:val="24"/>
      <w:szCs w:val="24"/>
    </w:rPr>
  </w:style>
  <w:style w:type="paragraph" w:customStyle="1" w:styleId="tabletitle">
    <w:name w:val="table title"/>
    <w:basedOn w:val="BodyText1"/>
    <w:link w:val="tabletitleChar"/>
    <w:qFormat/>
    <w:rsid w:val="00652C98"/>
    <w:pPr>
      <w:widowControl/>
      <w:jc w:val="center"/>
    </w:pPr>
    <w:rPr>
      <w:b/>
      <w:noProof/>
      <w:color w:val="1F497D" w:themeColor="text2"/>
      <w:lang w:val="fr-BE"/>
    </w:rPr>
  </w:style>
  <w:style w:type="character" w:customStyle="1" w:styleId="Subtitle1Char">
    <w:name w:val="Subtitle 1 Char"/>
    <w:basedOn w:val="BodytextChar"/>
    <w:link w:val="Subtitle1"/>
    <w:rsid w:val="00652C98"/>
    <w:rPr>
      <w:rFonts w:ascii="Arial" w:eastAsia="Times New Roman" w:hAnsi="Arial" w:cs="Times New Roman"/>
      <w:i/>
      <w:noProof/>
      <w:color w:val="1F497D" w:themeColor="text2"/>
      <w:sz w:val="24"/>
      <w:szCs w:val="24"/>
    </w:rPr>
  </w:style>
  <w:style w:type="character" w:customStyle="1" w:styleId="tabletitleChar">
    <w:name w:val="table title Char"/>
    <w:basedOn w:val="BodytextChar"/>
    <w:link w:val="tabletitle"/>
    <w:rsid w:val="00652C98"/>
    <w:rPr>
      <w:rFonts w:ascii="Arial" w:eastAsia="Times New Roman" w:hAnsi="Arial" w:cs="Times New Roman"/>
      <w:b/>
      <w:noProof/>
      <w:color w:val="1F497D" w:themeColor="text2"/>
      <w:szCs w:val="20"/>
      <w:lang w:val="fr-BE"/>
    </w:rPr>
  </w:style>
  <w:style w:type="paragraph" w:customStyle="1" w:styleId="Subtitle2">
    <w:name w:val="Subtitle 2"/>
    <w:basedOn w:val="Subtitle1"/>
    <w:link w:val="Subtitle2Char"/>
    <w:qFormat/>
    <w:rsid w:val="00652C98"/>
    <w:rPr>
      <w:i w:val="0"/>
    </w:rPr>
  </w:style>
  <w:style w:type="character" w:customStyle="1" w:styleId="Subtitle2Char">
    <w:name w:val="Subtitle 2 Char"/>
    <w:basedOn w:val="Subtitle1Char"/>
    <w:link w:val="Subtitle2"/>
    <w:rsid w:val="00652C98"/>
    <w:rPr>
      <w:rFonts w:ascii="Arial" w:eastAsia="Times New Roman" w:hAnsi="Arial" w:cs="Times New Roman"/>
      <w:i w:val="0"/>
      <w:noProof/>
      <w:color w:val="1F497D" w:themeColor="text2"/>
      <w:sz w:val="24"/>
      <w:szCs w:val="24"/>
    </w:rPr>
  </w:style>
  <w:style w:type="paragraph" w:customStyle="1" w:styleId="Title2">
    <w:name w:val="Title_2"/>
    <w:basedOn w:val="ListParagraph"/>
    <w:link w:val="Title2Char"/>
    <w:qFormat/>
    <w:rsid w:val="00652C98"/>
    <w:pPr>
      <w:numPr>
        <w:ilvl w:val="1"/>
        <w:numId w:val="94"/>
      </w:numPr>
      <w:spacing w:after="360"/>
    </w:pPr>
    <w:rPr>
      <w:rFonts w:ascii="Arial" w:eastAsia="Times New Roman" w:hAnsi="Arial"/>
      <w:color w:val="325BAA"/>
      <w:sz w:val="32"/>
      <w:szCs w:val="32"/>
    </w:rPr>
  </w:style>
  <w:style w:type="character" w:customStyle="1" w:styleId="Title2Char">
    <w:name w:val="Title_2 Char"/>
    <w:basedOn w:val="ListParagraphChar"/>
    <w:link w:val="Title2"/>
    <w:rsid w:val="00652C98"/>
    <w:rPr>
      <w:rFonts w:ascii="Arial" w:eastAsia="Times New Roman" w:hAnsi="Arial" w:cs="Times New Roman"/>
      <w:color w:val="325BAA"/>
      <w:sz w:val="32"/>
      <w:szCs w:val="32"/>
    </w:rPr>
  </w:style>
  <w:style w:type="character" w:styleId="Strong">
    <w:name w:val="Strong"/>
    <w:basedOn w:val="DefaultParagraphFont"/>
    <w:uiPriority w:val="22"/>
    <w:qFormat/>
    <w:rsid w:val="00652C98"/>
    <w:rPr>
      <w:b/>
      <w:bCs/>
    </w:rPr>
  </w:style>
  <w:style w:type="paragraph" w:styleId="BodyText">
    <w:name w:val="Body Text"/>
    <w:basedOn w:val="Normal"/>
    <w:link w:val="BodyTextChar0"/>
    <w:uiPriority w:val="99"/>
    <w:semiHidden/>
    <w:unhideWhenUsed/>
    <w:rsid w:val="004443B2"/>
    <w:pPr>
      <w:spacing w:after="120"/>
    </w:pPr>
  </w:style>
  <w:style w:type="character" w:customStyle="1" w:styleId="BodyTextChar0">
    <w:name w:val="Body Text Char"/>
    <w:basedOn w:val="DefaultParagraphFont"/>
    <w:link w:val="BodyText"/>
    <w:uiPriority w:val="99"/>
    <w:semiHidden/>
    <w:rsid w:val="004443B2"/>
    <w:rPr>
      <w:rFonts w:ascii="Times New Roman" w:hAnsi="Times New Roman" w:cs="Times New Roman"/>
      <w:sz w:val="24"/>
      <w:szCs w:val="24"/>
    </w:rPr>
  </w:style>
  <w:style w:type="table" w:customStyle="1" w:styleId="DocumentTable2">
    <w:name w:val="Document Table2"/>
    <w:basedOn w:val="TableNormal"/>
    <w:next w:val="TableGrid"/>
    <w:rsid w:val="00E362F1"/>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table" w:customStyle="1" w:styleId="DocumentTable3">
    <w:name w:val="Document Table3"/>
    <w:basedOn w:val="TableNormal"/>
    <w:next w:val="TableGrid"/>
    <w:rsid w:val="009C2AF7"/>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576">
      <w:bodyDiv w:val="1"/>
      <w:marLeft w:val="0"/>
      <w:marRight w:val="0"/>
      <w:marTop w:val="0"/>
      <w:marBottom w:val="0"/>
      <w:divBdr>
        <w:top w:val="none" w:sz="0" w:space="0" w:color="auto"/>
        <w:left w:val="none" w:sz="0" w:space="0" w:color="auto"/>
        <w:bottom w:val="none" w:sz="0" w:space="0" w:color="auto"/>
        <w:right w:val="none" w:sz="0" w:space="0" w:color="auto"/>
      </w:divBdr>
    </w:div>
    <w:div w:id="28771113">
      <w:bodyDiv w:val="1"/>
      <w:marLeft w:val="0"/>
      <w:marRight w:val="0"/>
      <w:marTop w:val="0"/>
      <w:marBottom w:val="0"/>
      <w:divBdr>
        <w:top w:val="none" w:sz="0" w:space="0" w:color="auto"/>
        <w:left w:val="none" w:sz="0" w:space="0" w:color="auto"/>
        <w:bottom w:val="none" w:sz="0" w:space="0" w:color="auto"/>
        <w:right w:val="none" w:sz="0" w:space="0" w:color="auto"/>
      </w:divBdr>
    </w:div>
    <w:div w:id="29959346">
      <w:bodyDiv w:val="1"/>
      <w:marLeft w:val="0"/>
      <w:marRight w:val="0"/>
      <w:marTop w:val="0"/>
      <w:marBottom w:val="0"/>
      <w:divBdr>
        <w:top w:val="none" w:sz="0" w:space="0" w:color="auto"/>
        <w:left w:val="none" w:sz="0" w:space="0" w:color="auto"/>
        <w:bottom w:val="none" w:sz="0" w:space="0" w:color="auto"/>
        <w:right w:val="none" w:sz="0" w:space="0" w:color="auto"/>
      </w:divBdr>
    </w:div>
    <w:div w:id="108744037">
      <w:bodyDiv w:val="1"/>
      <w:marLeft w:val="0"/>
      <w:marRight w:val="0"/>
      <w:marTop w:val="0"/>
      <w:marBottom w:val="0"/>
      <w:divBdr>
        <w:top w:val="none" w:sz="0" w:space="0" w:color="auto"/>
        <w:left w:val="none" w:sz="0" w:space="0" w:color="auto"/>
        <w:bottom w:val="none" w:sz="0" w:space="0" w:color="auto"/>
        <w:right w:val="none" w:sz="0" w:space="0" w:color="auto"/>
      </w:divBdr>
    </w:div>
    <w:div w:id="164563430">
      <w:bodyDiv w:val="1"/>
      <w:marLeft w:val="0"/>
      <w:marRight w:val="0"/>
      <w:marTop w:val="0"/>
      <w:marBottom w:val="0"/>
      <w:divBdr>
        <w:top w:val="none" w:sz="0" w:space="0" w:color="auto"/>
        <w:left w:val="none" w:sz="0" w:space="0" w:color="auto"/>
        <w:bottom w:val="none" w:sz="0" w:space="0" w:color="auto"/>
        <w:right w:val="none" w:sz="0" w:space="0" w:color="auto"/>
      </w:divBdr>
    </w:div>
    <w:div w:id="183835021">
      <w:bodyDiv w:val="1"/>
      <w:marLeft w:val="0"/>
      <w:marRight w:val="0"/>
      <w:marTop w:val="0"/>
      <w:marBottom w:val="0"/>
      <w:divBdr>
        <w:top w:val="none" w:sz="0" w:space="0" w:color="auto"/>
        <w:left w:val="none" w:sz="0" w:space="0" w:color="auto"/>
        <w:bottom w:val="none" w:sz="0" w:space="0" w:color="auto"/>
        <w:right w:val="none" w:sz="0" w:space="0" w:color="auto"/>
      </w:divBdr>
    </w:div>
    <w:div w:id="192309092">
      <w:bodyDiv w:val="1"/>
      <w:marLeft w:val="0"/>
      <w:marRight w:val="0"/>
      <w:marTop w:val="0"/>
      <w:marBottom w:val="0"/>
      <w:divBdr>
        <w:top w:val="none" w:sz="0" w:space="0" w:color="auto"/>
        <w:left w:val="none" w:sz="0" w:space="0" w:color="auto"/>
        <w:bottom w:val="none" w:sz="0" w:space="0" w:color="auto"/>
        <w:right w:val="none" w:sz="0" w:space="0" w:color="auto"/>
      </w:divBdr>
    </w:div>
    <w:div w:id="201021201">
      <w:bodyDiv w:val="1"/>
      <w:marLeft w:val="0"/>
      <w:marRight w:val="0"/>
      <w:marTop w:val="0"/>
      <w:marBottom w:val="0"/>
      <w:divBdr>
        <w:top w:val="none" w:sz="0" w:space="0" w:color="auto"/>
        <w:left w:val="none" w:sz="0" w:space="0" w:color="auto"/>
        <w:bottom w:val="none" w:sz="0" w:space="0" w:color="auto"/>
        <w:right w:val="none" w:sz="0" w:space="0" w:color="auto"/>
      </w:divBdr>
    </w:div>
    <w:div w:id="209810899">
      <w:bodyDiv w:val="1"/>
      <w:marLeft w:val="0"/>
      <w:marRight w:val="0"/>
      <w:marTop w:val="0"/>
      <w:marBottom w:val="0"/>
      <w:divBdr>
        <w:top w:val="none" w:sz="0" w:space="0" w:color="auto"/>
        <w:left w:val="none" w:sz="0" w:space="0" w:color="auto"/>
        <w:bottom w:val="none" w:sz="0" w:space="0" w:color="auto"/>
        <w:right w:val="none" w:sz="0" w:space="0" w:color="auto"/>
      </w:divBdr>
    </w:div>
    <w:div w:id="232204438">
      <w:bodyDiv w:val="1"/>
      <w:marLeft w:val="0"/>
      <w:marRight w:val="0"/>
      <w:marTop w:val="0"/>
      <w:marBottom w:val="0"/>
      <w:divBdr>
        <w:top w:val="none" w:sz="0" w:space="0" w:color="auto"/>
        <w:left w:val="none" w:sz="0" w:space="0" w:color="auto"/>
        <w:bottom w:val="none" w:sz="0" w:space="0" w:color="auto"/>
        <w:right w:val="none" w:sz="0" w:space="0" w:color="auto"/>
      </w:divBdr>
    </w:div>
    <w:div w:id="283855634">
      <w:bodyDiv w:val="1"/>
      <w:marLeft w:val="0"/>
      <w:marRight w:val="0"/>
      <w:marTop w:val="0"/>
      <w:marBottom w:val="0"/>
      <w:divBdr>
        <w:top w:val="none" w:sz="0" w:space="0" w:color="auto"/>
        <w:left w:val="none" w:sz="0" w:space="0" w:color="auto"/>
        <w:bottom w:val="none" w:sz="0" w:space="0" w:color="auto"/>
        <w:right w:val="none" w:sz="0" w:space="0" w:color="auto"/>
      </w:divBdr>
    </w:div>
    <w:div w:id="287467825">
      <w:bodyDiv w:val="1"/>
      <w:marLeft w:val="0"/>
      <w:marRight w:val="0"/>
      <w:marTop w:val="0"/>
      <w:marBottom w:val="0"/>
      <w:divBdr>
        <w:top w:val="none" w:sz="0" w:space="0" w:color="auto"/>
        <w:left w:val="none" w:sz="0" w:space="0" w:color="auto"/>
        <w:bottom w:val="none" w:sz="0" w:space="0" w:color="auto"/>
        <w:right w:val="none" w:sz="0" w:space="0" w:color="auto"/>
      </w:divBdr>
    </w:div>
    <w:div w:id="301086142">
      <w:bodyDiv w:val="1"/>
      <w:marLeft w:val="0"/>
      <w:marRight w:val="0"/>
      <w:marTop w:val="0"/>
      <w:marBottom w:val="0"/>
      <w:divBdr>
        <w:top w:val="none" w:sz="0" w:space="0" w:color="auto"/>
        <w:left w:val="none" w:sz="0" w:space="0" w:color="auto"/>
        <w:bottom w:val="none" w:sz="0" w:space="0" w:color="auto"/>
        <w:right w:val="none" w:sz="0" w:space="0" w:color="auto"/>
      </w:divBdr>
    </w:div>
    <w:div w:id="317072242">
      <w:bodyDiv w:val="1"/>
      <w:marLeft w:val="0"/>
      <w:marRight w:val="0"/>
      <w:marTop w:val="0"/>
      <w:marBottom w:val="0"/>
      <w:divBdr>
        <w:top w:val="none" w:sz="0" w:space="0" w:color="auto"/>
        <w:left w:val="none" w:sz="0" w:space="0" w:color="auto"/>
        <w:bottom w:val="none" w:sz="0" w:space="0" w:color="auto"/>
        <w:right w:val="none" w:sz="0" w:space="0" w:color="auto"/>
      </w:divBdr>
    </w:div>
    <w:div w:id="357118876">
      <w:bodyDiv w:val="1"/>
      <w:marLeft w:val="0"/>
      <w:marRight w:val="0"/>
      <w:marTop w:val="0"/>
      <w:marBottom w:val="0"/>
      <w:divBdr>
        <w:top w:val="none" w:sz="0" w:space="0" w:color="auto"/>
        <w:left w:val="none" w:sz="0" w:space="0" w:color="auto"/>
        <w:bottom w:val="none" w:sz="0" w:space="0" w:color="auto"/>
        <w:right w:val="none" w:sz="0" w:space="0" w:color="auto"/>
      </w:divBdr>
    </w:div>
    <w:div w:id="395981294">
      <w:bodyDiv w:val="1"/>
      <w:marLeft w:val="0"/>
      <w:marRight w:val="0"/>
      <w:marTop w:val="0"/>
      <w:marBottom w:val="0"/>
      <w:divBdr>
        <w:top w:val="none" w:sz="0" w:space="0" w:color="auto"/>
        <w:left w:val="none" w:sz="0" w:space="0" w:color="auto"/>
        <w:bottom w:val="none" w:sz="0" w:space="0" w:color="auto"/>
        <w:right w:val="none" w:sz="0" w:space="0" w:color="auto"/>
      </w:divBdr>
    </w:div>
    <w:div w:id="406418963">
      <w:bodyDiv w:val="1"/>
      <w:marLeft w:val="0"/>
      <w:marRight w:val="0"/>
      <w:marTop w:val="0"/>
      <w:marBottom w:val="0"/>
      <w:divBdr>
        <w:top w:val="none" w:sz="0" w:space="0" w:color="auto"/>
        <w:left w:val="none" w:sz="0" w:space="0" w:color="auto"/>
        <w:bottom w:val="none" w:sz="0" w:space="0" w:color="auto"/>
        <w:right w:val="none" w:sz="0" w:space="0" w:color="auto"/>
      </w:divBdr>
    </w:div>
    <w:div w:id="407963709">
      <w:bodyDiv w:val="1"/>
      <w:marLeft w:val="0"/>
      <w:marRight w:val="0"/>
      <w:marTop w:val="0"/>
      <w:marBottom w:val="0"/>
      <w:divBdr>
        <w:top w:val="none" w:sz="0" w:space="0" w:color="auto"/>
        <w:left w:val="none" w:sz="0" w:space="0" w:color="auto"/>
        <w:bottom w:val="none" w:sz="0" w:space="0" w:color="auto"/>
        <w:right w:val="none" w:sz="0" w:space="0" w:color="auto"/>
      </w:divBdr>
    </w:div>
    <w:div w:id="423763378">
      <w:bodyDiv w:val="1"/>
      <w:marLeft w:val="0"/>
      <w:marRight w:val="0"/>
      <w:marTop w:val="0"/>
      <w:marBottom w:val="0"/>
      <w:divBdr>
        <w:top w:val="none" w:sz="0" w:space="0" w:color="auto"/>
        <w:left w:val="none" w:sz="0" w:space="0" w:color="auto"/>
        <w:bottom w:val="none" w:sz="0" w:space="0" w:color="auto"/>
        <w:right w:val="none" w:sz="0" w:space="0" w:color="auto"/>
      </w:divBdr>
    </w:div>
    <w:div w:id="428737306">
      <w:bodyDiv w:val="1"/>
      <w:marLeft w:val="0"/>
      <w:marRight w:val="0"/>
      <w:marTop w:val="0"/>
      <w:marBottom w:val="0"/>
      <w:divBdr>
        <w:top w:val="none" w:sz="0" w:space="0" w:color="auto"/>
        <w:left w:val="none" w:sz="0" w:space="0" w:color="auto"/>
        <w:bottom w:val="none" w:sz="0" w:space="0" w:color="auto"/>
        <w:right w:val="none" w:sz="0" w:space="0" w:color="auto"/>
      </w:divBdr>
    </w:div>
    <w:div w:id="541602247">
      <w:bodyDiv w:val="1"/>
      <w:marLeft w:val="0"/>
      <w:marRight w:val="0"/>
      <w:marTop w:val="0"/>
      <w:marBottom w:val="0"/>
      <w:divBdr>
        <w:top w:val="none" w:sz="0" w:space="0" w:color="auto"/>
        <w:left w:val="none" w:sz="0" w:space="0" w:color="auto"/>
        <w:bottom w:val="none" w:sz="0" w:space="0" w:color="auto"/>
        <w:right w:val="none" w:sz="0" w:space="0" w:color="auto"/>
      </w:divBdr>
    </w:div>
    <w:div w:id="557546311">
      <w:bodyDiv w:val="1"/>
      <w:marLeft w:val="0"/>
      <w:marRight w:val="0"/>
      <w:marTop w:val="0"/>
      <w:marBottom w:val="0"/>
      <w:divBdr>
        <w:top w:val="none" w:sz="0" w:space="0" w:color="auto"/>
        <w:left w:val="none" w:sz="0" w:space="0" w:color="auto"/>
        <w:bottom w:val="none" w:sz="0" w:space="0" w:color="auto"/>
        <w:right w:val="none" w:sz="0" w:space="0" w:color="auto"/>
      </w:divBdr>
    </w:div>
    <w:div w:id="564610201">
      <w:bodyDiv w:val="1"/>
      <w:marLeft w:val="0"/>
      <w:marRight w:val="0"/>
      <w:marTop w:val="0"/>
      <w:marBottom w:val="0"/>
      <w:divBdr>
        <w:top w:val="none" w:sz="0" w:space="0" w:color="auto"/>
        <w:left w:val="none" w:sz="0" w:space="0" w:color="auto"/>
        <w:bottom w:val="none" w:sz="0" w:space="0" w:color="auto"/>
        <w:right w:val="none" w:sz="0" w:space="0" w:color="auto"/>
      </w:divBdr>
    </w:div>
    <w:div w:id="616255081">
      <w:bodyDiv w:val="1"/>
      <w:marLeft w:val="0"/>
      <w:marRight w:val="0"/>
      <w:marTop w:val="0"/>
      <w:marBottom w:val="0"/>
      <w:divBdr>
        <w:top w:val="none" w:sz="0" w:space="0" w:color="auto"/>
        <w:left w:val="none" w:sz="0" w:space="0" w:color="auto"/>
        <w:bottom w:val="none" w:sz="0" w:space="0" w:color="auto"/>
        <w:right w:val="none" w:sz="0" w:space="0" w:color="auto"/>
      </w:divBdr>
    </w:div>
    <w:div w:id="648482062">
      <w:bodyDiv w:val="1"/>
      <w:marLeft w:val="0"/>
      <w:marRight w:val="0"/>
      <w:marTop w:val="0"/>
      <w:marBottom w:val="0"/>
      <w:divBdr>
        <w:top w:val="none" w:sz="0" w:space="0" w:color="auto"/>
        <w:left w:val="none" w:sz="0" w:space="0" w:color="auto"/>
        <w:bottom w:val="none" w:sz="0" w:space="0" w:color="auto"/>
        <w:right w:val="none" w:sz="0" w:space="0" w:color="auto"/>
      </w:divBdr>
    </w:div>
    <w:div w:id="670719007">
      <w:bodyDiv w:val="1"/>
      <w:marLeft w:val="0"/>
      <w:marRight w:val="0"/>
      <w:marTop w:val="0"/>
      <w:marBottom w:val="0"/>
      <w:divBdr>
        <w:top w:val="none" w:sz="0" w:space="0" w:color="auto"/>
        <w:left w:val="none" w:sz="0" w:space="0" w:color="auto"/>
        <w:bottom w:val="none" w:sz="0" w:space="0" w:color="auto"/>
        <w:right w:val="none" w:sz="0" w:space="0" w:color="auto"/>
      </w:divBdr>
    </w:div>
    <w:div w:id="684941359">
      <w:bodyDiv w:val="1"/>
      <w:marLeft w:val="0"/>
      <w:marRight w:val="0"/>
      <w:marTop w:val="0"/>
      <w:marBottom w:val="0"/>
      <w:divBdr>
        <w:top w:val="none" w:sz="0" w:space="0" w:color="auto"/>
        <w:left w:val="none" w:sz="0" w:space="0" w:color="auto"/>
        <w:bottom w:val="none" w:sz="0" w:space="0" w:color="auto"/>
        <w:right w:val="none" w:sz="0" w:space="0" w:color="auto"/>
      </w:divBdr>
    </w:div>
    <w:div w:id="730931346">
      <w:bodyDiv w:val="1"/>
      <w:marLeft w:val="0"/>
      <w:marRight w:val="0"/>
      <w:marTop w:val="0"/>
      <w:marBottom w:val="0"/>
      <w:divBdr>
        <w:top w:val="none" w:sz="0" w:space="0" w:color="auto"/>
        <w:left w:val="none" w:sz="0" w:space="0" w:color="auto"/>
        <w:bottom w:val="none" w:sz="0" w:space="0" w:color="auto"/>
        <w:right w:val="none" w:sz="0" w:space="0" w:color="auto"/>
      </w:divBdr>
    </w:div>
    <w:div w:id="798570750">
      <w:bodyDiv w:val="1"/>
      <w:marLeft w:val="0"/>
      <w:marRight w:val="0"/>
      <w:marTop w:val="0"/>
      <w:marBottom w:val="0"/>
      <w:divBdr>
        <w:top w:val="none" w:sz="0" w:space="0" w:color="auto"/>
        <w:left w:val="none" w:sz="0" w:space="0" w:color="auto"/>
        <w:bottom w:val="none" w:sz="0" w:space="0" w:color="auto"/>
        <w:right w:val="none" w:sz="0" w:space="0" w:color="auto"/>
      </w:divBdr>
    </w:div>
    <w:div w:id="811679065">
      <w:bodyDiv w:val="1"/>
      <w:marLeft w:val="0"/>
      <w:marRight w:val="0"/>
      <w:marTop w:val="0"/>
      <w:marBottom w:val="0"/>
      <w:divBdr>
        <w:top w:val="none" w:sz="0" w:space="0" w:color="auto"/>
        <w:left w:val="none" w:sz="0" w:space="0" w:color="auto"/>
        <w:bottom w:val="none" w:sz="0" w:space="0" w:color="auto"/>
        <w:right w:val="none" w:sz="0" w:space="0" w:color="auto"/>
      </w:divBdr>
    </w:div>
    <w:div w:id="863248358">
      <w:bodyDiv w:val="1"/>
      <w:marLeft w:val="0"/>
      <w:marRight w:val="0"/>
      <w:marTop w:val="0"/>
      <w:marBottom w:val="0"/>
      <w:divBdr>
        <w:top w:val="none" w:sz="0" w:space="0" w:color="auto"/>
        <w:left w:val="none" w:sz="0" w:space="0" w:color="auto"/>
        <w:bottom w:val="none" w:sz="0" w:space="0" w:color="auto"/>
        <w:right w:val="none" w:sz="0" w:space="0" w:color="auto"/>
      </w:divBdr>
    </w:div>
    <w:div w:id="889730056">
      <w:bodyDiv w:val="1"/>
      <w:marLeft w:val="0"/>
      <w:marRight w:val="0"/>
      <w:marTop w:val="0"/>
      <w:marBottom w:val="0"/>
      <w:divBdr>
        <w:top w:val="none" w:sz="0" w:space="0" w:color="auto"/>
        <w:left w:val="none" w:sz="0" w:space="0" w:color="auto"/>
        <w:bottom w:val="none" w:sz="0" w:space="0" w:color="auto"/>
        <w:right w:val="none" w:sz="0" w:space="0" w:color="auto"/>
      </w:divBdr>
    </w:div>
    <w:div w:id="903486114">
      <w:bodyDiv w:val="1"/>
      <w:marLeft w:val="0"/>
      <w:marRight w:val="0"/>
      <w:marTop w:val="0"/>
      <w:marBottom w:val="0"/>
      <w:divBdr>
        <w:top w:val="none" w:sz="0" w:space="0" w:color="auto"/>
        <w:left w:val="none" w:sz="0" w:space="0" w:color="auto"/>
        <w:bottom w:val="none" w:sz="0" w:space="0" w:color="auto"/>
        <w:right w:val="none" w:sz="0" w:space="0" w:color="auto"/>
      </w:divBdr>
    </w:div>
    <w:div w:id="913853194">
      <w:bodyDiv w:val="1"/>
      <w:marLeft w:val="0"/>
      <w:marRight w:val="0"/>
      <w:marTop w:val="0"/>
      <w:marBottom w:val="0"/>
      <w:divBdr>
        <w:top w:val="none" w:sz="0" w:space="0" w:color="auto"/>
        <w:left w:val="none" w:sz="0" w:space="0" w:color="auto"/>
        <w:bottom w:val="none" w:sz="0" w:space="0" w:color="auto"/>
        <w:right w:val="none" w:sz="0" w:space="0" w:color="auto"/>
      </w:divBdr>
    </w:div>
    <w:div w:id="919023084">
      <w:bodyDiv w:val="1"/>
      <w:marLeft w:val="0"/>
      <w:marRight w:val="0"/>
      <w:marTop w:val="0"/>
      <w:marBottom w:val="0"/>
      <w:divBdr>
        <w:top w:val="none" w:sz="0" w:space="0" w:color="auto"/>
        <w:left w:val="none" w:sz="0" w:space="0" w:color="auto"/>
        <w:bottom w:val="none" w:sz="0" w:space="0" w:color="auto"/>
        <w:right w:val="none" w:sz="0" w:space="0" w:color="auto"/>
      </w:divBdr>
    </w:div>
    <w:div w:id="927885325">
      <w:bodyDiv w:val="1"/>
      <w:marLeft w:val="0"/>
      <w:marRight w:val="0"/>
      <w:marTop w:val="0"/>
      <w:marBottom w:val="0"/>
      <w:divBdr>
        <w:top w:val="none" w:sz="0" w:space="0" w:color="auto"/>
        <w:left w:val="none" w:sz="0" w:space="0" w:color="auto"/>
        <w:bottom w:val="none" w:sz="0" w:space="0" w:color="auto"/>
        <w:right w:val="none" w:sz="0" w:space="0" w:color="auto"/>
      </w:divBdr>
    </w:div>
    <w:div w:id="953176254">
      <w:bodyDiv w:val="1"/>
      <w:marLeft w:val="0"/>
      <w:marRight w:val="0"/>
      <w:marTop w:val="0"/>
      <w:marBottom w:val="0"/>
      <w:divBdr>
        <w:top w:val="none" w:sz="0" w:space="0" w:color="auto"/>
        <w:left w:val="none" w:sz="0" w:space="0" w:color="auto"/>
        <w:bottom w:val="none" w:sz="0" w:space="0" w:color="auto"/>
        <w:right w:val="none" w:sz="0" w:space="0" w:color="auto"/>
      </w:divBdr>
    </w:div>
    <w:div w:id="972095927">
      <w:bodyDiv w:val="1"/>
      <w:marLeft w:val="0"/>
      <w:marRight w:val="0"/>
      <w:marTop w:val="0"/>
      <w:marBottom w:val="0"/>
      <w:divBdr>
        <w:top w:val="none" w:sz="0" w:space="0" w:color="auto"/>
        <w:left w:val="none" w:sz="0" w:space="0" w:color="auto"/>
        <w:bottom w:val="none" w:sz="0" w:space="0" w:color="auto"/>
        <w:right w:val="none" w:sz="0" w:space="0" w:color="auto"/>
      </w:divBdr>
    </w:div>
    <w:div w:id="974457222">
      <w:bodyDiv w:val="1"/>
      <w:marLeft w:val="0"/>
      <w:marRight w:val="0"/>
      <w:marTop w:val="0"/>
      <w:marBottom w:val="0"/>
      <w:divBdr>
        <w:top w:val="none" w:sz="0" w:space="0" w:color="auto"/>
        <w:left w:val="none" w:sz="0" w:space="0" w:color="auto"/>
        <w:bottom w:val="none" w:sz="0" w:space="0" w:color="auto"/>
        <w:right w:val="none" w:sz="0" w:space="0" w:color="auto"/>
      </w:divBdr>
    </w:div>
    <w:div w:id="983465627">
      <w:bodyDiv w:val="1"/>
      <w:marLeft w:val="0"/>
      <w:marRight w:val="0"/>
      <w:marTop w:val="0"/>
      <w:marBottom w:val="0"/>
      <w:divBdr>
        <w:top w:val="none" w:sz="0" w:space="0" w:color="auto"/>
        <w:left w:val="none" w:sz="0" w:space="0" w:color="auto"/>
        <w:bottom w:val="none" w:sz="0" w:space="0" w:color="auto"/>
        <w:right w:val="none" w:sz="0" w:space="0" w:color="auto"/>
      </w:divBdr>
    </w:div>
    <w:div w:id="1028214477">
      <w:bodyDiv w:val="1"/>
      <w:marLeft w:val="0"/>
      <w:marRight w:val="0"/>
      <w:marTop w:val="0"/>
      <w:marBottom w:val="0"/>
      <w:divBdr>
        <w:top w:val="none" w:sz="0" w:space="0" w:color="auto"/>
        <w:left w:val="none" w:sz="0" w:space="0" w:color="auto"/>
        <w:bottom w:val="none" w:sz="0" w:space="0" w:color="auto"/>
        <w:right w:val="none" w:sz="0" w:space="0" w:color="auto"/>
      </w:divBdr>
    </w:div>
    <w:div w:id="1041780395">
      <w:bodyDiv w:val="1"/>
      <w:marLeft w:val="0"/>
      <w:marRight w:val="0"/>
      <w:marTop w:val="0"/>
      <w:marBottom w:val="0"/>
      <w:divBdr>
        <w:top w:val="none" w:sz="0" w:space="0" w:color="auto"/>
        <w:left w:val="none" w:sz="0" w:space="0" w:color="auto"/>
        <w:bottom w:val="none" w:sz="0" w:space="0" w:color="auto"/>
        <w:right w:val="none" w:sz="0" w:space="0" w:color="auto"/>
      </w:divBdr>
    </w:div>
    <w:div w:id="1069693762">
      <w:bodyDiv w:val="1"/>
      <w:marLeft w:val="0"/>
      <w:marRight w:val="0"/>
      <w:marTop w:val="0"/>
      <w:marBottom w:val="0"/>
      <w:divBdr>
        <w:top w:val="none" w:sz="0" w:space="0" w:color="auto"/>
        <w:left w:val="none" w:sz="0" w:space="0" w:color="auto"/>
        <w:bottom w:val="none" w:sz="0" w:space="0" w:color="auto"/>
        <w:right w:val="none" w:sz="0" w:space="0" w:color="auto"/>
      </w:divBdr>
    </w:div>
    <w:div w:id="1090933328">
      <w:bodyDiv w:val="1"/>
      <w:marLeft w:val="0"/>
      <w:marRight w:val="0"/>
      <w:marTop w:val="0"/>
      <w:marBottom w:val="0"/>
      <w:divBdr>
        <w:top w:val="none" w:sz="0" w:space="0" w:color="auto"/>
        <w:left w:val="none" w:sz="0" w:space="0" w:color="auto"/>
        <w:bottom w:val="none" w:sz="0" w:space="0" w:color="auto"/>
        <w:right w:val="none" w:sz="0" w:space="0" w:color="auto"/>
      </w:divBdr>
    </w:div>
    <w:div w:id="1099369569">
      <w:bodyDiv w:val="1"/>
      <w:marLeft w:val="0"/>
      <w:marRight w:val="0"/>
      <w:marTop w:val="0"/>
      <w:marBottom w:val="0"/>
      <w:divBdr>
        <w:top w:val="none" w:sz="0" w:space="0" w:color="auto"/>
        <w:left w:val="none" w:sz="0" w:space="0" w:color="auto"/>
        <w:bottom w:val="none" w:sz="0" w:space="0" w:color="auto"/>
        <w:right w:val="none" w:sz="0" w:space="0" w:color="auto"/>
      </w:divBdr>
    </w:div>
    <w:div w:id="1103839972">
      <w:bodyDiv w:val="1"/>
      <w:marLeft w:val="0"/>
      <w:marRight w:val="0"/>
      <w:marTop w:val="0"/>
      <w:marBottom w:val="0"/>
      <w:divBdr>
        <w:top w:val="none" w:sz="0" w:space="0" w:color="auto"/>
        <w:left w:val="none" w:sz="0" w:space="0" w:color="auto"/>
        <w:bottom w:val="none" w:sz="0" w:space="0" w:color="auto"/>
        <w:right w:val="none" w:sz="0" w:space="0" w:color="auto"/>
      </w:divBdr>
    </w:div>
    <w:div w:id="1127166066">
      <w:bodyDiv w:val="1"/>
      <w:marLeft w:val="0"/>
      <w:marRight w:val="0"/>
      <w:marTop w:val="0"/>
      <w:marBottom w:val="0"/>
      <w:divBdr>
        <w:top w:val="none" w:sz="0" w:space="0" w:color="auto"/>
        <w:left w:val="none" w:sz="0" w:space="0" w:color="auto"/>
        <w:bottom w:val="none" w:sz="0" w:space="0" w:color="auto"/>
        <w:right w:val="none" w:sz="0" w:space="0" w:color="auto"/>
      </w:divBdr>
    </w:div>
    <w:div w:id="1163276660">
      <w:bodyDiv w:val="1"/>
      <w:marLeft w:val="0"/>
      <w:marRight w:val="0"/>
      <w:marTop w:val="0"/>
      <w:marBottom w:val="0"/>
      <w:divBdr>
        <w:top w:val="none" w:sz="0" w:space="0" w:color="auto"/>
        <w:left w:val="none" w:sz="0" w:space="0" w:color="auto"/>
        <w:bottom w:val="none" w:sz="0" w:space="0" w:color="auto"/>
        <w:right w:val="none" w:sz="0" w:space="0" w:color="auto"/>
      </w:divBdr>
    </w:div>
    <w:div w:id="1182668386">
      <w:bodyDiv w:val="1"/>
      <w:marLeft w:val="0"/>
      <w:marRight w:val="0"/>
      <w:marTop w:val="0"/>
      <w:marBottom w:val="0"/>
      <w:divBdr>
        <w:top w:val="none" w:sz="0" w:space="0" w:color="auto"/>
        <w:left w:val="none" w:sz="0" w:space="0" w:color="auto"/>
        <w:bottom w:val="none" w:sz="0" w:space="0" w:color="auto"/>
        <w:right w:val="none" w:sz="0" w:space="0" w:color="auto"/>
      </w:divBdr>
    </w:div>
    <w:div w:id="1201630359">
      <w:bodyDiv w:val="1"/>
      <w:marLeft w:val="0"/>
      <w:marRight w:val="0"/>
      <w:marTop w:val="0"/>
      <w:marBottom w:val="0"/>
      <w:divBdr>
        <w:top w:val="none" w:sz="0" w:space="0" w:color="auto"/>
        <w:left w:val="none" w:sz="0" w:space="0" w:color="auto"/>
        <w:bottom w:val="none" w:sz="0" w:space="0" w:color="auto"/>
        <w:right w:val="none" w:sz="0" w:space="0" w:color="auto"/>
      </w:divBdr>
    </w:div>
    <w:div w:id="1252855733">
      <w:bodyDiv w:val="1"/>
      <w:marLeft w:val="0"/>
      <w:marRight w:val="0"/>
      <w:marTop w:val="0"/>
      <w:marBottom w:val="0"/>
      <w:divBdr>
        <w:top w:val="none" w:sz="0" w:space="0" w:color="auto"/>
        <w:left w:val="none" w:sz="0" w:space="0" w:color="auto"/>
        <w:bottom w:val="none" w:sz="0" w:space="0" w:color="auto"/>
        <w:right w:val="none" w:sz="0" w:space="0" w:color="auto"/>
      </w:divBdr>
    </w:div>
    <w:div w:id="1254246247">
      <w:bodyDiv w:val="1"/>
      <w:marLeft w:val="0"/>
      <w:marRight w:val="0"/>
      <w:marTop w:val="0"/>
      <w:marBottom w:val="0"/>
      <w:divBdr>
        <w:top w:val="none" w:sz="0" w:space="0" w:color="auto"/>
        <w:left w:val="none" w:sz="0" w:space="0" w:color="auto"/>
        <w:bottom w:val="none" w:sz="0" w:space="0" w:color="auto"/>
        <w:right w:val="none" w:sz="0" w:space="0" w:color="auto"/>
      </w:divBdr>
    </w:div>
    <w:div w:id="1299651192">
      <w:bodyDiv w:val="1"/>
      <w:marLeft w:val="0"/>
      <w:marRight w:val="0"/>
      <w:marTop w:val="0"/>
      <w:marBottom w:val="0"/>
      <w:divBdr>
        <w:top w:val="none" w:sz="0" w:space="0" w:color="auto"/>
        <w:left w:val="none" w:sz="0" w:space="0" w:color="auto"/>
        <w:bottom w:val="none" w:sz="0" w:space="0" w:color="auto"/>
        <w:right w:val="none" w:sz="0" w:space="0" w:color="auto"/>
      </w:divBdr>
    </w:div>
    <w:div w:id="1312178218">
      <w:bodyDiv w:val="1"/>
      <w:marLeft w:val="0"/>
      <w:marRight w:val="0"/>
      <w:marTop w:val="0"/>
      <w:marBottom w:val="0"/>
      <w:divBdr>
        <w:top w:val="none" w:sz="0" w:space="0" w:color="auto"/>
        <w:left w:val="none" w:sz="0" w:space="0" w:color="auto"/>
        <w:bottom w:val="none" w:sz="0" w:space="0" w:color="auto"/>
        <w:right w:val="none" w:sz="0" w:space="0" w:color="auto"/>
      </w:divBdr>
    </w:div>
    <w:div w:id="1334333392">
      <w:bodyDiv w:val="1"/>
      <w:marLeft w:val="0"/>
      <w:marRight w:val="0"/>
      <w:marTop w:val="0"/>
      <w:marBottom w:val="0"/>
      <w:divBdr>
        <w:top w:val="none" w:sz="0" w:space="0" w:color="auto"/>
        <w:left w:val="none" w:sz="0" w:space="0" w:color="auto"/>
        <w:bottom w:val="none" w:sz="0" w:space="0" w:color="auto"/>
        <w:right w:val="none" w:sz="0" w:space="0" w:color="auto"/>
      </w:divBdr>
    </w:div>
    <w:div w:id="1430345968">
      <w:bodyDiv w:val="1"/>
      <w:marLeft w:val="0"/>
      <w:marRight w:val="0"/>
      <w:marTop w:val="0"/>
      <w:marBottom w:val="0"/>
      <w:divBdr>
        <w:top w:val="none" w:sz="0" w:space="0" w:color="auto"/>
        <w:left w:val="none" w:sz="0" w:space="0" w:color="auto"/>
        <w:bottom w:val="none" w:sz="0" w:space="0" w:color="auto"/>
        <w:right w:val="none" w:sz="0" w:space="0" w:color="auto"/>
      </w:divBdr>
    </w:div>
    <w:div w:id="1434592681">
      <w:bodyDiv w:val="1"/>
      <w:marLeft w:val="0"/>
      <w:marRight w:val="0"/>
      <w:marTop w:val="0"/>
      <w:marBottom w:val="0"/>
      <w:divBdr>
        <w:top w:val="none" w:sz="0" w:space="0" w:color="auto"/>
        <w:left w:val="none" w:sz="0" w:space="0" w:color="auto"/>
        <w:bottom w:val="none" w:sz="0" w:space="0" w:color="auto"/>
        <w:right w:val="none" w:sz="0" w:space="0" w:color="auto"/>
      </w:divBdr>
    </w:div>
    <w:div w:id="1444425282">
      <w:bodyDiv w:val="1"/>
      <w:marLeft w:val="0"/>
      <w:marRight w:val="0"/>
      <w:marTop w:val="0"/>
      <w:marBottom w:val="0"/>
      <w:divBdr>
        <w:top w:val="none" w:sz="0" w:space="0" w:color="auto"/>
        <w:left w:val="none" w:sz="0" w:space="0" w:color="auto"/>
        <w:bottom w:val="none" w:sz="0" w:space="0" w:color="auto"/>
        <w:right w:val="none" w:sz="0" w:space="0" w:color="auto"/>
      </w:divBdr>
      <w:divsChild>
        <w:div w:id="867180922">
          <w:marLeft w:val="0"/>
          <w:marRight w:val="0"/>
          <w:marTop w:val="0"/>
          <w:marBottom w:val="0"/>
          <w:divBdr>
            <w:top w:val="none" w:sz="0" w:space="0" w:color="auto"/>
            <w:left w:val="none" w:sz="0" w:space="0" w:color="auto"/>
            <w:bottom w:val="none" w:sz="0" w:space="0" w:color="auto"/>
            <w:right w:val="none" w:sz="0" w:space="0" w:color="auto"/>
          </w:divBdr>
        </w:div>
        <w:div w:id="1540893333">
          <w:marLeft w:val="0"/>
          <w:marRight w:val="0"/>
          <w:marTop w:val="0"/>
          <w:marBottom w:val="0"/>
          <w:divBdr>
            <w:top w:val="none" w:sz="0" w:space="0" w:color="auto"/>
            <w:left w:val="none" w:sz="0" w:space="0" w:color="auto"/>
            <w:bottom w:val="none" w:sz="0" w:space="0" w:color="auto"/>
            <w:right w:val="none" w:sz="0" w:space="0" w:color="auto"/>
          </w:divBdr>
        </w:div>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 w:id="1446850539">
      <w:bodyDiv w:val="1"/>
      <w:marLeft w:val="0"/>
      <w:marRight w:val="0"/>
      <w:marTop w:val="0"/>
      <w:marBottom w:val="0"/>
      <w:divBdr>
        <w:top w:val="none" w:sz="0" w:space="0" w:color="auto"/>
        <w:left w:val="none" w:sz="0" w:space="0" w:color="auto"/>
        <w:bottom w:val="none" w:sz="0" w:space="0" w:color="auto"/>
        <w:right w:val="none" w:sz="0" w:space="0" w:color="auto"/>
      </w:divBdr>
    </w:div>
    <w:div w:id="1447774213">
      <w:bodyDiv w:val="1"/>
      <w:marLeft w:val="0"/>
      <w:marRight w:val="0"/>
      <w:marTop w:val="0"/>
      <w:marBottom w:val="0"/>
      <w:divBdr>
        <w:top w:val="none" w:sz="0" w:space="0" w:color="auto"/>
        <w:left w:val="none" w:sz="0" w:space="0" w:color="auto"/>
        <w:bottom w:val="none" w:sz="0" w:space="0" w:color="auto"/>
        <w:right w:val="none" w:sz="0" w:space="0" w:color="auto"/>
      </w:divBdr>
    </w:div>
    <w:div w:id="1527712695">
      <w:bodyDiv w:val="1"/>
      <w:marLeft w:val="0"/>
      <w:marRight w:val="0"/>
      <w:marTop w:val="0"/>
      <w:marBottom w:val="0"/>
      <w:divBdr>
        <w:top w:val="none" w:sz="0" w:space="0" w:color="auto"/>
        <w:left w:val="none" w:sz="0" w:space="0" w:color="auto"/>
        <w:bottom w:val="none" w:sz="0" w:space="0" w:color="auto"/>
        <w:right w:val="none" w:sz="0" w:space="0" w:color="auto"/>
      </w:divBdr>
    </w:div>
    <w:div w:id="1536116315">
      <w:bodyDiv w:val="1"/>
      <w:marLeft w:val="0"/>
      <w:marRight w:val="0"/>
      <w:marTop w:val="0"/>
      <w:marBottom w:val="0"/>
      <w:divBdr>
        <w:top w:val="none" w:sz="0" w:space="0" w:color="auto"/>
        <w:left w:val="none" w:sz="0" w:space="0" w:color="auto"/>
        <w:bottom w:val="none" w:sz="0" w:space="0" w:color="auto"/>
        <w:right w:val="none" w:sz="0" w:space="0" w:color="auto"/>
      </w:divBdr>
    </w:div>
    <w:div w:id="1551381624">
      <w:bodyDiv w:val="1"/>
      <w:marLeft w:val="0"/>
      <w:marRight w:val="0"/>
      <w:marTop w:val="0"/>
      <w:marBottom w:val="0"/>
      <w:divBdr>
        <w:top w:val="none" w:sz="0" w:space="0" w:color="auto"/>
        <w:left w:val="none" w:sz="0" w:space="0" w:color="auto"/>
        <w:bottom w:val="none" w:sz="0" w:space="0" w:color="auto"/>
        <w:right w:val="none" w:sz="0" w:space="0" w:color="auto"/>
      </w:divBdr>
    </w:div>
    <w:div w:id="1613779544">
      <w:bodyDiv w:val="1"/>
      <w:marLeft w:val="0"/>
      <w:marRight w:val="0"/>
      <w:marTop w:val="0"/>
      <w:marBottom w:val="0"/>
      <w:divBdr>
        <w:top w:val="none" w:sz="0" w:space="0" w:color="auto"/>
        <w:left w:val="none" w:sz="0" w:space="0" w:color="auto"/>
        <w:bottom w:val="none" w:sz="0" w:space="0" w:color="auto"/>
        <w:right w:val="none" w:sz="0" w:space="0" w:color="auto"/>
      </w:divBdr>
    </w:div>
    <w:div w:id="1614248058">
      <w:bodyDiv w:val="1"/>
      <w:marLeft w:val="0"/>
      <w:marRight w:val="0"/>
      <w:marTop w:val="0"/>
      <w:marBottom w:val="0"/>
      <w:divBdr>
        <w:top w:val="none" w:sz="0" w:space="0" w:color="auto"/>
        <w:left w:val="none" w:sz="0" w:space="0" w:color="auto"/>
        <w:bottom w:val="none" w:sz="0" w:space="0" w:color="auto"/>
        <w:right w:val="none" w:sz="0" w:space="0" w:color="auto"/>
      </w:divBdr>
    </w:div>
    <w:div w:id="1625501917">
      <w:bodyDiv w:val="1"/>
      <w:marLeft w:val="0"/>
      <w:marRight w:val="0"/>
      <w:marTop w:val="0"/>
      <w:marBottom w:val="0"/>
      <w:divBdr>
        <w:top w:val="none" w:sz="0" w:space="0" w:color="auto"/>
        <w:left w:val="none" w:sz="0" w:space="0" w:color="auto"/>
        <w:bottom w:val="none" w:sz="0" w:space="0" w:color="auto"/>
        <w:right w:val="none" w:sz="0" w:space="0" w:color="auto"/>
      </w:divBdr>
      <w:divsChild>
        <w:div w:id="35471191">
          <w:marLeft w:val="0"/>
          <w:marRight w:val="0"/>
          <w:marTop w:val="0"/>
          <w:marBottom w:val="0"/>
          <w:divBdr>
            <w:top w:val="none" w:sz="0" w:space="0" w:color="auto"/>
            <w:left w:val="none" w:sz="0" w:space="0" w:color="auto"/>
            <w:bottom w:val="none" w:sz="0" w:space="0" w:color="auto"/>
            <w:right w:val="none" w:sz="0" w:space="0" w:color="auto"/>
          </w:divBdr>
          <w:divsChild>
            <w:div w:id="478301099">
              <w:marLeft w:val="0"/>
              <w:marRight w:val="0"/>
              <w:marTop w:val="0"/>
              <w:marBottom w:val="0"/>
              <w:divBdr>
                <w:top w:val="none" w:sz="0" w:space="0" w:color="auto"/>
                <w:left w:val="none" w:sz="0" w:space="0" w:color="auto"/>
                <w:bottom w:val="none" w:sz="0" w:space="0" w:color="auto"/>
                <w:right w:val="none" w:sz="0" w:space="0" w:color="auto"/>
              </w:divBdr>
            </w:div>
          </w:divsChild>
        </w:div>
        <w:div w:id="59451541">
          <w:marLeft w:val="0"/>
          <w:marRight w:val="0"/>
          <w:marTop w:val="0"/>
          <w:marBottom w:val="0"/>
          <w:divBdr>
            <w:top w:val="none" w:sz="0" w:space="0" w:color="auto"/>
            <w:left w:val="none" w:sz="0" w:space="0" w:color="auto"/>
            <w:bottom w:val="none" w:sz="0" w:space="0" w:color="auto"/>
            <w:right w:val="none" w:sz="0" w:space="0" w:color="auto"/>
          </w:divBdr>
          <w:divsChild>
            <w:div w:id="1552840862">
              <w:marLeft w:val="0"/>
              <w:marRight w:val="0"/>
              <w:marTop w:val="0"/>
              <w:marBottom w:val="0"/>
              <w:divBdr>
                <w:top w:val="none" w:sz="0" w:space="0" w:color="auto"/>
                <w:left w:val="none" w:sz="0" w:space="0" w:color="auto"/>
                <w:bottom w:val="none" w:sz="0" w:space="0" w:color="auto"/>
                <w:right w:val="none" w:sz="0" w:space="0" w:color="auto"/>
              </w:divBdr>
            </w:div>
          </w:divsChild>
        </w:div>
        <w:div w:id="147676093">
          <w:marLeft w:val="0"/>
          <w:marRight w:val="0"/>
          <w:marTop w:val="0"/>
          <w:marBottom w:val="0"/>
          <w:divBdr>
            <w:top w:val="none" w:sz="0" w:space="0" w:color="auto"/>
            <w:left w:val="none" w:sz="0" w:space="0" w:color="auto"/>
            <w:bottom w:val="none" w:sz="0" w:space="0" w:color="auto"/>
            <w:right w:val="none" w:sz="0" w:space="0" w:color="auto"/>
          </w:divBdr>
          <w:divsChild>
            <w:div w:id="973827593">
              <w:marLeft w:val="0"/>
              <w:marRight w:val="0"/>
              <w:marTop w:val="0"/>
              <w:marBottom w:val="0"/>
              <w:divBdr>
                <w:top w:val="none" w:sz="0" w:space="0" w:color="auto"/>
                <w:left w:val="none" w:sz="0" w:space="0" w:color="auto"/>
                <w:bottom w:val="none" w:sz="0" w:space="0" w:color="auto"/>
                <w:right w:val="none" w:sz="0" w:space="0" w:color="auto"/>
              </w:divBdr>
            </w:div>
          </w:divsChild>
        </w:div>
        <w:div w:id="255678725">
          <w:marLeft w:val="0"/>
          <w:marRight w:val="0"/>
          <w:marTop w:val="0"/>
          <w:marBottom w:val="0"/>
          <w:divBdr>
            <w:top w:val="none" w:sz="0" w:space="0" w:color="auto"/>
            <w:left w:val="none" w:sz="0" w:space="0" w:color="auto"/>
            <w:bottom w:val="none" w:sz="0" w:space="0" w:color="auto"/>
            <w:right w:val="none" w:sz="0" w:space="0" w:color="auto"/>
          </w:divBdr>
          <w:divsChild>
            <w:div w:id="578707964">
              <w:marLeft w:val="0"/>
              <w:marRight w:val="0"/>
              <w:marTop w:val="0"/>
              <w:marBottom w:val="0"/>
              <w:divBdr>
                <w:top w:val="none" w:sz="0" w:space="0" w:color="auto"/>
                <w:left w:val="none" w:sz="0" w:space="0" w:color="auto"/>
                <w:bottom w:val="none" w:sz="0" w:space="0" w:color="auto"/>
                <w:right w:val="none" w:sz="0" w:space="0" w:color="auto"/>
              </w:divBdr>
            </w:div>
            <w:div w:id="840007326">
              <w:marLeft w:val="0"/>
              <w:marRight w:val="0"/>
              <w:marTop w:val="0"/>
              <w:marBottom w:val="0"/>
              <w:divBdr>
                <w:top w:val="none" w:sz="0" w:space="0" w:color="auto"/>
                <w:left w:val="none" w:sz="0" w:space="0" w:color="auto"/>
                <w:bottom w:val="none" w:sz="0" w:space="0" w:color="auto"/>
                <w:right w:val="none" w:sz="0" w:space="0" w:color="auto"/>
              </w:divBdr>
            </w:div>
          </w:divsChild>
        </w:div>
        <w:div w:id="318003459">
          <w:marLeft w:val="0"/>
          <w:marRight w:val="0"/>
          <w:marTop w:val="0"/>
          <w:marBottom w:val="0"/>
          <w:divBdr>
            <w:top w:val="none" w:sz="0" w:space="0" w:color="auto"/>
            <w:left w:val="none" w:sz="0" w:space="0" w:color="auto"/>
            <w:bottom w:val="none" w:sz="0" w:space="0" w:color="auto"/>
            <w:right w:val="none" w:sz="0" w:space="0" w:color="auto"/>
          </w:divBdr>
          <w:divsChild>
            <w:div w:id="900142252">
              <w:marLeft w:val="0"/>
              <w:marRight w:val="0"/>
              <w:marTop w:val="0"/>
              <w:marBottom w:val="0"/>
              <w:divBdr>
                <w:top w:val="none" w:sz="0" w:space="0" w:color="auto"/>
                <w:left w:val="none" w:sz="0" w:space="0" w:color="auto"/>
                <w:bottom w:val="none" w:sz="0" w:space="0" w:color="auto"/>
                <w:right w:val="none" w:sz="0" w:space="0" w:color="auto"/>
              </w:divBdr>
            </w:div>
          </w:divsChild>
        </w:div>
        <w:div w:id="456609938">
          <w:marLeft w:val="0"/>
          <w:marRight w:val="0"/>
          <w:marTop w:val="0"/>
          <w:marBottom w:val="0"/>
          <w:divBdr>
            <w:top w:val="none" w:sz="0" w:space="0" w:color="auto"/>
            <w:left w:val="none" w:sz="0" w:space="0" w:color="auto"/>
            <w:bottom w:val="none" w:sz="0" w:space="0" w:color="auto"/>
            <w:right w:val="none" w:sz="0" w:space="0" w:color="auto"/>
          </w:divBdr>
          <w:divsChild>
            <w:div w:id="300158257">
              <w:marLeft w:val="0"/>
              <w:marRight w:val="0"/>
              <w:marTop w:val="0"/>
              <w:marBottom w:val="0"/>
              <w:divBdr>
                <w:top w:val="none" w:sz="0" w:space="0" w:color="auto"/>
                <w:left w:val="none" w:sz="0" w:space="0" w:color="auto"/>
                <w:bottom w:val="none" w:sz="0" w:space="0" w:color="auto"/>
                <w:right w:val="none" w:sz="0" w:space="0" w:color="auto"/>
              </w:divBdr>
            </w:div>
          </w:divsChild>
        </w:div>
        <w:div w:id="492062582">
          <w:marLeft w:val="0"/>
          <w:marRight w:val="0"/>
          <w:marTop w:val="0"/>
          <w:marBottom w:val="0"/>
          <w:divBdr>
            <w:top w:val="none" w:sz="0" w:space="0" w:color="auto"/>
            <w:left w:val="none" w:sz="0" w:space="0" w:color="auto"/>
            <w:bottom w:val="none" w:sz="0" w:space="0" w:color="auto"/>
            <w:right w:val="none" w:sz="0" w:space="0" w:color="auto"/>
          </w:divBdr>
          <w:divsChild>
            <w:div w:id="168525577">
              <w:marLeft w:val="0"/>
              <w:marRight w:val="0"/>
              <w:marTop w:val="0"/>
              <w:marBottom w:val="0"/>
              <w:divBdr>
                <w:top w:val="none" w:sz="0" w:space="0" w:color="auto"/>
                <w:left w:val="none" w:sz="0" w:space="0" w:color="auto"/>
                <w:bottom w:val="none" w:sz="0" w:space="0" w:color="auto"/>
                <w:right w:val="none" w:sz="0" w:space="0" w:color="auto"/>
              </w:divBdr>
            </w:div>
          </w:divsChild>
        </w:div>
        <w:div w:id="517044322">
          <w:marLeft w:val="0"/>
          <w:marRight w:val="0"/>
          <w:marTop w:val="0"/>
          <w:marBottom w:val="0"/>
          <w:divBdr>
            <w:top w:val="none" w:sz="0" w:space="0" w:color="auto"/>
            <w:left w:val="none" w:sz="0" w:space="0" w:color="auto"/>
            <w:bottom w:val="none" w:sz="0" w:space="0" w:color="auto"/>
            <w:right w:val="none" w:sz="0" w:space="0" w:color="auto"/>
          </w:divBdr>
          <w:divsChild>
            <w:div w:id="843980856">
              <w:marLeft w:val="0"/>
              <w:marRight w:val="0"/>
              <w:marTop w:val="0"/>
              <w:marBottom w:val="0"/>
              <w:divBdr>
                <w:top w:val="none" w:sz="0" w:space="0" w:color="auto"/>
                <w:left w:val="none" w:sz="0" w:space="0" w:color="auto"/>
                <w:bottom w:val="none" w:sz="0" w:space="0" w:color="auto"/>
                <w:right w:val="none" w:sz="0" w:space="0" w:color="auto"/>
              </w:divBdr>
            </w:div>
          </w:divsChild>
        </w:div>
        <w:div w:id="528180935">
          <w:marLeft w:val="0"/>
          <w:marRight w:val="0"/>
          <w:marTop w:val="0"/>
          <w:marBottom w:val="0"/>
          <w:divBdr>
            <w:top w:val="none" w:sz="0" w:space="0" w:color="auto"/>
            <w:left w:val="none" w:sz="0" w:space="0" w:color="auto"/>
            <w:bottom w:val="none" w:sz="0" w:space="0" w:color="auto"/>
            <w:right w:val="none" w:sz="0" w:space="0" w:color="auto"/>
          </w:divBdr>
          <w:divsChild>
            <w:div w:id="185870980">
              <w:marLeft w:val="0"/>
              <w:marRight w:val="0"/>
              <w:marTop w:val="0"/>
              <w:marBottom w:val="0"/>
              <w:divBdr>
                <w:top w:val="none" w:sz="0" w:space="0" w:color="auto"/>
                <w:left w:val="none" w:sz="0" w:space="0" w:color="auto"/>
                <w:bottom w:val="none" w:sz="0" w:space="0" w:color="auto"/>
                <w:right w:val="none" w:sz="0" w:space="0" w:color="auto"/>
              </w:divBdr>
            </w:div>
          </w:divsChild>
        </w:div>
        <w:div w:id="531655624">
          <w:marLeft w:val="0"/>
          <w:marRight w:val="0"/>
          <w:marTop w:val="0"/>
          <w:marBottom w:val="0"/>
          <w:divBdr>
            <w:top w:val="none" w:sz="0" w:space="0" w:color="auto"/>
            <w:left w:val="none" w:sz="0" w:space="0" w:color="auto"/>
            <w:bottom w:val="none" w:sz="0" w:space="0" w:color="auto"/>
            <w:right w:val="none" w:sz="0" w:space="0" w:color="auto"/>
          </w:divBdr>
          <w:divsChild>
            <w:div w:id="790321179">
              <w:marLeft w:val="0"/>
              <w:marRight w:val="0"/>
              <w:marTop w:val="0"/>
              <w:marBottom w:val="0"/>
              <w:divBdr>
                <w:top w:val="none" w:sz="0" w:space="0" w:color="auto"/>
                <w:left w:val="none" w:sz="0" w:space="0" w:color="auto"/>
                <w:bottom w:val="none" w:sz="0" w:space="0" w:color="auto"/>
                <w:right w:val="none" w:sz="0" w:space="0" w:color="auto"/>
              </w:divBdr>
            </w:div>
          </w:divsChild>
        </w:div>
        <w:div w:id="538249078">
          <w:marLeft w:val="0"/>
          <w:marRight w:val="0"/>
          <w:marTop w:val="0"/>
          <w:marBottom w:val="0"/>
          <w:divBdr>
            <w:top w:val="none" w:sz="0" w:space="0" w:color="auto"/>
            <w:left w:val="none" w:sz="0" w:space="0" w:color="auto"/>
            <w:bottom w:val="none" w:sz="0" w:space="0" w:color="auto"/>
            <w:right w:val="none" w:sz="0" w:space="0" w:color="auto"/>
          </w:divBdr>
          <w:divsChild>
            <w:div w:id="1176533758">
              <w:marLeft w:val="0"/>
              <w:marRight w:val="0"/>
              <w:marTop w:val="0"/>
              <w:marBottom w:val="0"/>
              <w:divBdr>
                <w:top w:val="none" w:sz="0" w:space="0" w:color="auto"/>
                <w:left w:val="none" w:sz="0" w:space="0" w:color="auto"/>
                <w:bottom w:val="none" w:sz="0" w:space="0" w:color="auto"/>
                <w:right w:val="none" w:sz="0" w:space="0" w:color="auto"/>
              </w:divBdr>
            </w:div>
          </w:divsChild>
        </w:div>
        <w:div w:id="572276441">
          <w:marLeft w:val="0"/>
          <w:marRight w:val="0"/>
          <w:marTop w:val="0"/>
          <w:marBottom w:val="0"/>
          <w:divBdr>
            <w:top w:val="none" w:sz="0" w:space="0" w:color="auto"/>
            <w:left w:val="none" w:sz="0" w:space="0" w:color="auto"/>
            <w:bottom w:val="none" w:sz="0" w:space="0" w:color="auto"/>
            <w:right w:val="none" w:sz="0" w:space="0" w:color="auto"/>
          </w:divBdr>
          <w:divsChild>
            <w:div w:id="672995727">
              <w:marLeft w:val="0"/>
              <w:marRight w:val="0"/>
              <w:marTop w:val="0"/>
              <w:marBottom w:val="0"/>
              <w:divBdr>
                <w:top w:val="none" w:sz="0" w:space="0" w:color="auto"/>
                <w:left w:val="none" w:sz="0" w:space="0" w:color="auto"/>
                <w:bottom w:val="none" w:sz="0" w:space="0" w:color="auto"/>
                <w:right w:val="none" w:sz="0" w:space="0" w:color="auto"/>
              </w:divBdr>
            </w:div>
          </w:divsChild>
        </w:div>
        <w:div w:id="594560744">
          <w:marLeft w:val="0"/>
          <w:marRight w:val="0"/>
          <w:marTop w:val="0"/>
          <w:marBottom w:val="0"/>
          <w:divBdr>
            <w:top w:val="none" w:sz="0" w:space="0" w:color="auto"/>
            <w:left w:val="none" w:sz="0" w:space="0" w:color="auto"/>
            <w:bottom w:val="none" w:sz="0" w:space="0" w:color="auto"/>
            <w:right w:val="none" w:sz="0" w:space="0" w:color="auto"/>
          </w:divBdr>
          <w:divsChild>
            <w:div w:id="1220170121">
              <w:marLeft w:val="0"/>
              <w:marRight w:val="0"/>
              <w:marTop w:val="0"/>
              <w:marBottom w:val="0"/>
              <w:divBdr>
                <w:top w:val="none" w:sz="0" w:space="0" w:color="auto"/>
                <w:left w:val="none" w:sz="0" w:space="0" w:color="auto"/>
                <w:bottom w:val="none" w:sz="0" w:space="0" w:color="auto"/>
                <w:right w:val="none" w:sz="0" w:space="0" w:color="auto"/>
              </w:divBdr>
            </w:div>
          </w:divsChild>
        </w:div>
        <w:div w:id="604965344">
          <w:marLeft w:val="0"/>
          <w:marRight w:val="0"/>
          <w:marTop w:val="0"/>
          <w:marBottom w:val="0"/>
          <w:divBdr>
            <w:top w:val="none" w:sz="0" w:space="0" w:color="auto"/>
            <w:left w:val="none" w:sz="0" w:space="0" w:color="auto"/>
            <w:bottom w:val="none" w:sz="0" w:space="0" w:color="auto"/>
            <w:right w:val="none" w:sz="0" w:space="0" w:color="auto"/>
          </w:divBdr>
          <w:divsChild>
            <w:div w:id="2097902618">
              <w:marLeft w:val="0"/>
              <w:marRight w:val="0"/>
              <w:marTop w:val="0"/>
              <w:marBottom w:val="0"/>
              <w:divBdr>
                <w:top w:val="none" w:sz="0" w:space="0" w:color="auto"/>
                <w:left w:val="none" w:sz="0" w:space="0" w:color="auto"/>
                <w:bottom w:val="none" w:sz="0" w:space="0" w:color="auto"/>
                <w:right w:val="none" w:sz="0" w:space="0" w:color="auto"/>
              </w:divBdr>
            </w:div>
          </w:divsChild>
        </w:div>
        <w:div w:id="736434859">
          <w:marLeft w:val="0"/>
          <w:marRight w:val="0"/>
          <w:marTop w:val="0"/>
          <w:marBottom w:val="0"/>
          <w:divBdr>
            <w:top w:val="none" w:sz="0" w:space="0" w:color="auto"/>
            <w:left w:val="none" w:sz="0" w:space="0" w:color="auto"/>
            <w:bottom w:val="none" w:sz="0" w:space="0" w:color="auto"/>
            <w:right w:val="none" w:sz="0" w:space="0" w:color="auto"/>
          </w:divBdr>
          <w:divsChild>
            <w:div w:id="1572275985">
              <w:marLeft w:val="0"/>
              <w:marRight w:val="0"/>
              <w:marTop w:val="0"/>
              <w:marBottom w:val="0"/>
              <w:divBdr>
                <w:top w:val="none" w:sz="0" w:space="0" w:color="auto"/>
                <w:left w:val="none" w:sz="0" w:space="0" w:color="auto"/>
                <w:bottom w:val="none" w:sz="0" w:space="0" w:color="auto"/>
                <w:right w:val="none" w:sz="0" w:space="0" w:color="auto"/>
              </w:divBdr>
            </w:div>
          </w:divsChild>
        </w:div>
        <w:div w:id="739911201">
          <w:marLeft w:val="0"/>
          <w:marRight w:val="0"/>
          <w:marTop w:val="0"/>
          <w:marBottom w:val="0"/>
          <w:divBdr>
            <w:top w:val="none" w:sz="0" w:space="0" w:color="auto"/>
            <w:left w:val="none" w:sz="0" w:space="0" w:color="auto"/>
            <w:bottom w:val="none" w:sz="0" w:space="0" w:color="auto"/>
            <w:right w:val="none" w:sz="0" w:space="0" w:color="auto"/>
          </w:divBdr>
          <w:divsChild>
            <w:div w:id="122425983">
              <w:marLeft w:val="0"/>
              <w:marRight w:val="0"/>
              <w:marTop w:val="0"/>
              <w:marBottom w:val="0"/>
              <w:divBdr>
                <w:top w:val="none" w:sz="0" w:space="0" w:color="auto"/>
                <w:left w:val="none" w:sz="0" w:space="0" w:color="auto"/>
                <w:bottom w:val="none" w:sz="0" w:space="0" w:color="auto"/>
                <w:right w:val="none" w:sz="0" w:space="0" w:color="auto"/>
              </w:divBdr>
            </w:div>
          </w:divsChild>
        </w:div>
        <w:div w:id="878594280">
          <w:marLeft w:val="0"/>
          <w:marRight w:val="0"/>
          <w:marTop w:val="0"/>
          <w:marBottom w:val="0"/>
          <w:divBdr>
            <w:top w:val="none" w:sz="0" w:space="0" w:color="auto"/>
            <w:left w:val="none" w:sz="0" w:space="0" w:color="auto"/>
            <w:bottom w:val="none" w:sz="0" w:space="0" w:color="auto"/>
            <w:right w:val="none" w:sz="0" w:space="0" w:color="auto"/>
          </w:divBdr>
          <w:divsChild>
            <w:div w:id="698244537">
              <w:marLeft w:val="0"/>
              <w:marRight w:val="0"/>
              <w:marTop w:val="0"/>
              <w:marBottom w:val="0"/>
              <w:divBdr>
                <w:top w:val="none" w:sz="0" w:space="0" w:color="auto"/>
                <w:left w:val="none" w:sz="0" w:space="0" w:color="auto"/>
                <w:bottom w:val="none" w:sz="0" w:space="0" w:color="auto"/>
                <w:right w:val="none" w:sz="0" w:space="0" w:color="auto"/>
              </w:divBdr>
            </w:div>
          </w:divsChild>
        </w:div>
        <w:div w:id="942615139">
          <w:marLeft w:val="0"/>
          <w:marRight w:val="0"/>
          <w:marTop w:val="0"/>
          <w:marBottom w:val="0"/>
          <w:divBdr>
            <w:top w:val="none" w:sz="0" w:space="0" w:color="auto"/>
            <w:left w:val="none" w:sz="0" w:space="0" w:color="auto"/>
            <w:bottom w:val="none" w:sz="0" w:space="0" w:color="auto"/>
            <w:right w:val="none" w:sz="0" w:space="0" w:color="auto"/>
          </w:divBdr>
          <w:divsChild>
            <w:div w:id="332338576">
              <w:marLeft w:val="0"/>
              <w:marRight w:val="0"/>
              <w:marTop w:val="0"/>
              <w:marBottom w:val="0"/>
              <w:divBdr>
                <w:top w:val="none" w:sz="0" w:space="0" w:color="auto"/>
                <w:left w:val="none" w:sz="0" w:space="0" w:color="auto"/>
                <w:bottom w:val="none" w:sz="0" w:space="0" w:color="auto"/>
                <w:right w:val="none" w:sz="0" w:space="0" w:color="auto"/>
              </w:divBdr>
            </w:div>
          </w:divsChild>
        </w:div>
        <w:div w:id="974335209">
          <w:marLeft w:val="0"/>
          <w:marRight w:val="0"/>
          <w:marTop w:val="0"/>
          <w:marBottom w:val="0"/>
          <w:divBdr>
            <w:top w:val="none" w:sz="0" w:space="0" w:color="auto"/>
            <w:left w:val="none" w:sz="0" w:space="0" w:color="auto"/>
            <w:bottom w:val="none" w:sz="0" w:space="0" w:color="auto"/>
            <w:right w:val="none" w:sz="0" w:space="0" w:color="auto"/>
          </w:divBdr>
          <w:divsChild>
            <w:div w:id="1764453714">
              <w:marLeft w:val="0"/>
              <w:marRight w:val="0"/>
              <w:marTop w:val="0"/>
              <w:marBottom w:val="0"/>
              <w:divBdr>
                <w:top w:val="none" w:sz="0" w:space="0" w:color="auto"/>
                <w:left w:val="none" w:sz="0" w:space="0" w:color="auto"/>
                <w:bottom w:val="none" w:sz="0" w:space="0" w:color="auto"/>
                <w:right w:val="none" w:sz="0" w:space="0" w:color="auto"/>
              </w:divBdr>
            </w:div>
            <w:div w:id="2072389469">
              <w:marLeft w:val="0"/>
              <w:marRight w:val="0"/>
              <w:marTop w:val="0"/>
              <w:marBottom w:val="0"/>
              <w:divBdr>
                <w:top w:val="none" w:sz="0" w:space="0" w:color="auto"/>
                <w:left w:val="none" w:sz="0" w:space="0" w:color="auto"/>
                <w:bottom w:val="none" w:sz="0" w:space="0" w:color="auto"/>
                <w:right w:val="none" w:sz="0" w:space="0" w:color="auto"/>
              </w:divBdr>
            </w:div>
          </w:divsChild>
        </w:div>
        <w:div w:id="990061141">
          <w:marLeft w:val="0"/>
          <w:marRight w:val="0"/>
          <w:marTop w:val="0"/>
          <w:marBottom w:val="0"/>
          <w:divBdr>
            <w:top w:val="none" w:sz="0" w:space="0" w:color="auto"/>
            <w:left w:val="none" w:sz="0" w:space="0" w:color="auto"/>
            <w:bottom w:val="none" w:sz="0" w:space="0" w:color="auto"/>
            <w:right w:val="none" w:sz="0" w:space="0" w:color="auto"/>
          </w:divBdr>
          <w:divsChild>
            <w:div w:id="469254270">
              <w:marLeft w:val="0"/>
              <w:marRight w:val="0"/>
              <w:marTop w:val="0"/>
              <w:marBottom w:val="0"/>
              <w:divBdr>
                <w:top w:val="none" w:sz="0" w:space="0" w:color="auto"/>
                <w:left w:val="none" w:sz="0" w:space="0" w:color="auto"/>
                <w:bottom w:val="none" w:sz="0" w:space="0" w:color="auto"/>
                <w:right w:val="none" w:sz="0" w:space="0" w:color="auto"/>
              </w:divBdr>
            </w:div>
          </w:divsChild>
        </w:div>
        <w:div w:id="1052771036">
          <w:marLeft w:val="0"/>
          <w:marRight w:val="0"/>
          <w:marTop w:val="0"/>
          <w:marBottom w:val="0"/>
          <w:divBdr>
            <w:top w:val="none" w:sz="0" w:space="0" w:color="auto"/>
            <w:left w:val="none" w:sz="0" w:space="0" w:color="auto"/>
            <w:bottom w:val="none" w:sz="0" w:space="0" w:color="auto"/>
            <w:right w:val="none" w:sz="0" w:space="0" w:color="auto"/>
          </w:divBdr>
          <w:divsChild>
            <w:div w:id="1758863117">
              <w:marLeft w:val="0"/>
              <w:marRight w:val="0"/>
              <w:marTop w:val="0"/>
              <w:marBottom w:val="0"/>
              <w:divBdr>
                <w:top w:val="none" w:sz="0" w:space="0" w:color="auto"/>
                <w:left w:val="none" w:sz="0" w:space="0" w:color="auto"/>
                <w:bottom w:val="none" w:sz="0" w:space="0" w:color="auto"/>
                <w:right w:val="none" w:sz="0" w:space="0" w:color="auto"/>
              </w:divBdr>
            </w:div>
          </w:divsChild>
        </w:div>
        <w:div w:id="1060910191">
          <w:marLeft w:val="0"/>
          <w:marRight w:val="0"/>
          <w:marTop w:val="0"/>
          <w:marBottom w:val="0"/>
          <w:divBdr>
            <w:top w:val="none" w:sz="0" w:space="0" w:color="auto"/>
            <w:left w:val="none" w:sz="0" w:space="0" w:color="auto"/>
            <w:bottom w:val="none" w:sz="0" w:space="0" w:color="auto"/>
            <w:right w:val="none" w:sz="0" w:space="0" w:color="auto"/>
          </w:divBdr>
          <w:divsChild>
            <w:div w:id="1319577154">
              <w:marLeft w:val="0"/>
              <w:marRight w:val="0"/>
              <w:marTop w:val="0"/>
              <w:marBottom w:val="0"/>
              <w:divBdr>
                <w:top w:val="none" w:sz="0" w:space="0" w:color="auto"/>
                <w:left w:val="none" w:sz="0" w:space="0" w:color="auto"/>
                <w:bottom w:val="none" w:sz="0" w:space="0" w:color="auto"/>
                <w:right w:val="none" w:sz="0" w:space="0" w:color="auto"/>
              </w:divBdr>
            </w:div>
          </w:divsChild>
        </w:div>
        <w:div w:id="1065034288">
          <w:marLeft w:val="0"/>
          <w:marRight w:val="0"/>
          <w:marTop w:val="0"/>
          <w:marBottom w:val="0"/>
          <w:divBdr>
            <w:top w:val="none" w:sz="0" w:space="0" w:color="auto"/>
            <w:left w:val="none" w:sz="0" w:space="0" w:color="auto"/>
            <w:bottom w:val="none" w:sz="0" w:space="0" w:color="auto"/>
            <w:right w:val="none" w:sz="0" w:space="0" w:color="auto"/>
          </w:divBdr>
          <w:divsChild>
            <w:div w:id="1152867549">
              <w:marLeft w:val="0"/>
              <w:marRight w:val="0"/>
              <w:marTop w:val="0"/>
              <w:marBottom w:val="0"/>
              <w:divBdr>
                <w:top w:val="none" w:sz="0" w:space="0" w:color="auto"/>
                <w:left w:val="none" w:sz="0" w:space="0" w:color="auto"/>
                <w:bottom w:val="none" w:sz="0" w:space="0" w:color="auto"/>
                <w:right w:val="none" w:sz="0" w:space="0" w:color="auto"/>
              </w:divBdr>
            </w:div>
          </w:divsChild>
        </w:div>
        <w:div w:id="1066880127">
          <w:marLeft w:val="0"/>
          <w:marRight w:val="0"/>
          <w:marTop w:val="0"/>
          <w:marBottom w:val="0"/>
          <w:divBdr>
            <w:top w:val="none" w:sz="0" w:space="0" w:color="auto"/>
            <w:left w:val="none" w:sz="0" w:space="0" w:color="auto"/>
            <w:bottom w:val="none" w:sz="0" w:space="0" w:color="auto"/>
            <w:right w:val="none" w:sz="0" w:space="0" w:color="auto"/>
          </w:divBdr>
          <w:divsChild>
            <w:div w:id="1897815755">
              <w:marLeft w:val="0"/>
              <w:marRight w:val="0"/>
              <w:marTop w:val="0"/>
              <w:marBottom w:val="0"/>
              <w:divBdr>
                <w:top w:val="none" w:sz="0" w:space="0" w:color="auto"/>
                <w:left w:val="none" w:sz="0" w:space="0" w:color="auto"/>
                <w:bottom w:val="none" w:sz="0" w:space="0" w:color="auto"/>
                <w:right w:val="none" w:sz="0" w:space="0" w:color="auto"/>
              </w:divBdr>
            </w:div>
          </w:divsChild>
        </w:div>
        <w:div w:id="1073814824">
          <w:marLeft w:val="0"/>
          <w:marRight w:val="0"/>
          <w:marTop w:val="0"/>
          <w:marBottom w:val="0"/>
          <w:divBdr>
            <w:top w:val="none" w:sz="0" w:space="0" w:color="auto"/>
            <w:left w:val="none" w:sz="0" w:space="0" w:color="auto"/>
            <w:bottom w:val="none" w:sz="0" w:space="0" w:color="auto"/>
            <w:right w:val="none" w:sz="0" w:space="0" w:color="auto"/>
          </w:divBdr>
          <w:divsChild>
            <w:div w:id="1533609989">
              <w:marLeft w:val="0"/>
              <w:marRight w:val="0"/>
              <w:marTop w:val="0"/>
              <w:marBottom w:val="0"/>
              <w:divBdr>
                <w:top w:val="none" w:sz="0" w:space="0" w:color="auto"/>
                <w:left w:val="none" w:sz="0" w:space="0" w:color="auto"/>
                <w:bottom w:val="none" w:sz="0" w:space="0" w:color="auto"/>
                <w:right w:val="none" w:sz="0" w:space="0" w:color="auto"/>
              </w:divBdr>
            </w:div>
          </w:divsChild>
        </w:div>
        <w:div w:id="1080250156">
          <w:marLeft w:val="0"/>
          <w:marRight w:val="0"/>
          <w:marTop w:val="0"/>
          <w:marBottom w:val="0"/>
          <w:divBdr>
            <w:top w:val="none" w:sz="0" w:space="0" w:color="auto"/>
            <w:left w:val="none" w:sz="0" w:space="0" w:color="auto"/>
            <w:bottom w:val="none" w:sz="0" w:space="0" w:color="auto"/>
            <w:right w:val="none" w:sz="0" w:space="0" w:color="auto"/>
          </w:divBdr>
          <w:divsChild>
            <w:div w:id="1522008799">
              <w:marLeft w:val="0"/>
              <w:marRight w:val="0"/>
              <w:marTop w:val="0"/>
              <w:marBottom w:val="0"/>
              <w:divBdr>
                <w:top w:val="none" w:sz="0" w:space="0" w:color="auto"/>
                <w:left w:val="none" w:sz="0" w:space="0" w:color="auto"/>
                <w:bottom w:val="none" w:sz="0" w:space="0" w:color="auto"/>
                <w:right w:val="none" w:sz="0" w:space="0" w:color="auto"/>
              </w:divBdr>
            </w:div>
          </w:divsChild>
        </w:div>
        <w:div w:id="1092092428">
          <w:marLeft w:val="0"/>
          <w:marRight w:val="0"/>
          <w:marTop w:val="0"/>
          <w:marBottom w:val="0"/>
          <w:divBdr>
            <w:top w:val="none" w:sz="0" w:space="0" w:color="auto"/>
            <w:left w:val="none" w:sz="0" w:space="0" w:color="auto"/>
            <w:bottom w:val="none" w:sz="0" w:space="0" w:color="auto"/>
            <w:right w:val="none" w:sz="0" w:space="0" w:color="auto"/>
          </w:divBdr>
          <w:divsChild>
            <w:div w:id="2096003626">
              <w:marLeft w:val="0"/>
              <w:marRight w:val="0"/>
              <w:marTop w:val="0"/>
              <w:marBottom w:val="0"/>
              <w:divBdr>
                <w:top w:val="none" w:sz="0" w:space="0" w:color="auto"/>
                <w:left w:val="none" w:sz="0" w:space="0" w:color="auto"/>
                <w:bottom w:val="none" w:sz="0" w:space="0" w:color="auto"/>
                <w:right w:val="none" w:sz="0" w:space="0" w:color="auto"/>
              </w:divBdr>
            </w:div>
          </w:divsChild>
        </w:div>
        <w:div w:id="1145003906">
          <w:marLeft w:val="0"/>
          <w:marRight w:val="0"/>
          <w:marTop w:val="0"/>
          <w:marBottom w:val="0"/>
          <w:divBdr>
            <w:top w:val="none" w:sz="0" w:space="0" w:color="auto"/>
            <w:left w:val="none" w:sz="0" w:space="0" w:color="auto"/>
            <w:bottom w:val="none" w:sz="0" w:space="0" w:color="auto"/>
            <w:right w:val="none" w:sz="0" w:space="0" w:color="auto"/>
          </w:divBdr>
          <w:divsChild>
            <w:div w:id="54472512">
              <w:marLeft w:val="0"/>
              <w:marRight w:val="0"/>
              <w:marTop w:val="0"/>
              <w:marBottom w:val="0"/>
              <w:divBdr>
                <w:top w:val="none" w:sz="0" w:space="0" w:color="auto"/>
                <w:left w:val="none" w:sz="0" w:space="0" w:color="auto"/>
                <w:bottom w:val="none" w:sz="0" w:space="0" w:color="auto"/>
                <w:right w:val="none" w:sz="0" w:space="0" w:color="auto"/>
              </w:divBdr>
            </w:div>
          </w:divsChild>
        </w:div>
        <w:div w:id="1146361364">
          <w:marLeft w:val="0"/>
          <w:marRight w:val="0"/>
          <w:marTop w:val="0"/>
          <w:marBottom w:val="0"/>
          <w:divBdr>
            <w:top w:val="none" w:sz="0" w:space="0" w:color="auto"/>
            <w:left w:val="none" w:sz="0" w:space="0" w:color="auto"/>
            <w:bottom w:val="none" w:sz="0" w:space="0" w:color="auto"/>
            <w:right w:val="none" w:sz="0" w:space="0" w:color="auto"/>
          </w:divBdr>
          <w:divsChild>
            <w:div w:id="1412891006">
              <w:marLeft w:val="0"/>
              <w:marRight w:val="0"/>
              <w:marTop w:val="0"/>
              <w:marBottom w:val="0"/>
              <w:divBdr>
                <w:top w:val="none" w:sz="0" w:space="0" w:color="auto"/>
                <w:left w:val="none" w:sz="0" w:space="0" w:color="auto"/>
                <w:bottom w:val="none" w:sz="0" w:space="0" w:color="auto"/>
                <w:right w:val="none" w:sz="0" w:space="0" w:color="auto"/>
              </w:divBdr>
            </w:div>
          </w:divsChild>
        </w:div>
        <w:div w:id="1182359372">
          <w:marLeft w:val="0"/>
          <w:marRight w:val="0"/>
          <w:marTop w:val="0"/>
          <w:marBottom w:val="0"/>
          <w:divBdr>
            <w:top w:val="none" w:sz="0" w:space="0" w:color="auto"/>
            <w:left w:val="none" w:sz="0" w:space="0" w:color="auto"/>
            <w:bottom w:val="none" w:sz="0" w:space="0" w:color="auto"/>
            <w:right w:val="none" w:sz="0" w:space="0" w:color="auto"/>
          </w:divBdr>
          <w:divsChild>
            <w:div w:id="1475678261">
              <w:marLeft w:val="0"/>
              <w:marRight w:val="0"/>
              <w:marTop w:val="0"/>
              <w:marBottom w:val="0"/>
              <w:divBdr>
                <w:top w:val="none" w:sz="0" w:space="0" w:color="auto"/>
                <w:left w:val="none" w:sz="0" w:space="0" w:color="auto"/>
                <w:bottom w:val="none" w:sz="0" w:space="0" w:color="auto"/>
                <w:right w:val="none" w:sz="0" w:space="0" w:color="auto"/>
              </w:divBdr>
            </w:div>
          </w:divsChild>
        </w:div>
        <w:div w:id="1202280730">
          <w:marLeft w:val="0"/>
          <w:marRight w:val="0"/>
          <w:marTop w:val="0"/>
          <w:marBottom w:val="0"/>
          <w:divBdr>
            <w:top w:val="none" w:sz="0" w:space="0" w:color="auto"/>
            <w:left w:val="none" w:sz="0" w:space="0" w:color="auto"/>
            <w:bottom w:val="none" w:sz="0" w:space="0" w:color="auto"/>
            <w:right w:val="none" w:sz="0" w:space="0" w:color="auto"/>
          </w:divBdr>
          <w:divsChild>
            <w:div w:id="750007879">
              <w:marLeft w:val="0"/>
              <w:marRight w:val="0"/>
              <w:marTop w:val="0"/>
              <w:marBottom w:val="0"/>
              <w:divBdr>
                <w:top w:val="none" w:sz="0" w:space="0" w:color="auto"/>
                <w:left w:val="none" w:sz="0" w:space="0" w:color="auto"/>
                <w:bottom w:val="none" w:sz="0" w:space="0" w:color="auto"/>
                <w:right w:val="none" w:sz="0" w:space="0" w:color="auto"/>
              </w:divBdr>
            </w:div>
          </w:divsChild>
        </w:div>
        <w:div w:id="1203833136">
          <w:marLeft w:val="0"/>
          <w:marRight w:val="0"/>
          <w:marTop w:val="0"/>
          <w:marBottom w:val="0"/>
          <w:divBdr>
            <w:top w:val="none" w:sz="0" w:space="0" w:color="auto"/>
            <w:left w:val="none" w:sz="0" w:space="0" w:color="auto"/>
            <w:bottom w:val="none" w:sz="0" w:space="0" w:color="auto"/>
            <w:right w:val="none" w:sz="0" w:space="0" w:color="auto"/>
          </w:divBdr>
          <w:divsChild>
            <w:div w:id="839002383">
              <w:marLeft w:val="0"/>
              <w:marRight w:val="0"/>
              <w:marTop w:val="0"/>
              <w:marBottom w:val="0"/>
              <w:divBdr>
                <w:top w:val="none" w:sz="0" w:space="0" w:color="auto"/>
                <w:left w:val="none" w:sz="0" w:space="0" w:color="auto"/>
                <w:bottom w:val="none" w:sz="0" w:space="0" w:color="auto"/>
                <w:right w:val="none" w:sz="0" w:space="0" w:color="auto"/>
              </w:divBdr>
            </w:div>
          </w:divsChild>
        </w:div>
        <w:div w:id="1205100584">
          <w:marLeft w:val="0"/>
          <w:marRight w:val="0"/>
          <w:marTop w:val="0"/>
          <w:marBottom w:val="0"/>
          <w:divBdr>
            <w:top w:val="none" w:sz="0" w:space="0" w:color="auto"/>
            <w:left w:val="none" w:sz="0" w:space="0" w:color="auto"/>
            <w:bottom w:val="none" w:sz="0" w:space="0" w:color="auto"/>
            <w:right w:val="none" w:sz="0" w:space="0" w:color="auto"/>
          </w:divBdr>
          <w:divsChild>
            <w:div w:id="1793130856">
              <w:marLeft w:val="0"/>
              <w:marRight w:val="0"/>
              <w:marTop w:val="0"/>
              <w:marBottom w:val="0"/>
              <w:divBdr>
                <w:top w:val="none" w:sz="0" w:space="0" w:color="auto"/>
                <w:left w:val="none" w:sz="0" w:space="0" w:color="auto"/>
                <w:bottom w:val="none" w:sz="0" w:space="0" w:color="auto"/>
                <w:right w:val="none" w:sz="0" w:space="0" w:color="auto"/>
              </w:divBdr>
            </w:div>
            <w:div w:id="1828743587">
              <w:marLeft w:val="0"/>
              <w:marRight w:val="0"/>
              <w:marTop w:val="0"/>
              <w:marBottom w:val="0"/>
              <w:divBdr>
                <w:top w:val="none" w:sz="0" w:space="0" w:color="auto"/>
                <w:left w:val="none" w:sz="0" w:space="0" w:color="auto"/>
                <w:bottom w:val="none" w:sz="0" w:space="0" w:color="auto"/>
                <w:right w:val="none" w:sz="0" w:space="0" w:color="auto"/>
              </w:divBdr>
            </w:div>
          </w:divsChild>
        </w:div>
        <w:div w:id="1230269938">
          <w:marLeft w:val="0"/>
          <w:marRight w:val="0"/>
          <w:marTop w:val="0"/>
          <w:marBottom w:val="0"/>
          <w:divBdr>
            <w:top w:val="none" w:sz="0" w:space="0" w:color="auto"/>
            <w:left w:val="none" w:sz="0" w:space="0" w:color="auto"/>
            <w:bottom w:val="none" w:sz="0" w:space="0" w:color="auto"/>
            <w:right w:val="none" w:sz="0" w:space="0" w:color="auto"/>
          </w:divBdr>
          <w:divsChild>
            <w:div w:id="1860000876">
              <w:marLeft w:val="0"/>
              <w:marRight w:val="0"/>
              <w:marTop w:val="0"/>
              <w:marBottom w:val="0"/>
              <w:divBdr>
                <w:top w:val="none" w:sz="0" w:space="0" w:color="auto"/>
                <w:left w:val="none" w:sz="0" w:space="0" w:color="auto"/>
                <w:bottom w:val="none" w:sz="0" w:space="0" w:color="auto"/>
                <w:right w:val="none" w:sz="0" w:space="0" w:color="auto"/>
              </w:divBdr>
            </w:div>
          </w:divsChild>
        </w:div>
        <w:div w:id="1236820599">
          <w:marLeft w:val="0"/>
          <w:marRight w:val="0"/>
          <w:marTop w:val="0"/>
          <w:marBottom w:val="0"/>
          <w:divBdr>
            <w:top w:val="none" w:sz="0" w:space="0" w:color="auto"/>
            <w:left w:val="none" w:sz="0" w:space="0" w:color="auto"/>
            <w:bottom w:val="none" w:sz="0" w:space="0" w:color="auto"/>
            <w:right w:val="none" w:sz="0" w:space="0" w:color="auto"/>
          </w:divBdr>
          <w:divsChild>
            <w:div w:id="1171215975">
              <w:marLeft w:val="0"/>
              <w:marRight w:val="0"/>
              <w:marTop w:val="0"/>
              <w:marBottom w:val="0"/>
              <w:divBdr>
                <w:top w:val="none" w:sz="0" w:space="0" w:color="auto"/>
                <w:left w:val="none" w:sz="0" w:space="0" w:color="auto"/>
                <w:bottom w:val="none" w:sz="0" w:space="0" w:color="auto"/>
                <w:right w:val="none" w:sz="0" w:space="0" w:color="auto"/>
              </w:divBdr>
            </w:div>
          </w:divsChild>
        </w:div>
        <w:div w:id="1271350457">
          <w:marLeft w:val="0"/>
          <w:marRight w:val="0"/>
          <w:marTop w:val="0"/>
          <w:marBottom w:val="0"/>
          <w:divBdr>
            <w:top w:val="none" w:sz="0" w:space="0" w:color="auto"/>
            <w:left w:val="none" w:sz="0" w:space="0" w:color="auto"/>
            <w:bottom w:val="none" w:sz="0" w:space="0" w:color="auto"/>
            <w:right w:val="none" w:sz="0" w:space="0" w:color="auto"/>
          </w:divBdr>
          <w:divsChild>
            <w:div w:id="1218667512">
              <w:marLeft w:val="0"/>
              <w:marRight w:val="0"/>
              <w:marTop w:val="0"/>
              <w:marBottom w:val="0"/>
              <w:divBdr>
                <w:top w:val="none" w:sz="0" w:space="0" w:color="auto"/>
                <w:left w:val="none" w:sz="0" w:space="0" w:color="auto"/>
                <w:bottom w:val="none" w:sz="0" w:space="0" w:color="auto"/>
                <w:right w:val="none" w:sz="0" w:space="0" w:color="auto"/>
              </w:divBdr>
            </w:div>
          </w:divsChild>
        </w:div>
        <w:div w:id="1318874458">
          <w:marLeft w:val="0"/>
          <w:marRight w:val="0"/>
          <w:marTop w:val="0"/>
          <w:marBottom w:val="0"/>
          <w:divBdr>
            <w:top w:val="none" w:sz="0" w:space="0" w:color="auto"/>
            <w:left w:val="none" w:sz="0" w:space="0" w:color="auto"/>
            <w:bottom w:val="none" w:sz="0" w:space="0" w:color="auto"/>
            <w:right w:val="none" w:sz="0" w:space="0" w:color="auto"/>
          </w:divBdr>
          <w:divsChild>
            <w:div w:id="613950322">
              <w:marLeft w:val="0"/>
              <w:marRight w:val="0"/>
              <w:marTop w:val="0"/>
              <w:marBottom w:val="0"/>
              <w:divBdr>
                <w:top w:val="none" w:sz="0" w:space="0" w:color="auto"/>
                <w:left w:val="none" w:sz="0" w:space="0" w:color="auto"/>
                <w:bottom w:val="none" w:sz="0" w:space="0" w:color="auto"/>
                <w:right w:val="none" w:sz="0" w:space="0" w:color="auto"/>
              </w:divBdr>
            </w:div>
          </w:divsChild>
        </w:div>
        <w:div w:id="1325082402">
          <w:marLeft w:val="0"/>
          <w:marRight w:val="0"/>
          <w:marTop w:val="0"/>
          <w:marBottom w:val="0"/>
          <w:divBdr>
            <w:top w:val="none" w:sz="0" w:space="0" w:color="auto"/>
            <w:left w:val="none" w:sz="0" w:space="0" w:color="auto"/>
            <w:bottom w:val="none" w:sz="0" w:space="0" w:color="auto"/>
            <w:right w:val="none" w:sz="0" w:space="0" w:color="auto"/>
          </w:divBdr>
          <w:divsChild>
            <w:div w:id="456949354">
              <w:marLeft w:val="0"/>
              <w:marRight w:val="0"/>
              <w:marTop w:val="0"/>
              <w:marBottom w:val="0"/>
              <w:divBdr>
                <w:top w:val="none" w:sz="0" w:space="0" w:color="auto"/>
                <w:left w:val="none" w:sz="0" w:space="0" w:color="auto"/>
                <w:bottom w:val="none" w:sz="0" w:space="0" w:color="auto"/>
                <w:right w:val="none" w:sz="0" w:space="0" w:color="auto"/>
              </w:divBdr>
            </w:div>
          </w:divsChild>
        </w:div>
        <w:div w:id="1374036946">
          <w:marLeft w:val="0"/>
          <w:marRight w:val="0"/>
          <w:marTop w:val="0"/>
          <w:marBottom w:val="0"/>
          <w:divBdr>
            <w:top w:val="none" w:sz="0" w:space="0" w:color="auto"/>
            <w:left w:val="none" w:sz="0" w:space="0" w:color="auto"/>
            <w:bottom w:val="none" w:sz="0" w:space="0" w:color="auto"/>
            <w:right w:val="none" w:sz="0" w:space="0" w:color="auto"/>
          </w:divBdr>
          <w:divsChild>
            <w:div w:id="723792548">
              <w:marLeft w:val="0"/>
              <w:marRight w:val="0"/>
              <w:marTop w:val="0"/>
              <w:marBottom w:val="0"/>
              <w:divBdr>
                <w:top w:val="none" w:sz="0" w:space="0" w:color="auto"/>
                <w:left w:val="none" w:sz="0" w:space="0" w:color="auto"/>
                <w:bottom w:val="none" w:sz="0" w:space="0" w:color="auto"/>
                <w:right w:val="none" w:sz="0" w:space="0" w:color="auto"/>
              </w:divBdr>
            </w:div>
          </w:divsChild>
        </w:div>
        <w:div w:id="1409186507">
          <w:marLeft w:val="0"/>
          <w:marRight w:val="0"/>
          <w:marTop w:val="0"/>
          <w:marBottom w:val="0"/>
          <w:divBdr>
            <w:top w:val="none" w:sz="0" w:space="0" w:color="auto"/>
            <w:left w:val="none" w:sz="0" w:space="0" w:color="auto"/>
            <w:bottom w:val="none" w:sz="0" w:space="0" w:color="auto"/>
            <w:right w:val="none" w:sz="0" w:space="0" w:color="auto"/>
          </w:divBdr>
          <w:divsChild>
            <w:div w:id="1992950486">
              <w:marLeft w:val="0"/>
              <w:marRight w:val="0"/>
              <w:marTop w:val="0"/>
              <w:marBottom w:val="0"/>
              <w:divBdr>
                <w:top w:val="none" w:sz="0" w:space="0" w:color="auto"/>
                <w:left w:val="none" w:sz="0" w:space="0" w:color="auto"/>
                <w:bottom w:val="none" w:sz="0" w:space="0" w:color="auto"/>
                <w:right w:val="none" w:sz="0" w:space="0" w:color="auto"/>
              </w:divBdr>
            </w:div>
          </w:divsChild>
        </w:div>
        <w:div w:id="1419860884">
          <w:marLeft w:val="0"/>
          <w:marRight w:val="0"/>
          <w:marTop w:val="0"/>
          <w:marBottom w:val="0"/>
          <w:divBdr>
            <w:top w:val="none" w:sz="0" w:space="0" w:color="auto"/>
            <w:left w:val="none" w:sz="0" w:space="0" w:color="auto"/>
            <w:bottom w:val="none" w:sz="0" w:space="0" w:color="auto"/>
            <w:right w:val="none" w:sz="0" w:space="0" w:color="auto"/>
          </w:divBdr>
          <w:divsChild>
            <w:div w:id="242687964">
              <w:marLeft w:val="0"/>
              <w:marRight w:val="0"/>
              <w:marTop w:val="0"/>
              <w:marBottom w:val="0"/>
              <w:divBdr>
                <w:top w:val="none" w:sz="0" w:space="0" w:color="auto"/>
                <w:left w:val="none" w:sz="0" w:space="0" w:color="auto"/>
                <w:bottom w:val="none" w:sz="0" w:space="0" w:color="auto"/>
                <w:right w:val="none" w:sz="0" w:space="0" w:color="auto"/>
              </w:divBdr>
            </w:div>
          </w:divsChild>
        </w:div>
        <w:div w:id="1426149559">
          <w:marLeft w:val="0"/>
          <w:marRight w:val="0"/>
          <w:marTop w:val="0"/>
          <w:marBottom w:val="0"/>
          <w:divBdr>
            <w:top w:val="none" w:sz="0" w:space="0" w:color="auto"/>
            <w:left w:val="none" w:sz="0" w:space="0" w:color="auto"/>
            <w:bottom w:val="none" w:sz="0" w:space="0" w:color="auto"/>
            <w:right w:val="none" w:sz="0" w:space="0" w:color="auto"/>
          </w:divBdr>
          <w:divsChild>
            <w:div w:id="733742499">
              <w:marLeft w:val="0"/>
              <w:marRight w:val="0"/>
              <w:marTop w:val="0"/>
              <w:marBottom w:val="0"/>
              <w:divBdr>
                <w:top w:val="none" w:sz="0" w:space="0" w:color="auto"/>
                <w:left w:val="none" w:sz="0" w:space="0" w:color="auto"/>
                <w:bottom w:val="none" w:sz="0" w:space="0" w:color="auto"/>
                <w:right w:val="none" w:sz="0" w:space="0" w:color="auto"/>
              </w:divBdr>
            </w:div>
          </w:divsChild>
        </w:div>
        <w:div w:id="1426615989">
          <w:marLeft w:val="0"/>
          <w:marRight w:val="0"/>
          <w:marTop w:val="0"/>
          <w:marBottom w:val="0"/>
          <w:divBdr>
            <w:top w:val="none" w:sz="0" w:space="0" w:color="auto"/>
            <w:left w:val="none" w:sz="0" w:space="0" w:color="auto"/>
            <w:bottom w:val="none" w:sz="0" w:space="0" w:color="auto"/>
            <w:right w:val="none" w:sz="0" w:space="0" w:color="auto"/>
          </w:divBdr>
          <w:divsChild>
            <w:div w:id="162741281">
              <w:marLeft w:val="0"/>
              <w:marRight w:val="0"/>
              <w:marTop w:val="0"/>
              <w:marBottom w:val="0"/>
              <w:divBdr>
                <w:top w:val="none" w:sz="0" w:space="0" w:color="auto"/>
                <w:left w:val="none" w:sz="0" w:space="0" w:color="auto"/>
                <w:bottom w:val="none" w:sz="0" w:space="0" w:color="auto"/>
                <w:right w:val="none" w:sz="0" w:space="0" w:color="auto"/>
              </w:divBdr>
            </w:div>
          </w:divsChild>
        </w:div>
        <w:div w:id="1471097790">
          <w:marLeft w:val="0"/>
          <w:marRight w:val="0"/>
          <w:marTop w:val="0"/>
          <w:marBottom w:val="0"/>
          <w:divBdr>
            <w:top w:val="none" w:sz="0" w:space="0" w:color="auto"/>
            <w:left w:val="none" w:sz="0" w:space="0" w:color="auto"/>
            <w:bottom w:val="none" w:sz="0" w:space="0" w:color="auto"/>
            <w:right w:val="none" w:sz="0" w:space="0" w:color="auto"/>
          </w:divBdr>
          <w:divsChild>
            <w:div w:id="515846707">
              <w:marLeft w:val="0"/>
              <w:marRight w:val="0"/>
              <w:marTop w:val="0"/>
              <w:marBottom w:val="0"/>
              <w:divBdr>
                <w:top w:val="none" w:sz="0" w:space="0" w:color="auto"/>
                <w:left w:val="none" w:sz="0" w:space="0" w:color="auto"/>
                <w:bottom w:val="none" w:sz="0" w:space="0" w:color="auto"/>
                <w:right w:val="none" w:sz="0" w:space="0" w:color="auto"/>
              </w:divBdr>
            </w:div>
          </w:divsChild>
        </w:div>
        <w:div w:id="1507281549">
          <w:marLeft w:val="0"/>
          <w:marRight w:val="0"/>
          <w:marTop w:val="0"/>
          <w:marBottom w:val="0"/>
          <w:divBdr>
            <w:top w:val="none" w:sz="0" w:space="0" w:color="auto"/>
            <w:left w:val="none" w:sz="0" w:space="0" w:color="auto"/>
            <w:bottom w:val="none" w:sz="0" w:space="0" w:color="auto"/>
            <w:right w:val="none" w:sz="0" w:space="0" w:color="auto"/>
          </w:divBdr>
          <w:divsChild>
            <w:div w:id="1002733256">
              <w:marLeft w:val="0"/>
              <w:marRight w:val="0"/>
              <w:marTop w:val="0"/>
              <w:marBottom w:val="0"/>
              <w:divBdr>
                <w:top w:val="none" w:sz="0" w:space="0" w:color="auto"/>
                <w:left w:val="none" w:sz="0" w:space="0" w:color="auto"/>
                <w:bottom w:val="none" w:sz="0" w:space="0" w:color="auto"/>
                <w:right w:val="none" w:sz="0" w:space="0" w:color="auto"/>
              </w:divBdr>
            </w:div>
          </w:divsChild>
        </w:div>
        <w:div w:id="1579903204">
          <w:marLeft w:val="0"/>
          <w:marRight w:val="0"/>
          <w:marTop w:val="0"/>
          <w:marBottom w:val="0"/>
          <w:divBdr>
            <w:top w:val="none" w:sz="0" w:space="0" w:color="auto"/>
            <w:left w:val="none" w:sz="0" w:space="0" w:color="auto"/>
            <w:bottom w:val="none" w:sz="0" w:space="0" w:color="auto"/>
            <w:right w:val="none" w:sz="0" w:space="0" w:color="auto"/>
          </w:divBdr>
          <w:divsChild>
            <w:div w:id="1494639238">
              <w:marLeft w:val="0"/>
              <w:marRight w:val="0"/>
              <w:marTop w:val="0"/>
              <w:marBottom w:val="0"/>
              <w:divBdr>
                <w:top w:val="none" w:sz="0" w:space="0" w:color="auto"/>
                <w:left w:val="none" w:sz="0" w:space="0" w:color="auto"/>
                <w:bottom w:val="none" w:sz="0" w:space="0" w:color="auto"/>
                <w:right w:val="none" w:sz="0" w:space="0" w:color="auto"/>
              </w:divBdr>
            </w:div>
          </w:divsChild>
        </w:div>
        <w:div w:id="1600093537">
          <w:marLeft w:val="0"/>
          <w:marRight w:val="0"/>
          <w:marTop w:val="0"/>
          <w:marBottom w:val="0"/>
          <w:divBdr>
            <w:top w:val="none" w:sz="0" w:space="0" w:color="auto"/>
            <w:left w:val="none" w:sz="0" w:space="0" w:color="auto"/>
            <w:bottom w:val="none" w:sz="0" w:space="0" w:color="auto"/>
            <w:right w:val="none" w:sz="0" w:space="0" w:color="auto"/>
          </w:divBdr>
          <w:divsChild>
            <w:div w:id="1705397666">
              <w:marLeft w:val="0"/>
              <w:marRight w:val="0"/>
              <w:marTop w:val="0"/>
              <w:marBottom w:val="0"/>
              <w:divBdr>
                <w:top w:val="none" w:sz="0" w:space="0" w:color="auto"/>
                <w:left w:val="none" w:sz="0" w:space="0" w:color="auto"/>
                <w:bottom w:val="none" w:sz="0" w:space="0" w:color="auto"/>
                <w:right w:val="none" w:sz="0" w:space="0" w:color="auto"/>
              </w:divBdr>
            </w:div>
          </w:divsChild>
        </w:div>
        <w:div w:id="1631596939">
          <w:marLeft w:val="0"/>
          <w:marRight w:val="0"/>
          <w:marTop w:val="0"/>
          <w:marBottom w:val="0"/>
          <w:divBdr>
            <w:top w:val="none" w:sz="0" w:space="0" w:color="auto"/>
            <w:left w:val="none" w:sz="0" w:space="0" w:color="auto"/>
            <w:bottom w:val="none" w:sz="0" w:space="0" w:color="auto"/>
            <w:right w:val="none" w:sz="0" w:space="0" w:color="auto"/>
          </w:divBdr>
          <w:divsChild>
            <w:div w:id="154036087">
              <w:marLeft w:val="0"/>
              <w:marRight w:val="0"/>
              <w:marTop w:val="0"/>
              <w:marBottom w:val="0"/>
              <w:divBdr>
                <w:top w:val="none" w:sz="0" w:space="0" w:color="auto"/>
                <w:left w:val="none" w:sz="0" w:space="0" w:color="auto"/>
                <w:bottom w:val="none" w:sz="0" w:space="0" w:color="auto"/>
                <w:right w:val="none" w:sz="0" w:space="0" w:color="auto"/>
              </w:divBdr>
            </w:div>
          </w:divsChild>
        </w:div>
        <w:div w:id="1697386162">
          <w:marLeft w:val="0"/>
          <w:marRight w:val="0"/>
          <w:marTop w:val="0"/>
          <w:marBottom w:val="0"/>
          <w:divBdr>
            <w:top w:val="none" w:sz="0" w:space="0" w:color="auto"/>
            <w:left w:val="none" w:sz="0" w:space="0" w:color="auto"/>
            <w:bottom w:val="none" w:sz="0" w:space="0" w:color="auto"/>
            <w:right w:val="none" w:sz="0" w:space="0" w:color="auto"/>
          </w:divBdr>
          <w:divsChild>
            <w:div w:id="1087530721">
              <w:marLeft w:val="0"/>
              <w:marRight w:val="0"/>
              <w:marTop w:val="0"/>
              <w:marBottom w:val="0"/>
              <w:divBdr>
                <w:top w:val="none" w:sz="0" w:space="0" w:color="auto"/>
                <w:left w:val="none" w:sz="0" w:space="0" w:color="auto"/>
                <w:bottom w:val="none" w:sz="0" w:space="0" w:color="auto"/>
                <w:right w:val="none" w:sz="0" w:space="0" w:color="auto"/>
              </w:divBdr>
            </w:div>
          </w:divsChild>
        </w:div>
        <w:div w:id="1713113284">
          <w:marLeft w:val="0"/>
          <w:marRight w:val="0"/>
          <w:marTop w:val="0"/>
          <w:marBottom w:val="0"/>
          <w:divBdr>
            <w:top w:val="none" w:sz="0" w:space="0" w:color="auto"/>
            <w:left w:val="none" w:sz="0" w:space="0" w:color="auto"/>
            <w:bottom w:val="none" w:sz="0" w:space="0" w:color="auto"/>
            <w:right w:val="none" w:sz="0" w:space="0" w:color="auto"/>
          </w:divBdr>
          <w:divsChild>
            <w:div w:id="868491225">
              <w:marLeft w:val="0"/>
              <w:marRight w:val="0"/>
              <w:marTop w:val="0"/>
              <w:marBottom w:val="0"/>
              <w:divBdr>
                <w:top w:val="none" w:sz="0" w:space="0" w:color="auto"/>
                <w:left w:val="none" w:sz="0" w:space="0" w:color="auto"/>
                <w:bottom w:val="none" w:sz="0" w:space="0" w:color="auto"/>
                <w:right w:val="none" w:sz="0" w:space="0" w:color="auto"/>
              </w:divBdr>
            </w:div>
          </w:divsChild>
        </w:div>
        <w:div w:id="1738088489">
          <w:marLeft w:val="0"/>
          <w:marRight w:val="0"/>
          <w:marTop w:val="0"/>
          <w:marBottom w:val="0"/>
          <w:divBdr>
            <w:top w:val="none" w:sz="0" w:space="0" w:color="auto"/>
            <w:left w:val="none" w:sz="0" w:space="0" w:color="auto"/>
            <w:bottom w:val="none" w:sz="0" w:space="0" w:color="auto"/>
            <w:right w:val="none" w:sz="0" w:space="0" w:color="auto"/>
          </w:divBdr>
          <w:divsChild>
            <w:div w:id="324163573">
              <w:marLeft w:val="0"/>
              <w:marRight w:val="0"/>
              <w:marTop w:val="0"/>
              <w:marBottom w:val="0"/>
              <w:divBdr>
                <w:top w:val="none" w:sz="0" w:space="0" w:color="auto"/>
                <w:left w:val="none" w:sz="0" w:space="0" w:color="auto"/>
                <w:bottom w:val="none" w:sz="0" w:space="0" w:color="auto"/>
                <w:right w:val="none" w:sz="0" w:space="0" w:color="auto"/>
              </w:divBdr>
            </w:div>
          </w:divsChild>
        </w:div>
        <w:div w:id="1749306764">
          <w:marLeft w:val="0"/>
          <w:marRight w:val="0"/>
          <w:marTop w:val="0"/>
          <w:marBottom w:val="0"/>
          <w:divBdr>
            <w:top w:val="none" w:sz="0" w:space="0" w:color="auto"/>
            <w:left w:val="none" w:sz="0" w:space="0" w:color="auto"/>
            <w:bottom w:val="none" w:sz="0" w:space="0" w:color="auto"/>
            <w:right w:val="none" w:sz="0" w:space="0" w:color="auto"/>
          </w:divBdr>
          <w:divsChild>
            <w:div w:id="1952131588">
              <w:marLeft w:val="0"/>
              <w:marRight w:val="0"/>
              <w:marTop w:val="0"/>
              <w:marBottom w:val="0"/>
              <w:divBdr>
                <w:top w:val="none" w:sz="0" w:space="0" w:color="auto"/>
                <w:left w:val="none" w:sz="0" w:space="0" w:color="auto"/>
                <w:bottom w:val="none" w:sz="0" w:space="0" w:color="auto"/>
                <w:right w:val="none" w:sz="0" w:space="0" w:color="auto"/>
              </w:divBdr>
            </w:div>
          </w:divsChild>
        </w:div>
        <w:div w:id="1780832697">
          <w:marLeft w:val="0"/>
          <w:marRight w:val="0"/>
          <w:marTop w:val="0"/>
          <w:marBottom w:val="0"/>
          <w:divBdr>
            <w:top w:val="none" w:sz="0" w:space="0" w:color="auto"/>
            <w:left w:val="none" w:sz="0" w:space="0" w:color="auto"/>
            <w:bottom w:val="none" w:sz="0" w:space="0" w:color="auto"/>
            <w:right w:val="none" w:sz="0" w:space="0" w:color="auto"/>
          </w:divBdr>
          <w:divsChild>
            <w:div w:id="1022709351">
              <w:marLeft w:val="0"/>
              <w:marRight w:val="0"/>
              <w:marTop w:val="0"/>
              <w:marBottom w:val="0"/>
              <w:divBdr>
                <w:top w:val="none" w:sz="0" w:space="0" w:color="auto"/>
                <w:left w:val="none" w:sz="0" w:space="0" w:color="auto"/>
                <w:bottom w:val="none" w:sz="0" w:space="0" w:color="auto"/>
                <w:right w:val="none" w:sz="0" w:space="0" w:color="auto"/>
              </w:divBdr>
            </w:div>
          </w:divsChild>
        </w:div>
        <w:div w:id="1821775818">
          <w:marLeft w:val="0"/>
          <w:marRight w:val="0"/>
          <w:marTop w:val="0"/>
          <w:marBottom w:val="0"/>
          <w:divBdr>
            <w:top w:val="none" w:sz="0" w:space="0" w:color="auto"/>
            <w:left w:val="none" w:sz="0" w:space="0" w:color="auto"/>
            <w:bottom w:val="none" w:sz="0" w:space="0" w:color="auto"/>
            <w:right w:val="none" w:sz="0" w:space="0" w:color="auto"/>
          </w:divBdr>
          <w:divsChild>
            <w:div w:id="1944528321">
              <w:marLeft w:val="0"/>
              <w:marRight w:val="0"/>
              <w:marTop w:val="0"/>
              <w:marBottom w:val="0"/>
              <w:divBdr>
                <w:top w:val="none" w:sz="0" w:space="0" w:color="auto"/>
                <w:left w:val="none" w:sz="0" w:space="0" w:color="auto"/>
                <w:bottom w:val="none" w:sz="0" w:space="0" w:color="auto"/>
                <w:right w:val="none" w:sz="0" w:space="0" w:color="auto"/>
              </w:divBdr>
            </w:div>
          </w:divsChild>
        </w:div>
        <w:div w:id="1841195889">
          <w:marLeft w:val="0"/>
          <w:marRight w:val="0"/>
          <w:marTop w:val="0"/>
          <w:marBottom w:val="0"/>
          <w:divBdr>
            <w:top w:val="none" w:sz="0" w:space="0" w:color="auto"/>
            <w:left w:val="none" w:sz="0" w:space="0" w:color="auto"/>
            <w:bottom w:val="none" w:sz="0" w:space="0" w:color="auto"/>
            <w:right w:val="none" w:sz="0" w:space="0" w:color="auto"/>
          </w:divBdr>
          <w:divsChild>
            <w:div w:id="2028480070">
              <w:marLeft w:val="0"/>
              <w:marRight w:val="0"/>
              <w:marTop w:val="0"/>
              <w:marBottom w:val="0"/>
              <w:divBdr>
                <w:top w:val="none" w:sz="0" w:space="0" w:color="auto"/>
                <w:left w:val="none" w:sz="0" w:space="0" w:color="auto"/>
                <w:bottom w:val="none" w:sz="0" w:space="0" w:color="auto"/>
                <w:right w:val="none" w:sz="0" w:space="0" w:color="auto"/>
              </w:divBdr>
            </w:div>
          </w:divsChild>
        </w:div>
        <w:div w:id="1862863507">
          <w:marLeft w:val="0"/>
          <w:marRight w:val="0"/>
          <w:marTop w:val="0"/>
          <w:marBottom w:val="0"/>
          <w:divBdr>
            <w:top w:val="none" w:sz="0" w:space="0" w:color="auto"/>
            <w:left w:val="none" w:sz="0" w:space="0" w:color="auto"/>
            <w:bottom w:val="none" w:sz="0" w:space="0" w:color="auto"/>
            <w:right w:val="none" w:sz="0" w:space="0" w:color="auto"/>
          </w:divBdr>
          <w:divsChild>
            <w:div w:id="99306337">
              <w:marLeft w:val="0"/>
              <w:marRight w:val="0"/>
              <w:marTop w:val="0"/>
              <w:marBottom w:val="0"/>
              <w:divBdr>
                <w:top w:val="none" w:sz="0" w:space="0" w:color="auto"/>
                <w:left w:val="none" w:sz="0" w:space="0" w:color="auto"/>
                <w:bottom w:val="none" w:sz="0" w:space="0" w:color="auto"/>
                <w:right w:val="none" w:sz="0" w:space="0" w:color="auto"/>
              </w:divBdr>
            </w:div>
          </w:divsChild>
        </w:div>
        <w:div w:id="1902329128">
          <w:marLeft w:val="0"/>
          <w:marRight w:val="0"/>
          <w:marTop w:val="0"/>
          <w:marBottom w:val="0"/>
          <w:divBdr>
            <w:top w:val="none" w:sz="0" w:space="0" w:color="auto"/>
            <w:left w:val="none" w:sz="0" w:space="0" w:color="auto"/>
            <w:bottom w:val="none" w:sz="0" w:space="0" w:color="auto"/>
            <w:right w:val="none" w:sz="0" w:space="0" w:color="auto"/>
          </w:divBdr>
          <w:divsChild>
            <w:div w:id="772822278">
              <w:marLeft w:val="0"/>
              <w:marRight w:val="0"/>
              <w:marTop w:val="0"/>
              <w:marBottom w:val="0"/>
              <w:divBdr>
                <w:top w:val="none" w:sz="0" w:space="0" w:color="auto"/>
                <w:left w:val="none" w:sz="0" w:space="0" w:color="auto"/>
                <w:bottom w:val="none" w:sz="0" w:space="0" w:color="auto"/>
                <w:right w:val="none" w:sz="0" w:space="0" w:color="auto"/>
              </w:divBdr>
            </w:div>
          </w:divsChild>
        </w:div>
        <w:div w:id="1922443498">
          <w:marLeft w:val="0"/>
          <w:marRight w:val="0"/>
          <w:marTop w:val="0"/>
          <w:marBottom w:val="0"/>
          <w:divBdr>
            <w:top w:val="none" w:sz="0" w:space="0" w:color="auto"/>
            <w:left w:val="none" w:sz="0" w:space="0" w:color="auto"/>
            <w:bottom w:val="none" w:sz="0" w:space="0" w:color="auto"/>
            <w:right w:val="none" w:sz="0" w:space="0" w:color="auto"/>
          </w:divBdr>
          <w:divsChild>
            <w:div w:id="1030884412">
              <w:marLeft w:val="0"/>
              <w:marRight w:val="0"/>
              <w:marTop w:val="0"/>
              <w:marBottom w:val="0"/>
              <w:divBdr>
                <w:top w:val="none" w:sz="0" w:space="0" w:color="auto"/>
                <w:left w:val="none" w:sz="0" w:space="0" w:color="auto"/>
                <w:bottom w:val="none" w:sz="0" w:space="0" w:color="auto"/>
                <w:right w:val="none" w:sz="0" w:space="0" w:color="auto"/>
              </w:divBdr>
            </w:div>
          </w:divsChild>
        </w:div>
        <w:div w:id="1945457645">
          <w:marLeft w:val="0"/>
          <w:marRight w:val="0"/>
          <w:marTop w:val="0"/>
          <w:marBottom w:val="0"/>
          <w:divBdr>
            <w:top w:val="none" w:sz="0" w:space="0" w:color="auto"/>
            <w:left w:val="none" w:sz="0" w:space="0" w:color="auto"/>
            <w:bottom w:val="none" w:sz="0" w:space="0" w:color="auto"/>
            <w:right w:val="none" w:sz="0" w:space="0" w:color="auto"/>
          </w:divBdr>
          <w:divsChild>
            <w:div w:id="110756527">
              <w:marLeft w:val="0"/>
              <w:marRight w:val="0"/>
              <w:marTop w:val="0"/>
              <w:marBottom w:val="0"/>
              <w:divBdr>
                <w:top w:val="none" w:sz="0" w:space="0" w:color="auto"/>
                <w:left w:val="none" w:sz="0" w:space="0" w:color="auto"/>
                <w:bottom w:val="none" w:sz="0" w:space="0" w:color="auto"/>
                <w:right w:val="none" w:sz="0" w:space="0" w:color="auto"/>
              </w:divBdr>
            </w:div>
          </w:divsChild>
        </w:div>
        <w:div w:id="1974867212">
          <w:marLeft w:val="0"/>
          <w:marRight w:val="0"/>
          <w:marTop w:val="0"/>
          <w:marBottom w:val="0"/>
          <w:divBdr>
            <w:top w:val="none" w:sz="0" w:space="0" w:color="auto"/>
            <w:left w:val="none" w:sz="0" w:space="0" w:color="auto"/>
            <w:bottom w:val="none" w:sz="0" w:space="0" w:color="auto"/>
            <w:right w:val="none" w:sz="0" w:space="0" w:color="auto"/>
          </w:divBdr>
          <w:divsChild>
            <w:div w:id="989596432">
              <w:marLeft w:val="0"/>
              <w:marRight w:val="0"/>
              <w:marTop w:val="0"/>
              <w:marBottom w:val="0"/>
              <w:divBdr>
                <w:top w:val="none" w:sz="0" w:space="0" w:color="auto"/>
                <w:left w:val="none" w:sz="0" w:space="0" w:color="auto"/>
                <w:bottom w:val="none" w:sz="0" w:space="0" w:color="auto"/>
                <w:right w:val="none" w:sz="0" w:space="0" w:color="auto"/>
              </w:divBdr>
            </w:div>
          </w:divsChild>
        </w:div>
        <w:div w:id="2050300939">
          <w:marLeft w:val="0"/>
          <w:marRight w:val="0"/>
          <w:marTop w:val="0"/>
          <w:marBottom w:val="0"/>
          <w:divBdr>
            <w:top w:val="none" w:sz="0" w:space="0" w:color="auto"/>
            <w:left w:val="none" w:sz="0" w:space="0" w:color="auto"/>
            <w:bottom w:val="none" w:sz="0" w:space="0" w:color="auto"/>
            <w:right w:val="none" w:sz="0" w:space="0" w:color="auto"/>
          </w:divBdr>
          <w:divsChild>
            <w:div w:id="239564648">
              <w:marLeft w:val="0"/>
              <w:marRight w:val="0"/>
              <w:marTop w:val="0"/>
              <w:marBottom w:val="0"/>
              <w:divBdr>
                <w:top w:val="none" w:sz="0" w:space="0" w:color="auto"/>
                <w:left w:val="none" w:sz="0" w:space="0" w:color="auto"/>
                <w:bottom w:val="none" w:sz="0" w:space="0" w:color="auto"/>
                <w:right w:val="none" w:sz="0" w:space="0" w:color="auto"/>
              </w:divBdr>
            </w:div>
          </w:divsChild>
        </w:div>
        <w:div w:id="2074153970">
          <w:marLeft w:val="0"/>
          <w:marRight w:val="0"/>
          <w:marTop w:val="0"/>
          <w:marBottom w:val="0"/>
          <w:divBdr>
            <w:top w:val="none" w:sz="0" w:space="0" w:color="auto"/>
            <w:left w:val="none" w:sz="0" w:space="0" w:color="auto"/>
            <w:bottom w:val="none" w:sz="0" w:space="0" w:color="auto"/>
            <w:right w:val="none" w:sz="0" w:space="0" w:color="auto"/>
          </w:divBdr>
          <w:divsChild>
            <w:div w:id="635456384">
              <w:marLeft w:val="0"/>
              <w:marRight w:val="0"/>
              <w:marTop w:val="0"/>
              <w:marBottom w:val="0"/>
              <w:divBdr>
                <w:top w:val="none" w:sz="0" w:space="0" w:color="auto"/>
                <w:left w:val="none" w:sz="0" w:space="0" w:color="auto"/>
                <w:bottom w:val="none" w:sz="0" w:space="0" w:color="auto"/>
                <w:right w:val="none" w:sz="0" w:space="0" w:color="auto"/>
              </w:divBdr>
            </w:div>
          </w:divsChild>
        </w:div>
        <w:div w:id="2092652384">
          <w:marLeft w:val="0"/>
          <w:marRight w:val="0"/>
          <w:marTop w:val="0"/>
          <w:marBottom w:val="0"/>
          <w:divBdr>
            <w:top w:val="none" w:sz="0" w:space="0" w:color="auto"/>
            <w:left w:val="none" w:sz="0" w:space="0" w:color="auto"/>
            <w:bottom w:val="none" w:sz="0" w:space="0" w:color="auto"/>
            <w:right w:val="none" w:sz="0" w:space="0" w:color="auto"/>
          </w:divBdr>
          <w:divsChild>
            <w:div w:id="592590375">
              <w:marLeft w:val="0"/>
              <w:marRight w:val="0"/>
              <w:marTop w:val="0"/>
              <w:marBottom w:val="0"/>
              <w:divBdr>
                <w:top w:val="none" w:sz="0" w:space="0" w:color="auto"/>
                <w:left w:val="none" w:sz="0" w:space="0" w:color="auto"/>
                <w:bottom w:val="none" w:sz="0" w:space="0" w:color="auto"/>
                <w:right w:val="none" w:sz="0" w:space="0" w:color="auto"/>
              </w:divBdr>
            </w:div>
          </w:divsChild>
        </w:div>
        <w:div w:id="2116172823">
          <w:marLeft w:val="0"/>
          <w:marRight w:val="0"/>
          <w:marTop w:val="0"/>
          <w:marBottom w:val="0"/>
          <w:divBdr>
            <w:top w:val="none" w:sz="0" w:space="0" w:color="auto"/>
            <w:left w:val="none" w:sz="0" w:space="0" w:color="auto"/>
            <w:bottom w:val="none" w:sz="0" w:space="0" w:color="auto"/>
            <w:right w:val="none" w:sz="0" w:space="0" w:color="auto"/>
          </w:divBdr>
          <w:divsChild>
            <w:div w:id="7625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3247">
      <w:bodyDiv w:val="1"/>
      <w:marLeft w:val="0"/>
      <w:marRight w:val="0"/>
      <w:marTop w:val="0"/>
      <w:marBottom w:val="0"/>
      <w:divBdr>
        <w:top w:val="none" w:sz="0" w:space="0" w:color="auto"/>
        <w:left w:val="none" w:sz="0" w:space="0" w:color="auto"/>
        <w:bottom w:val="none" w:sz="0" w:space="0" w:color="auto"/>
        <w:right w:val="none" w:sz="0" w:space="0" w:color="auto"/>
      </w:divBdr>
    </w:div>
    <w:div w:id="1678267567">
      <w:bodyDiv w:val="1"/>
      <w:marLeft w:val="0"/>
      <w:marRight w:val="0"/>
      <w:marTop w:val="0"/>
      <w:marBottom w:val="0"/>
      <w:divBdr>
        <w:top w:val="none" w:sz="0" w:space="0" w:color="auto"/>
        <w:left w:val="none" w:sz="0" w:space="0" w:color="auto"/>
        <w:bottom w:val="none" w:sz="0" w:space="0" w:color="auto"/>
        <w:right w:val="none" w:sz="0" w:space="0" w:color="auto"/>
      </w:divBdr>
    </w:div>
    <w:div w:id="1683631480">
      <w:bodyDiv w:val="1"/>
      <w:marLeft w:val="0"/>
      <w:marRight w:val="0"/>
      <w:marTop w:val="0"/>
      <w:marBottom w:val="0"/>
      <w:divBdr>
        <w:top w:val="none" w:sz="0" w:space="0" w:color="auto"/>
        <w:left w:val="none" w:sz="0" w:space="0" w:color="auto"/>
        <w:bottom w:val="none" w:sz="0" w:space="0" w:color="auto"/>
        <w:right w:val="none" w:sz="0" w:space="0" w:color="auto"/>
      </w:divBdr>
    </w:div>
    <w:div w:id="1692875191">
      <w:bodyDiv w:val="1"/>
      <w:marLeft w:val="0"/>
      <w:marRight w:val="0"/>
      <w:marTop w:val="0"/>
      <w:marBottom w:val="0"/>
      <w:divBdr>
        <w:top w:val="none" w:sz="0" w:space="0" w:color="auto"/>
        <w:left w:val="none" w:sz="0" w:space="0" w:color="auto"/>
        <w:bottom w:val="none" w:sz="0" w:space="0" w:color="auto"/>
        <w:right w:val="none" w:sz="0" w:space="0" w:color="auto"/>
      </w:divBdr>
      <w:divsChild>
        <w:div w:id="5643268">
          <w:marLeft w:val="0"/>
          <w:marRight w:val="0"/>
          <w:marTop w:val="0"/>
          <w:marBottom w:val="0"/>
          <w:divBdr>
            <w:top w:val="none" w:sz="0" w:space="0" w:color="auto"/>
            <w:left w:val="none" w:sz="0" w:space="0" w:color="auto"/>
            <w:bottom w:val="none" w:sz="0" w:space="0" w:color="auto"/>
            <w:right w:val="none" w:sz="0" w:space="0" w:color="auto"/>
          </w:divBdr>
          <w:divsChild>
            <w:div w:id="587272503">
              <w:marLeft w:val="0"/>
              <w:marRight w:val="0"/>
              <w:marTop w:val="0"/>
              <w:marBottom w:val="0"/>
              <w:divBdr>
                <w:top w:val="none" w:sz="0" w:space="0" w:color="auto"/>
                <w:left w:val="none" w:sz="0" w:space="0" w:color="auto"/>
                <w:bottom w:val="none" w:sz="0" w:space="0" w:color="auto"/>
                <w:right w:val="none" w:sz="0" w:space="0" w:color="auto"/>
              </w:divBdr>
            </w:div>
          </w:divsChild>
        </w:div>
        <w:div w:id="41562634">
          <w:marLeft w:val="0"/>
          <w:marRight w:val="0"/>
          <w:marTop w:val="0"/>
          <w:marBottom w:val="0"/>
          <w:divBdr>
            <w:top w:val="none" w:sz="0" w:space="0" w:color="auto"/>
            <w:left w:val="none" w:sz="0" w:space="0" w:color="auto"/>
            <w:bottom w:val="none" w:sz="0" w:space="0" w:color="auto"/>
            <w:right w:val="none" w:sz="0" w:space="0" w:color="auto"/>
          </w:divBdr>
          <w:divsChild>
            <w:div w:id="1156459193">
              <w:marLeft w:val="0"/>
              <w:marRight w:val="0"/>
              <w:marTop w:val="0"/>
              <w:marBottom w:val="0"/>
              <w:divBdr>
                <w:top w:val="none" w:sz="0" w:space="0" w:color="auto"/>
                <w:left w:val="none" w:sz="0" w:space="0" w:color="auto"/>
                <w:bottom w:val="none" w:sz="0" w:space="0" w:color="auto"/>
                <w:right w:val="none" w:sz="0" w:space="0" w:color="auto"/>
              </w:divBdr>
            </w:div>
          </w:divsChild>
        </w:div>
        <w:div w:id="79184074">
          <w:marLeft w:val="0"/>
          <w:marRight w:val="0"/>
          <w:marTop w:val="0"/>
          <w:marBottom w:val="0"/>
          <w:divBdr>
            <w:top w:val="none" w:sz="0" w:space="0" w:color="auto"/>
            <w:left w:val="none" w:sz="0" w:space="0" w:color="auto"/>
            <w:bottom w:val="none" w:sz="0" w:space="0" w:color="auto"/>
            <w:right w:val="none" w:sz="0" w:space="0" w:color="auto"/>
          </w:divBdr>
          <w:divsChild>
            <w:div w:id="288627033">
              <w:marLeft w:val="0"/>
              <w:marRight w:val="0"/>
              <w:marTop w:val="0"/>
              <w:marBottom w:val="0"/>
              <w:divBdr>
                <w:top w:val="none" w:sz="0" w:space="0" w:color="auto"/>
                <w:left w:val="none" w:sz="0" w:space="0" w:color="auto"/>
                <w:bottom w:val="none" w:sz="0" w:space="0" w:color="auto"/>
                <w:right w:val="none" w:sz="0" w:space="0" w:color="auto"/>
              </w:divBdr>
            </w:div>
          </w:divsChild>
        </w:div>
        <w:div w:id="87779239">
          <w:marLeft w:val="0"/>
          <w:marRight w:val="0"/>
          <w:marTop w:val="0"/>
          <w:marBottom w:val="0"/>
          <w:divBdr>
            <w:top w:val="none" w:sz="0" w:space="0" w:color="auto"/>
            <w:left w:val="none" w:sz="0" w:space="0" w:color="auto"/>
            <w:bottom w:val="none" w:sz="0" w:space="0" w:color="auto"/>
            <w:right w:val="none" w:sz="0" w:space="0" w:color="auto"/>
          </w:divBdr>
          <w:divsChild>
            <w:div w:id="1526946262">
              <w:marLeft w:val="0"/>
              <w:marRight w:val="0"/>
              <w:marTop w:val="0"/>
              <w:marBottom w:val="0"/>
              <w:divBdr>
                <w:top w:val="none" w:sz="0" w:space="0" w:color="auto"/>
                <w:left w:val="none" w:sz="0" w:space="0" w:color="auto"/>
                <w:bottom w:val="none" w:sz="0" w:space="0" w:color="auto"/>
                <w:right w:val="none" w:sz="0" w:space="0" w:color="auto"/>
              </w:divBdr>
            </w:div>
          </w:divsChild>
        </w:div>
        <w:div w:id="128786409">
          <w:marLeft w:val="0"/>
          <w:marRight w:val="0"/>
          <w:marTop w:val="0"/>
          <w:marBottom w:val="0"/>
          <w:divBdr>
            <w:top w:val="none" w:sz="0" w:space="0" w:color="auto"/>
            <w:left w:val="none" w:sz="0" w:space="0" w:color="auto"/>
            <w:bottom w:val="none" w:sz="0" w:space="0" w:color="auto"/>
            <w:right w:val="none" w:sz="0" w:space="0" w:color="auto"/>
          </w:divBdr>
          <w:divsChild>
            <w:div w:id="1394964552">
              <w:marLeft w:val="0"/>
              <w:marRight w:val="0"/>
              <w:marTop w:val="0"/>
              <w:marBottom w:val="0"/>
              <w:divBdr>
                <w:top w:val="none" w:sz="0" w:space="0" w:color="auto"/>
                <w:left w:val="none" w:sz="0" w:space="0" w:color="auto"/>
                <w:bottom w:val="none" w:sz="0" w:space="0" w:color="auto"/>
                <w:right w:val="none" w:sz="0" w:space="0" w:color="auto"/>
              </w:divBdr>
            </w:div>
          </w:divsChild>
        </w:div>
        <w:div w:id="281814334">
          <w:marLeft w:val="0"/>
          <w:marRight w:val="0"/>
          <w:marTop w:val="0"/>
          <w:marBottom w:val="0"/>
          <w:divBdr>
            <w:top w:val="none" w:sz="0" w:space="0" w:color="auto"/>
            <w:left w:val="none" w:sz="0" w:space="0" w:color="auto"/>
            <w:bottom w:val="none" w:sz="0" w:space="0" w:color="auto"/>
            <w:right w:val="none" w:sz="0" w:space="0" w:color="auto"/>
          </w:divBdr>
          <w:divsChild>
            <w:div w:id="1049038129">
              <w:marLeft w:val="0"/>
              <w:marRight w:val="0"/>
              <w:marTop w:val="0"/>
              <w:marBottom w:val="0"/>
              <w:divBdr>
                <w:top w:val="none" w:sz="0" w:space="0" w:color="auto"/>
                <w:left w:val="none" w:sz="0" w:space="0" w:color="auto"/>
                <w:bottom w:val="none" w:sz="0" w:space="0" w:color="auto"/>
                <w:right w:val="none" w:sz="0" w:space="0" w:color="auto"/>
              </w:divBdr>
            </w:div>
          </w:divsChild>
        </w:div>
        <w:div w:id="317000667">
          <w:marLeft w:val="0"/>
          <w:marRight w:val="0"/>
          <w:marTop w:val="0"/>
          <w:marBottom w:val="0"/>
          <w:divBdr>
            <w:top w:val="none" w:sz="0" w:space="0" w:color="auto"/>
            <w:left w:val="none" w:sz="0" w:space="0" w:color="auto"/>
            <w:bottom w:val="none" w:sz="0" w:space="0" w:color="auto"/>
            <w:right w:val="none" w:sz="0" w:space="0" w:color="auto"/>
          </w:divBdr>
          <w:divsChild>
            <w:div w:id="642393211">
              <w:marLeft w:val="0"/>
              <w:marRight w:val="0"/>
              <w:marTop w:val="0"/>
              <w:marBottom w:val="0"/>
              <w:divBdr>
                <w:top w:val="none" w:sz="0" w:space="0" w:color="auto"/>
                <w:left w:val="none" w:sz="0" w:space="0" w:color="auto"/>
                <w:bottom w:val="none" w:sz="0" w:space="0" w:color="auto"/>
                <w:right w:val="none" w:sz="0" w:space="0" w:color="auto"/>
              </w:divBdr>
            </w:div>
          </w:divsChild>
        </w:div>
        <w:div w:id="410857518">
          <w:marLeft w:val="0"/>
          <w:marRight w:val="0"/>
          <w:marTop w:val="0"/>
          <w:marBottom w:val="0"/>
          <w:divBdr>
            <w:top w:val="none" w:sz="0" w:space="0" w:color="auto"/>
            <w:left w:val="none" w:sz="0" w:space="0" w:color="auto"/>
            <w:bottom w:val="none" w:sz="0" w:space="0" w:color="auto"/>
            <w:right w:val="none" w:sz="0" w:space="0" w:color="auto"/>
          </w:divBdr>
          <w:divsChild>
            <w:div w:id="100759718">
              <w:marLeft w:val="0"/>
              <w:marRight w:val="0"/>
              <w:marTop w:val="0"/>
              <w:marBottom w:val="0"/>
              <w:divBdr>
                <w:top w:val="none" w:sz="0" w:space="0" w:color="auto"/>
                <w:left w:val="none" w:sz="0" w:space="0" w:color="auto"/>
                <w:bottom w:val="none" w:sz="0" w:space="0" w:color="auto"/>
                <w:right w:val="none" w:sz="0" w:space="0" w:color="auto"/>
              </w:divBdr>
            </w:div>
          </w:divsChild>
        </w:div>
        <w:div w:id="448357165">
          <w:marLeft w:val="0"/>
          <w:marRight w:val="0"/>
          <w:marTop w:val="0"/>
          <w:marBottom w:val="0"/>
          <w:divBdr>
            <w:top w:val="none" w:sz="0" w:space="0" w:color="auto"/>
            <w:left w:val="none" w:sz="0" w:space="0" w:color="auto"/>
            <w:bottom w:val="none" w:sz="0" w:space="0" w:color="auto"/>
            <w:right w:val="none" w:sz="0" w:space="0" w:color="auto"/>
          </w:divBdr>
          <w:divsChild>
            <w:div w:id="1976107419">
              <w:marLeft w:val="0"/>
              <w:marRight w:val="0"/>
              <w:marTop w:val="0"/>
              <w:marBottom w:val="0"/>
              <w:divBdr>
                <w:top w:val="none" w:sz="0" w:space="0" w:color="auto"/>
                <w:left w:val="none" w:sz="0" w:space="0" w:color="auto"/>
                <w:bottom w:val="none" w:sz="0" w:space="0" w:color="auto"/>
                <w:right w:val="none" w:sz="0" w:space="0" w:color="auto"/>
              </w:divBdr>
            </w:div>
          </w:divsChild>
        </w:div>
        <w:div w:id="575554978">
          <w:marLeft w:val="0"/>
          <w:marRight w:val="0"/>
          <w:marTop w:val="0"/>
          <w:marBottom w:val="0"/>
          <w:divBdr>
            <w:top w:val="none" w:sz="0" w:space="0" w:color="auto"/>
            <w:left w:val="none" w:sz="0" w:space="0" w:color="auto"/>
            <w:bottom w:val="none" w:sz="0" w:space="0" w:color="auto"/>
            <w:right w:val="none" w:sz="0" w:space="0" w:color="auto"/>
          </w:divBdr>
          <w:divsChild>
            <w:div w:id="365180272">
              <w:marLeft w:val="0"/>
              <w:marRight w:val="0"/>
              <w:marTop w:val="0"/>
              <w:marBottom w:val="0"/>
              <w:divBdr>
                <w:top w:val="none" w:sz="0" w:space="0" w:color="auto"/>
                <w:left w:val="none" w:sz="0" w:space="0" w:color="auto"/>
                <w:bottom w:val="none" w:sz="0" w:space="0" w:color="auto"/>
                <w:right w:val="none" w:sz="0" w:space="0" w:color="auto"/>
              </w:divBdr>
            </w:div>
          </w:divsChild>
        </w:div>
        <w:div w:id="602494701">
          <w:marLeft w:val="0"/>
          <w:marRight w:val="0"/>
          <w:marTop w:val="0"/>
          <w:marBottom w:val="0"/>
          <w:divBdr>
            <w:top w:val="none" w:sz="0" w:space="0" w:color="auto"/>
            <w:left w:val="none" w:sz="0" w:space="0" w:color="auto"/>
            <w:bottom w:val="none" w:sz="0" w:space="0" w:color="auto"/>
            <w:right w:val="none" w:sz="0" w:space="0" w:color="auto"/>
          </w:divBdr>
          <w:divsChild>
            <w:div w:id="1205485036">
              <w:marLeft w:val="0"/>
              <w:marRight w:val="0"/>
              <w:marTop w:val="0"/>
              <w:marBottom w:val="0"/>
              <w:divBdr>
                <w:top w:val="none" w:sz="0" w:space="0" w:color="auto"/>
                <w:left w:val="none" w:sz="0" w:space="0" w:color="auto"/>
                <w:bottom w:val="none" w:sz="0" w:space="0" w:color="auto"/>
                <w:right w:val="none" w:sz="0" w:space="0" w:color="auto"/>
              </w:divBdr>
            </w:div>
          </w:divsChild>
        </w:div>
        <w:div w:id="608895726">
          <w:marLeft w:val="0"/>
          <w:marRight w:val="0"/>
          <w:marTop w:val="0"/>
          <w:marBottom w:val="0"/>
          <w:divBdr>
            <w:top w:val="none" w:sz="0" w:space="0" w:color="auto"/>
            <w:left w:val="none" w:sz="0" w:space="0" w:color="auto"/>
            <w:bottom w:val="none" w:sz="0" w:space="0" w:color="auto"/>
            <w:right w:val="none" w:sz="0" w:space="0" w:color="auto"/>
          </w:divBdr>
          <w:divsChild>
            <w:div w:id="1831365357">
              <w:marLeft w:val="0"/>
              <w:marRight w:val="0"/>
              <w:marTop w:val="0"/>
              <w:marBottom w:val="0"/>
              <w:divBdr>
                <w:top w:val="none" w:sz="0" w:space="0" w:color="auto"/>
                <w:left w:val="none" w:sz="0" w:space="0" w:color="auto"/>
                <w:bottom w:val="none" w:sz="0" w:space="0" w:color="auto"/>
                <w:right w:val="none" w:sz="0" w:space="0" w:color="auto"/>
              </w:divBdr>
            </w:div>
          </w:divsChild>
        </w:div>
        <w:div w:id="790825385">
          <w:marLeft w:val="0"/>
          <w:marRight w:val="0"/>
          <w:marTop w:val="0"/>
          <w:marBottom w:val="0"/>
          <w:divBdr>
            <w:top w:val="none" w:sz="0" w:space="0" w:color="auto"/>
            <w:left w:val="none" w:sz="0" w:space="0" w:color="auto"/>
            <w:bottom w:val="none" w:sz="0" w:space="0" w:color="auto"/>
            <w:right w:val="none" w:sz="0" w:space="0" w:color="auto"/>
          </w:divBdr>
          <w:divsChild>
            <w:div w:id="1557089600">
              <w:marLeft w:val="0"/>
              <w:marRight w:val="0"/>
              <w:marTop w:val="0"/>
              <w:marBottom w:val="0"/>
              <w:divBdr>
                <w:top w:val="none" w:sz="0" w:space="0" w:color="auto"/>
                <w:left w:val="none" w:sz="0" w:space="0" w:color="auto"/>
                <w:bottom w:val="none" w:sz="0" w:space="0" w:color="auto"/>
                <w:right w:val="none" w:sz="0" w:space="0" w:color="auto"/>
              </w:divBdr>
            </w:div>
          </w:divsChild>
        </w:div>
        <w:div w:id="816384854">
          <w:marLeft w:val="0"/>
          <w:marRight w:val="0"/>
          <w:marTop w:val="0"/>
          <w:marBottom w:val="0"/>
          <w:divBdr>
            <w:top w:val="none" w:sz="0" w:space="0" w:color="auto"/>
            <w:left w:val="none" w:sz="0" w:space="0" w:color="auto"/>
            <w:bottom w:val="none" w:sz="0" w:space="0" w:color="auto"/>
            <w:right w:val="none" w:sz="0" w:space="0" w:color="auto"/>
          </w:divBdr>
          <w:divsChild>
            <w:div w:id="1096828033">
              <w:marLeft w:val="0"/>
              <w:marRight w:val="0"/>
              <w:marTop w:val="0"/>
              <w:marBottom w:val="0"/>
              <w:divBdr>
                <w:top w:val="none" w:sz="0" w:space="0" w:color="auto"/>
                <w:left w:val="none" w:sz="0" w:space="0" w:color="auto"/>
                <w:bottom w:val="none" w:sz="0" w:space="0" w:color="auto"/>
                <w:right w:val="none" w:sz="0" w:space="0" w:color="auto"/>
              </w:divBdr>
            </w:div>
          </w:divsChild>
        </w:div>
        <w:div w:id="819926347">
          <w:marLeft w:val="0"/>
          <w:marRight w:val="0"/>
          <w:marTop w:val="0"/>
          <w:marBottom w:val="0"/>
          <w:divBdr>
            <w:top w:val="none" w:sz="0" w:space="0" w:color="auto"/>
            <w:left w:val="none" w:sz="0" w:space="0" w:color="auto"/>
            <w:bottom w:val="none" w:sz="0" w:space="0" w:color="auto"/>
            <w:right w:val="none" w:sz="0" w:space="0" w:color="auto"/>
          </w:divBdr>
          <w:divsChild>
            <w:div w:id="1729105015">
              <w:marLeft w:val="0"/>
              <w:marRight w:val="0"/>
              <w:marTop w:val="0"/>
              <w:marBottom w:val="0"/>
              <w:divBdr>
                <w:top w:val="none" w:sz="0" w:space="0" w:color="auto"/>
                <w:left w:val="none" w:sz="0" w:space="0" w:color="auto"/>
                <w:bottom w:val="none" w:sz="0" w:space="0" w:color="auto"/>
                <w:right w:val="none" w:sz="0" w:space="0" w:color="auto"/>
              </w:divBdr>
            </w:div>
          </w:divsChild>
        </w:div>
        <w:div w:id="823467273">
          <w:marLeft w:val="0"/>
          <w:marRight w:val="0"/>
          <w:marTop w:val="0"/>
          <w:marBottom w:val="0"/>
          <w:divBdr>
            <w:top w:val="none" w:sz="0" w:space="0" w:color="auto"/>
            <w:left w:val="none" w:sz="0" w:space="0" w:color="auto"/>
            <w:bottom w:val="none" w:sz="0" w:space="0" w:color="auto"/>
            <w:right w:val="none" w:sz="0" w:space="0" w:color="auto"/>
          </w:divBdr>
          <w:divsChild>
            <w:div w:id="1739355319">
              <w:marLeft w:val="0"/>
              <w:marRight w:val="0"/>
              <w:marTop w:val="0"/>
              <w:marBottom w:val="0"/>
              <w:divBdr>
                <w:top w:val="none" w:sz="0" w:space="0" w:color="auto"/>
                <w:left w:val="none" w:sz="0" w:space="0" w:color="auto"/>
                <w:bottom w:val="none" w:sz="0" w:space="0" w:color="auto"/>
                <w:right w:val="none" w:sz="0" w:space="0" w:color="auto"/>
              </w:divBdr>
            </w:div>
          </w:divsChild>
        </w:div>
        <w:div w:id="839848896">
          <w:marLeft w:val="0"/>
          <w:marRight w:val="0"/>
          <w:marTop w:val="0"/>
          <w:marBottom w:val="0"/>
          <w:divBdr>
            <w:top w:val="none" w:sz="0" w:space="0" w:color="auto"/>
            <w:left w:val="none" w:sz="0" w:space="0" w:color="auto"/>
            <w:bottom w:val="none" w:sz="0" w:space="0" w:color="auto"/>
            <w:right w:val="none" w:sz="0" w:space="0" w:color="auto"/>
          </w:divBdr>
          <w:divsChild>
            <w:div w:id="2048138026">
              <w:marLeft w:val="0"/>
              <w:marRight w:val="0"/>
              <w:marTop w:val="0"/>
              <w:marBottom w:val="0"/>
              <w:divBdr>
                <w:top w:val="none" w:sz="0" w:space="0" w:color="auto"/>
                <w:left w:val="none" w:sz="0" w:space="0" w:color="auto"/>
                <w:bottom w:val="none" w:sz="0" w:space="0" w:color="auto"/>
                <w:right w:val="none" w:sz="0" w:space="0" w:color="auto"/>
              </w:divBdr>
            </w:div>
          </w:divsChild>
        </w:div>
        <w:div w:id="894047546">
          <w:marLeft w:val="0"/>
          <w:marRight w:val="0"/>
          <w:marTop w:val="0"/>
          <w:marBottom w:val="0"/>
          <w:divBdr>
            <w:top w:val="none" w:sz="0" w:space="0" w:color="auto"/>
            <w:left w:val="none" w:sz="0" w:space="0" w:color="auto"/>
            <w:bottom w:val="none" w:sz="0" w:space="0" w:color="auto"/>
            <w:right w:val="none" w:sz="0" w:space="0" w:color="auto"/>
          </w:divBdr>
          <w:divsChild>
            <w:div w:id="2114201641">
              <w:marLeft w:val="0"/>
              <w:marRight w:val="0"/>
              <w:marTop w:val="0"/>
              <w:marBottom w:val="0"/>
              <w:divBdr>
                <w:top w:val="none" w:sz="0" w:space="0" w:color="auto"/>
                <w:left w:val="none" w:sz="0" w:space="0" w:color="auto"/>
                <w:bottom w:val="none" w:sz="0" w:space="0" w:color="auto"/>
                <w:right w:val="none" w:sz="0" w:space="0" w:color="auto"/>
              </w:divBdr>
            </w:div>
          </w:divsChild>
        </w:div>
        <w:div w:id="908080528">
          <w:marLeft w:val="0"/>
          <w:marRight w:val="0"/>
          <w:marTop w:val="0"/>
          <w:marBottom w:val="0"/>
          <w:divBdr>
            <w:top w:val="none" w:sz="0" w:space="0" w:color="auto"/>
            <w:left w:val="none" w:sz="0" w:space="0" w:color="auto"/>
            <w:bottom w:val="none" w:sz="0" w:space="0" w:color="auto"/>
            <w:right w:val="none" w:sz="0" w:space="0" w:color="auto"/>
          </w:divBdr>
          <w:divsChild>
            <w:div w:id="478158014">
              <w:marLeft w:val="0"/>
              <w:marRight w:val="0"/>
              <w:marTop w:val="0"/>
              <w:marBottom w:val="0"/>
              <w:divBdr>
                <w:top w:val="none" w:sz="0" w:space="0" w:color="auto"/>
                <w:left w:val="none" w:sz="0" w:space="0" w:color="auto"/>
                <w:bottom w:val="none" w:sz="0" w:space="0" w:color="auto"/>
                <w:right w:val="none" w:sz="0" w:space="0" w:color="auto"/>
              </w:divBdr>
            </w:div>
          </w:divsChild>
        </w:div>
        <w:div w:id="924194147">
          <w:marLeft w:val="0"/>
          <w:marRight w:val="0"/>
          <w:marTop w:val="0"/>
          <w:marBottom w:val="0"/>
          <w:divBdr>
            <w:top w:val="none" w:sz="0" w:space="0" w:color="auto"/>
            <w:left w:val="none" w:sz="0" w:space="0" w:color="auto"/>
            <w:bottom w:val="none" w:sz="0" w:space="0" w:color="auto"/>
            <w:right w:val="none" w:sz="0" w:space="0" w:color="auto"/>
          </w:divBdr>
          <w:divsChild>
            <w:div w:id="1392466218">
              <w:marLeft w:val="0"/>
              <w:marRight w:val="0"/>
              <w:marTop w:val="0"/>
              <w:marBottom w:val="0"/>
              <w:divBdr>
                <w:top w:val="none" w:sz="0" w:space="0" w:color="auto"/>
                <w:left w:val="none" w:sz="0" w:space="0" w:color="auto"/>
                <w:bottom w:val="none" w:sz="0" w:space="0" w:color="auto"/>
                <w:right w:val="none" w:sz="0" w:space="0" w:color="auto"/>
              </w:divBdr>
            </w:div>
          </w:divsChild>
        </w:div>
        <w:div w:id="993071243">
          <w:marLeft w:val="0"/>
          <w:marRight w:val="0"/>
          <w:marTop w:val="0"/>
          <w:marBottom w:val="0"/>
          <w:divBdr>
            <w:top w:val="none" w:sz="0" w:space="0" w:color="auto"/>
            <w:left w:val="none" w:sz="0" w:space="0" w:color="auto"/>
            <w:bottom w:val="none" w:sz="0" w:space="0" w:color="auto"/>
            <w:right w:val="none" w:sz="0" w:space="0" w:color="auto"/>
          </w:divBdr>
          <w:divsChild>
            <w:div w:id="22827696">
              <w:marLeft w:val="0"/>
              <w:marRight w:val="0"/>
              <w:marTop w:val="0"/>
              <w:marBottom w:val="0"/>
              <w:divBdr>
                <w:top w:val="none" w:sz="0" w:space="0" w:color="auto"/>
                <w:left w:val="none" w:sz="0" w:space="0" w:color="auto"/>
                <w:bottom w:val="none" w:sz="0" w:space="0" w:color="auto"/>
                <w:right w:val="none" w:sz="0" w:space="0" w:color="auto"/>
              </w:divBdr>
            </w:div>
          </w:divsChild>
        </w:div>
        <w:div w:id="1005204602">
          <w:marLeft w:val="0"/>
          <w:marRight w:val="0"/>
          <w:marTop w:val="0"/>
          <w:marBottom w:val="0"/>
          <w:divBdr>
            <w:top w:val="none" w:sz="0" w:space="0" w:color="auto"/>
            <w:left w:val="none" w:sz="0" w:space="0" w:color="auto"/>
            <w:bottom w:val="none" w:sz="0" w:space="0" w:color="auto"/>
            <w:right w:val="none" w:sz="0" w:space="0" w:color="auto"/>
          </w:divBdr>
          <w:divsChild>
            <w:div w:id="1139226549">
              <w:marLeft w:val="0"/>
              <w:marRight w:val="0"/>
              <w:marTop w:val="0"/>
              <w:marBottom w:val="0"/>
              <w:divBdr>
                <w:top w:val="none" w:sz="0" w:space="0" w:color="auto"/>
                <w:left w:val="none" w:sz="0" w:space="0" w:color="auto"/>
                <w:bottom w:val="none" w:sz="0" w:space="0" w:color="auto"/>
                <w:right w:val="none" w:sz="0" w:space="0" w:color="auto"/>
              </w:divBdr>
            </w:div>
          </w:divsChild>
        </w:div>
        <w:div w:id="1007682023">
          <w:marLeft w:val="0"/>
          <w:marRight w:val="0"/>
          <w:marTop w:val="0"/>
          <w:marBottom w:val="0"/>
          <w:divBdr>
            <w:top w:val="none" w:sz="0" w:space="0" w:color="auto"/>
            <w:left w:val="none" w:sz="0" w:space="0" w:color="auto"/>
            <w:bottom w:val="none" w:sz="0" w:space="0" w:color="auto"/>
            <w:right w:val="none" w:sz="0" w:space="0" w:color="auto"/>
          </w:divBdr>
          <w:divsChild>
            <w:div w:id="1896156179">
              <w:marLeft w:val="0"/>
              <w:marRight w:val="0"/>
              <w:marTop w:val="0"/>
              <w:marBottom w:val="0"/>
              <w:divBdr>
                <w:top w:val="none" w:sz="0" w:space="0" w:color="auto"/>
                <w:left w:val="none" w:sz="0" w:space="0" w:color="auto"/>
                <w:bottom w:val="none" w:sz="0" w:space="0" w:color="auto"/>
                <w:right w:val="none" w:sz="0" w:space="0" w:color="auto"/>
              </w:divBdr>
            </w:div>
            <w:div w:id="2146196299">
              <w:marLeft w:val="0"/>
              <w:marRight w:val="0"/>
              <w:marTop w:val="0"/>
              <w:marBottom w:val="0"/>
              <w:divBdr>
                <w:top w:val="none" w:sz="0" w:space="0" w:color="auto"/>
                <w:left w:val="none" w:sz="0" w:space="0" w:color="auto"/>
                <w:bottom w:val="none" w:sz="0" w:space="0" w:color="auto"/>
                <w:right w:val="none" w:sz="0" w:space="0" w:color="auto"/>
              </w:divBdr>
            </w:div>
          </w:divsChild>
        </w:div>
        <w:div w:id="1023438632">
          <w:marLeft w:val="0"/>
          <w:marRight w:val="0"/>
          <w:marTop w:val="0"/>
          <w:marBottom w:val="0"/>
          <w:divBdr>
            <w:top w:val="none" w:sz="0" w:space="0" w:color="auto"/>
            <w:left w:val="none" w:sz="0" w:space="0" w:color="auto"/>
            <w:bottom w:val="none" w:sz="0" w:space="0" w:color="auto"/>
            <w:right w:val="none" w:sz="0" w:space="0" w:color="auto"/>
          </w:divBdr>
          <w:divsChild>
            <w:div w:id="461728033">
              <w:marLeft w:val="0"/>
              <w:marRight w:val="0"/>
              <w:marTop w:val="0"/>
              <w:marBottom w:val="0"/>
              <w:divBdr>
                <w:top w:val="none" w:sz="0" w:space="0" w:color="auto"/>
                <w:left w:val="none" w:sz="0" w:space="0" w:color="auto"/>
                <w:bottom w:val="none" w:sz="0" w:space="0" w:color="auto"/>
                <w:right w:val="none" w:sz="0" w:space="0" w:color="auto"/>
              </w:divBdr>
            </w:div>
          </w:divsChild>
        </w:div>
        <w:div w:id="1054810241">
          <w:marLeft w:val="0"/>
          <w:marRight w:val="0"/>
          <w:marTop w:val="0"/>
          <w:marBottom w:val="0"/>
          <w:divBdr>
            <w:top w:val="none" w:sz="0" w:space="0" w:color="auto"/>
            <w:left w:val="none" w:sz="0" w:space="0" w:color="auto"/>
            <w:bottom w:val="none" w:sz="0" w:space="0" w:color="auto"/>
            <w:right w:val="none" w:sz="0" w:space="0" w:color="auto"/>
          </w:divBdr>
          <w:divsChild>
            <w:div w:id="1968702396">
              <w:marLeft w:val="0"/>
              <w:marRight w:val="0"/>
              <w:marTop w:val="0"/>
              <w:marBottom w:val="0"/>
              <w:divBdr>
                <w:top w:val="none" w:sz="0" w:space="0" w:color="auto"/>
                <w:left w:val="none" w:sz="0" w:space="0" w:color="auto"/>
                <w:bottom w:val="none" w:sz="0" w:space="0" w:color="auto"/>
                <w:right w:val="none" w:sz="0" w:space="0" w:color="auto"/>
              </w:divBdr>
            </w:div>
          </w:divsChild>
        </w:div>
        <w:div w:id="1107577814">
          <w:marLeft w:val="0"/>
          <w:marRight w:val="0"/>
          <w:marTop w:val="0"/>
          <w:marBottom w:val="0"/>
          <w:divBdr>
            <w:top w:val="none" w:sz="0" w:space="0" w:color="auto"/>
            <w:left w:val="none" w:sz="0" w:space="0" w:color="auto"/>
            <w:bottom w:val="none" w:sz="0" w:space="0" w:color="auto"/>
            <w:right w:val="none" w:sz="0" w:space="0" w:color="auto"/>
          </w:divBdr>
          <w:divsChild>
            <w:div w:id="64574732">
              <w:marLeft w:val="0"/>
              <w:marRight w:val="0"/>
              <w:marTop w:val="0"/>
              <w:marBottom w:val="0"/>
              <w:divBdr>
                <w:top w:val="none" w:sz="0" w:space="0" w:color="auto"/>
                <w:left w:val="none" w:sz="0" w:space="0" w:color="auto"/>
                <w:bottom w:val="none" w:sz="0" w:space="0" w:color="auto"/>
                <w:right w:val="none" w:sz="0" w:space="0" w:color="auto"/>
              </w:divBdr>
            </w:div>
          </w:divsChild>
        </w:div>
        <w:div w:id="1123033848">
          <w:marLeft w:val="0"/>
          <w:marRight w:val="0"/>
          <w:marTop w:val="0"/>
          <w:marBottom w:val="0"/>
          <w:divBdr>
            <w:top w:val="none" w:sz="0" w:space="0" w:color="auto"/>
            <w:left w:val="none" w:sz="0" w:space="0" w:color="auto"/>
            <w:bottom w:val="none" w:sz="0" w:space="0" w:color="auto"/>
            <w:right w:val="none" w:sz="0" w:space="0" w:color="auto"/>
          </w:divBdr>
          <w:divsChild>
            <w:div w:id="1439251882">
              <w:marLeft w:val="0"/>
              <w:marRight w:val="0"/>
              <w:marTop w:val="0"/>
              <w:marBottom w:val="0"/>
              <w:divBdr>
                <w:top w:val="none" w:sz="0" w:space="0" w:color="auto"/>
                <w:left w:val="none" w:sz="0" w:space="0" w:color="auto"/>
                <w:bottom w:val="none" w:sz="0" w:space="0" w:color="auto"/>
                <w:right w:val="none" w:sz="0" w:space="0" w:color="auto"/>
              </w:divBdr>
            </w:div>
          </w:divsChild>
        </w:div>
        <w:div w:id="1148934343">
          <w:marLeft w:val="0"/>
          <w:marRight w:val="0"/>
          <w:marTop w:val="0"/>
          <w:marBottom w:val="0"/>
          <w:divBdr>
            <w:top w:val="none" w:sz="0" w:space="0" w:color="auto"/>
            <w:left w:val="none" w:sz="0" w:space="0" w:color="auto"/>
            <w:bottom w:val="none" w:sz="0" w:space="0" w:color="auto"/>
            <w:right w:val="none" w:sz="0" w:space="0" w:color="auto"/>
          </w:divBdr>
          <w:divsChild>
            <w:div w:id="528298536">
              <w:marLeft w:val="0"/>
              <w:marRight w:val="0"/>
              <w:marTop w:val="0"/>
              <w:marBottom w:val="0"/>
              <w:divBdr>
                <w:top w:val="none" w:sz="0" w:space="0" w:color="auto"/>
                <w:left w:val="none" w:sz="0" w:space="0" w:color="auto"/>
                <w:bottom w:val="none" w:sz="0" w:space="0" w:color="auto"/>
                <w:right w:val="none" w:sz="0" w:space="0" w:color="auto"/>
              </w:divBdr>
            </w:div>
          </w:divsChild>
        </w:div>
        <w:div w:id="1150250618">
          <w:marLeft w:val="0"/>
          <w:marRight w:val="0"/>
          <w:marTop w:val="0"/>
          <w:marBottom w:val="0"/>
          <w:divBdr>
            <w:top w:val="none" w:sz="0" w:space="0" w:color="auto"/>
            <w:left w:val="none" w:sz="0" w:space="0" w:color="auto"/>
            <w:bottom w:val="none" w:sz="0" w:space="0" w:color="auto"/>
            <w:right w:val="none" w:sz="0" w:space="0" w:color="auto"/>
          </w:divBdr>
          <w:divsChild>
            <w:div w:id="1181236808">
              <w:marLeft w:val="0"/>
              <w:marRight w:val="0"/>
              <w:marTop w:val="0"/>
              <w:marBottom w:val="0"/>
              <w:divBdr>
                <w:top w:val="none" w:sz="0" w:space="0" w:color="auto"/>
                <w:left w:val="none" w:sz="0" w:space="0" w:color="auto"/>
                <w:bottom w:val="none" w:sz="0" w:space="0" w:color="auto"/>
                <w:right w:val="none" w:sz="0" w:space="0" w:color="auto"/>
              </w:divBdr>
            </w:div>
            <w:div w:id="1631547925">
              <w:marLeft w:val="0"/>
              <w:marRight w:val="0"/>
              <w:marTop w:val="0"/>
              <w:marBottom w:val="0"/>
              <w:divBdr>
                <w:top w:val="none" w:sz="0" w:space="0" w:color="auto"/>
                <w:left w:val="none" w:sz="0" w:space="0" w:color="auto"/>
                <w:bottom w:val="none" w:sz="0" w:space="0" w:color="auto"/>
                <w:right w:val="none" w:sz="0" w:space="0" w:color="auto"/>
              </w:divBdr>
            </w:div>
          </w:divsChild>
        </w:div>
        <w:div w:id="1165587593">
          <w:marLeft w:val="0"/>
          <w:marRight w:val="0"/>
          <w:marTop w:val="0"/>
          <w:marBottom w:val="0"/>
          <w:divBdr>
            <w:top w:val="none" w:sz="0" w:space="0" w:color="auto"/>
            <w:left w:val="none" w:sz="0" w:space="0" w:color="auto"/>
            <w:bottom w:val="none" w:sz="0" w:space="0" w:color="auto"/>
            <w:right w:val="none" w:sz="0" w:space="0" w:color="auto"/>
          </w:divBdr>
          <w:divsChild>
            <w:div w:id="1132554242">
              <w:marLeft w:val="0"/>
              <w:marRight w:val="0"/>
              <w:marTop w:val="0"/>
              <w:marBottom w:val="0"/>
              <w:divBdr>
                <w:top w:val="none" w:sz="0" w:space="0" w:color="auto"/>
                <w:left w:val="none" w:sz="0" w:space="0" w:color="auto"/>
                <w:bottom w:val="none" w:sz="0" w:space="0" w:color="auto"/>
                <w:right w:val="none" w:sz="0" w:space="0" w:color="auto"/>
              </w:divBdr>
            </w:div>
          </w:divsChild>
        </w:div>
        <w:div w:id="1225530846">
          <w:marLeft w:val="0"/>
          <w:marRight w:val="0"/>
          <w:marTop w:val="0"/>
          <w:marBottom w:val="0"/>
          <w:divBdr>
            <w:top w:val="none" w:sz="0" w:space="0" w:color="auto"/>
            <w:left w:val="none" w:sz="0" w:space="0" w:color="auto"/>
            <w:bottom w:val="none" w:sz="0" w:space="0" w:color="auto"/>
            <w:right w:val="none" w:sz="0" w:space="0" w:color="auto"/>
          </w:divBdr>
          <w:divsChild>
            <w:div w:id="1658804562">
              <w:marLeft w:val="0"/>
              <w:marRight w:val="0"/>
              <w:marTop w:val="0"/>
              <w:marBottom w:val="0"/>
              <w:divBdr>
                <w:top w:val="none" w:sz="0" w:space="0" w:color="auto"/>
                <w:left w:val="none" w:sz="0" w:space="0" w:color="auto"/>
                <w:bottom w:val="none" w:sz="0" w:space="0" w:color="auto"/>
                <w:right w:val="none" w:sz="0" w:space="0" w:color="auto"/>
              </w:divBdr>
            </w:div>
          </w:divsChild>
        </w:div>
        <w:div w:id="1241602700">
          <w:marLeft w:val="0"/>
          <w:marRight w:val="0"/>
          <w:marTop w:val="0"/>
          <w:marBottom w:val="0"/>
          <w:divBdr>
            <w:top w:val="none" w:sz="0" w:space="0" w:color="auto"/>
            <w:left w:val="none" w:sz="0" w:space="0" w:color="auto"/>
            <w:bottom w:val="none" w:sz="0" w:space="0" w:color="auto"/>
            <w:right w:val="none" w:sz="0" w:space="0" w:color="auto"/>
          </w:divBdr>
          <w:divsChild>
            <w:div w:id="1159805090">
              <w:marLeft w:val="0"/>
              <w:marRight w:val="0"/>
              <w:marTop w:val="0"/>
              <w:marBottom w:val="0"/>
              <w:divBdr>
                <w:top w:val="none" w:sz="0" w:space="0" w:color="auto"/>
                <w:left w:val="none" w:sz="0" w:space="0" w:color="auto"/>
                <w:bottom w:val="none" w:sz="0" w:space="0" w:color="auto"/>
                <w:right w:val="none" w:sz="0" w:space="0" w:color="auto"/>
              </w:divBdr>
            </w:div>
          </w:divsChild>
        </w:div>
        <w:div w:id="1268342740">
          <w:marLeft w:val="0"/>
          <w:marRight w:val="0"/>
          <w:marTop w:val="0"/>
          <w:marBottom w:val="0"/>
          <w:divBdr>
            <w:top w:val="none" w:sz="0" w:space="0" w:color="auto"/>
            <w:left w:val="none" w:sz="0" w:space="0" w:color="auto"/>
            <w:bottom w:val="none" w:sz="0" w:space="0" w:color="auto"/>
            <w:right w:val="none" w:sz="0" w:space="0" w:color="auto"/>
          </w:divBdr>
          <w:divsChild>
            <w:div w:id="1884947328">
              <w:marLeft w:val="0"/>
              <w:marRight w:val="0"/>
              <w:marTop w:val="0"/>
              <w:marBottom w:val="0"/>
              <w:divBdr>
                <w:top w:val="none" w:sz="0" w:space="0" w:color="auto"/>
                <w:left w:val="none" w:sz="0" w:space="0" w:color="auto"/>
                <w:bottom w:val="none" w:sz="0" w:space="0" w:color="auto"/>
                <w:right w:val="none" w:sz="0" w:space="0" w:color="auto"/>
              </w:divBdr>
            </w:div>
          </w:divsChild>
        </w:div>
        <w:div w:id="1306814854">
          <w:marLeft w:val="0"/>
          <w:marRight w:val="0"/>
          <w:marTop w:val="0"/>
          <w:marBottom w:val="0"/>
          <w:divBdr>
            <w:top w:val="none" w:sz="0" w:space="0" w:color="auto"/>
            <w:left w:val="none" w:sz="0" w:space="0" w:color="auto"/>
            <w:bottom w:val="none" w:sz="0" w:space="0" w:color="auto"/>
            <w:right w:val="none" w:sz="0" w:space="0" w:color="auto"/>
          </w:divBdr>
          <w:divsChild>
            <w:div w:id="1605385436">
              <w:marLeft w:val="0"/>
              <w:marRight w:val="0"/>
              <w:marTop w:val="0"/>
              <w:marBottom w:val="0"/>
              <w:divBdr>
                <w:top w:val="none" w:sz="0" w:space="0" w:color="auto"/>
                <w:left w:val="none" w:sz="0" w:space="0" w:color="auto"/>
                <w:bottom w:val="none" w:sz="0" w:space="0" w:color="auto"/>
                <w:right w:val="none" w:sz="0" w:space="0" w:color="auto"/>
              </w:divBdr>
            </w:div>
          </w:divsChild>
        </w:div>
        <w:div w:id="1313364698">
          <w:marLeft w:val="0"/>
          <w:marRight w:val="0"/>
          <w:marTop w:val="0"/>
          <w:marBottom w:val="0"/>
          <w:divBdr>
            <w:top w:val="none" w:sz="0" w:space="0" w:color="auto"/>
            <w:left w:val="none" w:sz="0" w:space="0" w:color="auto"/>
            <w:bottom w:val="none" w:sz="0" w:space="0" w:color="auto"/>
            <w:right w:val="none" w:sz="0" w:space="0" w:color="auto"/>
          </w:divBdr>
          <w:divsChild>
            <w:div w:id="1604263216">
              <w:marLeft w:val="0"/>
              <w:marRight w:val="0"/>
              <w:marTop w:val="0"/>
              <w:marBottom w:val="0"/>
              <w:divBdr>
                <w:top w:val="none" w:sz="0" w:space="0" w:color="auto"/>
                <w:left w:val="none" w:sz="0" w:space="0" w:color="auto"/>
                <w:bottom w:val="none" w:sz="0" w:space="0" w:color="auto"/>
                <w:right w:val="none" w:sz="0" w:space="0" w:color="auto"/>
              </w:divBdr>
            </w:div>
          </w:divsChild>
        </w:div>
        <w:div w:id="1316761023">
          <w:marLeft w:val="0"/>
          <w:marRight w:val="0"/>
          <w:marTop w:val="0"/>
          <w:marBottom w:val="0"/>
          <w:divBdr>
            <w:top w:val="none" w:sz="0" w:space="0" w:color="auto"/>
            <w:left w:val="none" w:sz="0" w:space="0" w:color="auto"/>
            <w:bottom w:val="none" w:sz="0" w:space="0" w:color="auto"/>
            <w:right w:val="none" w:sz="0" w:space="0" w:color="auto"/>
          </w:divBdr>
          <w:divsChild>
            <w:div w:id="357389770">
              <w:marLeft w:val="0"/>
              <w:marRight w:val="0"/>
              <w:marTop w:val="0"/>
              <w:marBottom w:val="0"/>
              <w:divBdr>
                <w:top w:val="none" w:sz="0" w:space="0" w:color="auto"/>
                <w:left w:val="none" w:sz="0" w:space="0" w:color="auto"/>
                <w:bottom w:val="none" w:sz="0" w:space="0" w:color="auto"/>
                <w:right w:val="none" w:sz="0" w:space="0" w:color="auto"/>
              </w:divBdr>
            </w:div>
          </w:divsChild>
        </w:div>
        <w:div w:id="1423604614">
          <w:marLeft w:val="0"/>
          <w:marRight w:val="0"/>
          <w:marTop w:val="0"/>
          <w:marBottom w:val="0"/>
          <w:divBdr>
            <w:top w:val="none" w:sz="0" w:space="0" w:color="auto"/>
            <w:left w:val="none" w:sz="0" w:space="0" w:color="auto"/>
            <w:bottom w:val="none" w:sz="0" w:space="0" w:color="auto"/>
            <w:right w:val="none" w:sz="0" w:space="0" w:color="auto"/>
          </w:divBdr>
          <w:divsChild>
            <w:div w:id="1940412167">
              <w:marLeft w:val="0"/>
              <w:marRight w:val="0"/>
              <w:marTop w:val="0"/>
              <w:marBottom w:val="0"/>
              <w:divBdr>
                <w:top w:val="none" w:sz="0" w:space="0" w:color="auto"/>
                <w:left w:val="none" w:sz="0" w:space="0" w:color="auto"/>
                <w:bottom w:val="none" w:sz="0" w:space="0" w:color="auto"/>
                <w:right w:val="none" w:sz="0" w:space="0" w:color="auto"/>
              </w:divBdr>
            </w:div>
          </w:divsChild>
        </w:div>
        <w:div w:id="1463385800">
          <w:marLeft w:val="0"/>
          <w:marRight w:val="0"/>
          <w:marTop w:val="0"/>
          <w:marBottom w:val="0"/>
          <w:divBdr>
            <w:top w:val="none" w:sz="0" w:space="0" w:color="auto"/>
            <w:left w:val="none" w:sz="0" w:space="0" w:color="auto"/>
            <w:bottom w:val="none" w:sz="0" w:space="0" w:color="auto"/>
            <w:right w:val="none" w:sz="0" w:space="0" w:color="auto"/>
          </w:divBdr>
          <w:divsChild>
            <w:div w:id="766073981">
              <w:marLeft w:val="0"/>
              <w:marRight w:val="0"/>
              <w:marTop w:val="0"/>
              <w:marBottom w:val="0"/>
              <w:divBdr>
                <w:top w:val="none" w:sz="0" w:space="0" w:color="auto"/>
                <w:left w:val="none" w:sz="0" w:space="0" w:color="auto"/>
                <w:bottom w:val="none" w:sz="0" w:space="0" w:color="auto"/>
                <w:right w:val="none" w:sz="0" w:space="0" w:color="auto"/>
              </w:divBdr>
            </w:div>
          </w:divsChild>
        </w:div>
        <w:div w:id="1485471598">
          <w:marLeft w:val="0"/>
          <w:marRight w:val="0"/>
          <w:marTop w:val="0"/>
          <w:marBottom w:val="0"/>
          <w:divBdr>
            <w:top w:val="none" w:sz="0" w:space="0" w:color="auto"/>
            <w:left w:val="none" w:sz="0" w:space="0" w:color="auto"/>
            <w:bottom w:val="none" w:sz="0" w:space="0" w:color="auto"/>
            <w:right w:val="none" w:sz="0" w:space="0" w:color="auto"/>
          </w:divBdr>
          <w:divsChild>
            <w:div w:id="39408218">
              <w:marLeft w:val="0"/>
              <w:marRight w:val="0"/>
              <w:marTop w:val="0"/>
              <w:marBottom w:val="0"/>
              <w:divBdr>
                <w:top w:val="none" w:sz="0" w:space="0" w:color="auto"/>
                <w:left w:val="none" w:sz="0" w:space="0" w:color="auto"/>
                <w:bottom w:val="none" w:sz="0" w:space="0" w:color="auto"/>
                <w:right w:val="none" w:sz="0" w:space="0" w:color="auto"/>
              </w:divBdr>
            </w:div>
            <w:div w:id="1226188853">
              <w:marLeft w:val="0"/>
              <w:marRight w:val="0"/>
              <w:marTop w:val="0"/>
              <w:marBottom w:val="0"/>
              <w:divBdr>
                <w:top w:val="none" w:sz="0" w:space="0" w:color="auto"/>
                <w:left w:val="none" w:sz="0" w:space="0" w:color="auto"/>
                <w:bottom w:val="none" w:sz="0" w:space="0" w:color="auto"/>
                <w:right w:val="none" w:sz="0" w:space="0" w:color="auto"/>
              </w:divBdr>
            </w:div>
          </w:divsChild>
        </w:div>
        <w:div w:id="1488090337">
          <w:marLeft w:val="0"/>
          <w:marRight w:val="0"/>
          <w:marTop w:val="0"/>
          <w:marBottom w:val="0"/>
          <w:divBdr>
            <w:top w:val="none" w:sz="0" w:space="0" w:color="auto"/>
            <w:left w:val="none" w:sz="0" w:space="0" w:color="auto"/>
            <w:bottom w:val="none" w:sz="0" w:space="0" w:color="auto"/>
            <w:right w:val="none" w:sz="0" w:space="0" w:color="auto"/>
          </w:divBdr>
          <w:divsChild>
            <w:div w:id="936257127">
              <w:marLeft w:val="0"/>
              <w:marRight w:val="0"/>
              <w:marTop w:val="0"/>
              <w:marBottom w:val="0"/>
              <w:divBdr>
                <w:top w:val="none" w:sz="0" w:space="0" w:color="auto"/>
                <w:left w:val="none" w:sz="0" w:space="0" w:color="auto"/>
                <w:bottom w:val="none" w:sz="0" w:space="0" w:color="auto"/>
                <w:right w:val="none" w:sz="0" w:space="0" w:color="auto"/>
              </w:divBdr>
            </w:div>
          </w:divsChild>
        </w:div>
        <w:div w:id="1540044549">
          <w:marLeft w:val="0"/>
          <w:marRight w:val="0"/>
          <w:marTop w:val="0"/>
          <w:marBottom w:val="0"/>
          <w:divBdr>
            <w:top w:val="none" w:sz="0" w:space="0" w:color="auto"/>
            <w:left w:val="none" w:sz="0" w:space="0" w:color="auto"/>
            <w:bottom w:val="none" w:sz="0" w:space="0" w:color="auto"/>
            <w:right w:val="none" w:sz="0" w:space="0" w:color="auto"/>
          </w:divBdr>
          <w:divsChild>
            <w:div w:id="1464495224">
              <w:marLeft w:val="0"/>
              <w:marRight w:val="0"/>
              <w:marTop w:val="0"/>
              <w:marBottom w:val="0"/>
              <w:divBdr>
                <w:top w:val="none" w:sz="0" w:space="0" w:color="auto"/>
                <w:left w:val="none" w:sz="0" w:space="0" w:color="auto"/>
                <w:bottom w:val="none" w:sz="0" w:space="0" w:color="auto"/>
                <w:right w:val="none" w:sz="0" w:space="0" w:color="auto"/>
              </w:divBdr>
            </w:div>
          </w:divsChild>
        </w:div>
        <w:div w:id="1564827490">
          <w:marLeft w:val="0"/>
          <w:marRight w:val="0"/>
          <w:marTop w:val="0"/>
          <w:marBottom w:val="0"/>
          <w:divBdr>
            <w:top w:val="none" w:sz="0" w:space="0" w:color="auto"/>
            <w:left w:val="none" w:sz="0" w:space="0" w:color="auto"/>
            <w:bottom w:val="none" w:sz="0" w:space="0" w:color="auto"/>
            <w:right w:val="none" w:sz="0" w:space="0" w:color="auto"/>
          </w:divBdr>
          <w:divsChild>
            <w:div w:id="1175534782">
              <w:marLeft w:val="0"/>
              <w:marRight w:val="0"/>
              <w:marTop w:val="0"/>
              <w:marBottom w:val="0"/>
              <w:divBdr>
                <w:top w:val="none" w:sz="0" w:space="0" w:color="auto"/>
                <w:left w:val="none" w:sz="0" w:space="0" w:color="auto"/>
                <w:bottom w:val="none" w:sz="0" w:space="0" w:color="auto"/>
                <w:right w:val="none" w:sz="0" w:space="0" w:color="auto"/>
              </w:divBdr>
            </w:div>
          </w:divsChild>
        </w:div>
        <w:div w:id="1569926051">
          <w:marLeft w:val="0"/>
          <w:marRight w:val="0"/>
          <w:marTop w:val="0"/>
          <w:marBottom w:val="0"/>
          <w:divBdr>
            <w:top w:val="none" w:sz="0" w:space="0" w:color="auto"/>
            <w:left w:val="none" w:sz="0" w:space="0" w:color="auto"/>
            <w:bottom w:val="none" w:sz="0" w:space="0" w:color="auto"/>
            <w:right w:val="none" w:sz="0" w:space="0" w:color="auto"/>
          </w:divBdr>
          <w:divsChild>
            <w:div w:id="612515440">
              <w:marLeft w:val="0"/>
              <w:marRight w:val="0"/>
              <w:marTop w:val="0"/>
              <w:marBottom w:val="0"/>
              <w:divBdr>
                <w:top w:val="none" w:sz="0" w:space="0" w:color="auto"/>
                <w:left w:val="none" w:sz="0" w:space="0" w:color="auto"/>
                <w:bottom w:val="none" w:sz="0" w:space="0" w:color="auto"/>
                <w:right w:val="none" w:sz="0" w:space="0" w:color="auto"/>
              </w:divBdr>
            </w:div>
          </w:divsChild>
        </w:div>
        <w:div w:id="1590116314">
          <w:marLeft w:val="0"/>
          <w:marRight w:val="0"/>
          <w:marTop w:val="0"/>
          <w:marBottom w:val="0"/>
          <w:divBdr>
            <w:top w:val="none" w:sz="0" w:space="0" w:color="auto"/>
            <w:left w:val="none" w:sz="0" w:space="0" w:color="auto"/>
            <w:bottom w:val="none" w:sz="0" w:space="0" w:color="auto"/>
            <w:right w:val="none" w:sz="0" w:space="0" w:color="auto"/>
          </w:divBdr>
          <w:divsChild>
            <w:div w:id="2123651177">
              <w:marLeft w:val="0"/>
              <w:marRight w:val="0"/>
              <w:marTop w:val="0"/>
              <w:marBottom w:val="0"/>
              <w:divBdr>
                <w:top w:val="none" w:sz="0" w:space="0" w:color="auto"/>
                <w:left w:val="none" w:sz="0" w:space="0" w:color="auto"/>
                <w:bottom w:val="none" w:sz="0" w:space="0" w:color="auto"/>
                <w:right w:val="none" w:sz="0" w:space="0" w:color="auto"/>
              </w:divBdr>
            </w:div>
          </w:divsChild>
        </w:div>
        <w:div w:id="1593657857">
          <w:marLeft w:val="0"/>
          <w:marRight w:val="0"/>
          <w:marTop w:val="0"/>
          <w:marBottom w:val="0"/>
          <w:divBdr>
            <w:top w:val="none" w:sz="0" w:space="0" w:color="auto"/>
            <w:left w:val="none" w:sz="0" w:space="0" w:color="auto"/>
            <w:bottom w:val="none" w:sz="0" w:space="0" w:color="auto"/>
            <w:right w:val="none" w:sz="0" w:space="0" w:color="auto"/>
          </w:divBdr>
          <w:divsChild>
            <w:div w:id="677735287">
              <w:marLeft w:val="0"/>
              <w:marRight w:val="0"/>
              <w:marTop w:val="0"/>
              <w:marBottom w:val="0"/>
              <w:divBdr>
                <w:top w:val="none" w:sz="0" w:space="0" w:color="auto"/>
                <w:left w:val="none" w:sz="0" w:space="0" w:color="auto"/>
                <w:bottom w:val="none" w:sz="0" w:space="0" w:color="auto"/>
                <w:right w:val="none" w:sz="0" w:space="0" w:color="auto"/>
              </w:divBdr>
            </w:div>
          </w:divsChild>
        </w:div>
        <w:div w:id="1608581565">
          <w:marLeft w:val="0"/>
          <w:marRight w:val="0"/>
          <w:marTop w:val="0"/>
          <w:marBottom w:val="0"/>
          <w:divBdr>
            <w:top w:val="none" w:sz="0" w:space="0" w:color="auto"/>
            <w:left w:val="none" w:sz="0" w:space="0" w:color="auto"/>
            <w:bottom w:val="none" w:sz="0" w:space="0" w:color="auto"/>
            <w:right w:val="none" w:sz="0" w:space="0" w:color="auto"/>
          </w:divBdr>
          <w:divsChild>
            <w:div w:id="1571842958">
              <w:marLeft w:val="0"/>
              <w:marRight w:val="0"/>
              <w:marTop w:val="0"/>
              <w:marBottom w:val="0"/>
              <w:divBdr>
                <w:top w:val="none" w:sz="0" w:space="0" w:color="auto"/>
                <w:left w:val="none" w:sz="0" w:space="0" w:color="auto"/>
                <w:bottom w:val="none" w:sz="0" w:space="0" w:color="auto"/>
                <w:right w:val="none" w:sz="0" w:space="0" w:color="auto"/>
              </w:divBdr>
            </w:div>
          </w:divsChild>
        </w:div>
        <w:div w:id="1635718436">
          <w:marLeft w:val="0"/>
          <w:marRight w:val="0"/>
          <w:marTop w:val="0"/>
          <w:marBottom w:val="0"/>
          <w:divBdr>
            <w:top w:val="none" w:sz="0" w:space="0" w:color="auto"/>
            <w:left w:val="none" w:sz="0" w:space="0" w:color="auto"/>
            <w:bottom w:val="none" w:sz="0" w:space="0" w:color="auto"/>
            <w:right w:val="none" w:sz="0" w:space="0" w:color="auto"/>
          </w:divBdr>
          <w:divsChild>
            <w:div w:id="1649556980">
              <w:marLeft w:val="0"/>
              <w:marRight w:val="0"/>
              <w:marTop w:val="0"/>
              <w:marBottom w:val="0"/>
              <w:divBdr>
                <w:top w:val="none" w:sz="0" w:space="0" w:color="auto"/>
                <w:left w:val="none" w:sz="0" w:space="0" w:color="auto"/>
                <w:bottom w:val="none" w:sz="0" w:space="0" w:color="auto"/>
                <w:right w:val="none" w:sz="0" w:space="0" w:color="auto"/>
              </w:divBdr>
            </w:div>
          </w:divsChild>
        </w:div>
        <w:div w:id="1667780925">
          <w:marLeft w:val="0"/>
          <w:marRight w:val="0"/>
          <w:marTop w:val="0"/>
          <w:marBottom w:val="0"/>
          <w:divBdr>
            <w:top w:val="none" w:sz="0" w:space="0" w:color="auto"/>
            <w:left w:val="none" w:sz="0" w:space="0" w:color="auto"/>
            <w:bottom w:val="none" w:sz="0" w:space="0" w:color="auto"/>
            <w:right w:val="none" w:sz="0" w:space="0" w:color="auto"/>
          </w:divBdr>
          <w:divsChild>
            <w:div w:id="600836960">
              <w:marLeft w:val="0"/>
              <w:marRight w:val="0"/>
              <w:marTop w:val="0"/>
              <w:marBottom w:val="0"/>
              <w:divBdr>
                <w:top w:val="none" w:sz="0" w:space="0" w:color="auto"/>
                <w:left w:val="none" w:sz="0" w:space="0" w:color="auto"/>
                <w:bottom w:val="none" w:sz="0" w:space="0" w:color="auto"/>
                <w:right w:val="none" w:sz="0" w:space="0" w:color="auto"/>
              </w:divBdr>
            </w:div>
          </w:divsChild>
        </w:div>
        <w:div w:id="1719165152">
          <w:marLeft w:val="0"/>
          <w:marRight w:val="0"/>
          <w:marTop w:val="0"/>
          <w:marBottom w:val="0"/>
          <w:divBdr>
            <w:top w:val="none" w:sz="0" w:space="0" w:color="auto"/>
            <w:left w:val="none" w:sz="0" w:space="0" w:color="auto"/>
            <w:bottom w:val="none" w:sz="0" w:space="0" w:color="auto"/>
            <w:right w:val="none" w:sz="0" w:space="0" w:color="auto"/>
          </w:divBdr>
          <w:divsChild>
            <w:div w:id="1786773633">
              <w:marLeft w:val="0"/>
              <w:marRight w:val="0"/>
              <w:marTop w:val="0"/>
              <w:marBottom w:val="0"/>
              <w:divBdr>
                <w:top w:val="none" w:sz="0" w:space="0" w:color="auto"/>
                <w:left w:val="none" w:sz="0" w:space="0" w:color="auto"/>
                <w:bottom w:val="none" w:sz="0" w:space="0" w:color="auto"/>
                <w:right w:val="none" w:sz="0" w:space="0" w:color="auto"/>
              </w:divBdr>
            </w:div>
          </w:divsChild>
        </w:div>
        <w:div w:id="1744331358">
          <w:marLeft w:val="0"/>
          <w:marRight w:val="0"/>
          <w:marTop w:val="0"/>
          <w:marBottom w:val="0"/>
          <w:divBdr>
            <w:top w:val="none" w:sz="0" w:space="0" w:color="auto"/>
            <w:left w:val="none" w:sz="0" w:space="0" w:color="auto"/>
            <w:bottom w:val="none" w:sz="0" w:space="0" w:color="auto"/>
            <w:right w:val="none" w:sz="0" w:space="0" w:color="auto"/>
          </w:divBdr>
          <w:divsChild>
            <w:div w:id="1435634264">
              <w:marLeft w:val="0"/>
              <w:marRight w:val="0"/>
              <w:marTop w:val="0"/>
              <w:marBottom w:val="0"/>
              <w:divBdr>
                <w:top w:val="none" w:sz="0" w:space="0" w:color="auto"/>
                <w:left w:val="none" w:sz="0" w:space="0" w:color="auto"/>
                <w:bottom w:val="none" w:sz="0" w:space="0" w:color="auto"/>
                <w:right w:val="none" w:sz="0" w:space="0" w:color="auto"/>
              </w:divBdr>
            </w:div>
          </w:divsChild>
        </w:div>
        <w:div w:id="1813213909">
          <w:marLeft w:val="0"/>
          <w:marRight w:val="0"/>
          <w:marTop w:val="0"/>
          <w:marBottom w:val="0"/>
          <w:divBdr>
            <w:top w:val="none" w:sz="0" w:space="0" w:color="auto"/>
            <w:left w:val="none" w:sz="0" w:space="0" w:color="auto"/>
            <w:bottom w:val="none" w:sz="0" w:space="0" w:color="auto"/>
            <w:right w:val="none" w:sz="0" w:space="0" w:color="auto"/>
          </w:divBdr>
          <w:divsChild>
            <w:div w:id="127671160">
              <w:marLeft w:val="0"/>
              <w:marRight w:val="0"/>
              <w:marTop w:val="0"/>
              <w:marBottom w:val="0"/>
              <w:divBdr>
                <w:top w:val="none" w:sz="0" w:space="0" w:color="auto"/>
                <w:left w:val="none" w:sz="0" w:space="0" w:color="auto"/>
                <w:bottom w:val="none" w:sz="0" w:space="0" w:color="auto"/>
                <w:right w:val="none" w:sz="0" w:space="0" w:color="auto"/>
              </w:divBdr>
            </w:div>
          </w:divsChild>
        </w:div>
        <w:div w:id="1837959326">
          <w:marLeft w:val="0"/>
          <w:marRight w:val="0"/>
          <w:marTop w:val="0"/>
          <w:marBottom w:val="0"/>
          <w:divBdr>
            <w:top w:val="none" w:sz="0" w:space="0" w:color="auto"/>
            <w:left w:val="none" w:sz="0" w:space="0" w:color="auto"/>
            <w:bottom w:val="none" w:sz="0" w:space="0" w:color="auto"/>
            <w:right w:val="none" w:sz="0" w:space="0" w:color="auto"/>
          </w:divBdr>
          <w:divsChild>
            <w:div w:id="1175072374">
              <w:marLeft w:val="0"/>
              <w:marRight w:val="0"/>
              <w:marTop w:val="0"/>
              <w:marBottom w:val="0"/>
              <w:divBdr>
                <w:top w:val="none" w:sz="0" w:space="0" w:color="auto"/>
                <w:left w:val="none" w:sz="0" w:space="0" w:color="auto"/>
                <w:bottom w:val="none" w:sz="0" w:space="0" w:color="auto"/>
                <w:right w:val="none" w:sz="0" w:space="0" w:color="auto"/>
              </w:divBdr>
            </w:div>
          </w:divsChild>
        </w:div>
        <w:div w:id="1844006396">
          <w:marLeft w:val="0"/>
          <w:marRight w:val="0"/>
          <w:marTop w:val="0"/>
          <w:marBottom w:val="0"/>
          <w:divBdr>
            <w:top w:val="none" w:sz="0" w:space="0" w:color="auto"/>
            <w:left w:val="none" w:sz="0" w:space="0" w:color="auto"/>
            <w:bottom w:val="none" w:sz="0" w:space="0" w:color="auto"/>
            <w:right w:val="none" w:sz="0" w:space="0" w:color="auto"/>
          </w:divBdr>
          <w:divsChild>
            <w:div w:id="1480878177">
              <w:marLeft w:val="0"/>
              <w:marRight w:val="0"/>
              <w:marTop w:val="0"/>
              <w:marBottom w:val="0"/>
              <w:divBdr>
                <w:top w:val="none" w:sz="0" w:space="0" w:color="auto"/>
                <w:left w:val="none" w:sz="0" w:space="0" w:color="auto"/>
                <w:bottom w:val="none" w:sz="0" w:space="0" w:color="auto"/>
                <w:right w:val="none" w:sz="0" w:space="0" w:color="auto"/>
              </w:divBdr>
            </w:div>
          </w:divsChild>
        </w:div>
        <w:div w:id="1872643711">
          <w:marLeft w:val="0"/>
          <w:marRight w:val="0"/>
          <w:marTop w:val="0"/>
          <w:marBottom w:val="0"/>
          <w:divBdr>
            <w:top w:val="none" w:sz="0" w:space="0" w:color="auto"/>
            <w:left w:val="none" w:sz="0" w:space="0" w:color="auto"/>
            <w:bottom w:val="none" w:sz="0" w:space="0" w:color="auto"/>
            <w:right w:val="none" w:sz="0" w:space="0" w:color="auto"/>
          </w:divBdr>
          <w:divsChild>
            <w:div w:id="686179576">
              <w:marLeft w:val="0"/>
              <w:marRight w:val="0"/>
              <w:marTop w:val="0"/>
              <w:marBottom w:val="0"/>
              <w:divBdr>
                <w:top w:val="none" w:sz="0" w:space="0" w:color="auto"/>
                <w:left w:val="none" w:sz="0" w:space="0" w:color="auto"/>
                <w:bottom w:val="none" w:sz="0" w:space="0" w:color="auto"/>
                <w:right w:val="none" w:sz="0" w:space="0" w:color="auto"/>
              </w:divBdr>
            </w:div>
          </w:divsChild>
        </w:div>
        <w:div w:id="1895651702">
          <w:marLeft w:val="0"/>
          <w:marRight w:val="0"/>
          <w:marTop w:val="0"/>
          <w:marBottom w:val="0"/>
          <w:divBdr>
            <w:top w:val="none" w:sz="0" w:space="0" w:color="auto"/>
            <w:left w:val="none" w:sz="0" w:space="0" w:color="auto"/>
            <w:bottom w:val="none" w:sz="0" w:space="0" w:color="auto"/>
            <w:right w:val="none" w:sz="0" w:space="0" w:color="auto"/>
          </w:divBdr>
          <w:divsChild>
            <w:div w:id="467632046">
              <w:marLeft w:val="0"/>
              <w:marRight w:val="0"/>
              <w:marTop w:val="0"/>
              <w:marBottom w:val="0"/>
              <w:divBdr>
                <w:top w:val="none" w:sz="0" w:space="0" w:color="auto"/>
                <w:left w:val="none" w:sz="0" w:space="0" w:color="auto"/>
                <w:bottom w:val="none" w:sz="0" w:space="0" w:color="auto"/>
                <w:right w:val="none" w:sz="0" w:space="0" w:color="auto"/>
              </w:divBdr>
            </w:div>
          </w:divsChild>
        </w:div>
        <w:div w:id="1922760771">
          <w:marLeft w:val="0"/>
          <w:marRight w:val="0"/>
          <w:marTop w:val="0"/>
          <w:marBottom w:val="0"/>
          <w:divBdr>
            <w:top w:val="none" w:sz="0" w:space="0" w:color="auto"/>
            <w:left w:val="none" w:sz="0" w:space="0" w:color="auto"/>
            <w:bottom w:val="none" w:sz="0" w:space="0" w:color="auto"/>
            <w:right w:val="none" w:sz="0" w:space="0" w:color="auto"/>
          </w:divBdr>
          <w:divsChild>
            <w:div w:id="1561595875">
              <w:marLeft w:val="0"/>
              <w:marRight w:val="0"/>
              <w:marTop w:val="0"/>
              <w:marBottom w:val="0"/>
              <w:divBdr>
                <w:top w:val="none" w:sz="0" w:space="0" w:color="auto"/>
                <w:left w:val="none" w:sz="0" w:space="0" w:color="auto"/>
                <w:bottom w:val="none" w:sz="0" w:space="0" w:color="auto"/>
                <w:right w:val="none" w:sz="0" w:space="0" w:color="auto"/>
              </w:divBdr>
            </w:div>
          </w:divsChild>
        </w:div>
        <w:div w:id="1971933528">
          <w:marLeft w:val="0"/>
          <w:marRight w:val="0"/>
          <w:marTop w:val="0"/>
          <w:marBottom w:val="0"/>
          <w:divBdr>
            <w:top w:val="none" w:sz="0" w:space="0" w:color="auto"/>
            <w:left w:val="none" w:sz="0" w:space="0" w:color="auto"/>
            <w:bottom w:val="none" w:sz="0" w:space="0" w:color="auto"/>
            <w:right w:val="none" w:sz="0" w:space="0" w:color="auto"/>
          </w:divBdr>
          <w:divsChild>
            <w:div w:id="1606158393">
              <w:marLeft w:val="0"/>
              <w:marRight w:val="0"/>
              <w:marTop w:val="0"/>
              <w:marBottom w:val="0"/>
              <w:divBdr>
                <w:top w:val="none" w:sz="0" w:space="0" w:color="auto"/>
                <w:left w:val="none" w:sz="0" w:space="0" w:color="auto"/>
                <w:bottom w:val="none" w:sz="0" w:space="0" w:color="auto"/>
                <w:right w:val="none" w:sz="0" w:space="0" w:color="auto"/>
              </w:divBdr>
            </w:div>
          </w:divsChild>
        </w:div>
        <w:div w:id="2016489194">
          <w:marLeft w:val="0"/>
          <w:marRight w:val="0"/>
          <w:marTop w:val="0"/>
          <w:marBottom w:val="0"/>
          <w:divBdr>
            <w:top w:val="none" w:sz="0" w:space="0" w:color="auto"/>
            <w:left w:val="none" w:sz="0" w:space="0" w:color="auto"/>
            <w:bottom w:val="none" w:sz="0" w:space="0" w:color="auto"/>
            <w:right w:val="none" w:sz="0" w:space="0" w:color="auto"/>
          </w:divBdr>
          <w:divsChild>
            <w:div w:id="1459831999">
              <w:marLeft w:val="0"/>
              <w:marRight w:val="0"/>
              <w:marTop w:val="0"/>
              <w:marBottom w:val="0"/>
              <w:divBdr>
                <w:top w:val="none" w:sz="0" w:space="0" w:color="auto"/>
                <w:left w:val="none" w:sz="0" w:space="0" w:color="auto"/>
                <w:bottom w:val="none" w:sz="0" w:space="0" w:color="auto"/>
                <w:right w:val="none" w:sz="0" w:space="0" w:color="auto"/>
              </w:divBdr>
            </w:div>
          </w:divsChild>
        </w:div>
        <w:div w:id="2031947763">
          <w:marLeft w:val="0"/>
          <w:marRight w:val="0"/>
          <w:marTop w:val="0"/>
          <w:marBottom w:val="0"/>
          <w:divBdr>
            <w:top w:val="none" w:sz="0" w:space="0" w:color="auto"/>
            <w:left w:val="none" w:sz="0" w:space="0" w:color="auto"/>
            <w:bottom w:val="none" w:sz="0" w:space="0" w:color="auto"/>
            <w:right w:val="none" w:sz="0" w:space="0" w:color="auto"/>
          </w:divBdr>
          <w:divsChild>
            <w:div w:id="1398242769">
              <w:marLeft w:val="0"/>
              <w:marRight w:val="0"/>
              <w:marTop w:val="0"/>
              <w:marBottom w:val="0"/>
              <w:divBdr>
                <w:top w:val="none" w:sz="0" w:space="0" w:color="auto"/>
                <w:left w:val="none" w:sz="0" w:space="0" w:color="auto"/>
                <w:bottom w:val="none" w:sz="0" w:space="0" w:color="auto"/>
                <w:right w:val="none" w:sz="0" w:space="0" w:color="auto"/>
              </w:divBdr>
            </w:div>
          </w:divsChild>
        </w:div>
        <w:div w:id="2042388785">
          <w:marLeft w:val="0"/>
          <w:marRight w:val="0"/>
          <w:marTop w:val="0"/>
          <w:marBottom w:val="0"/>
          <w:divBdr>
            <w:top w:val="none" w:sz="0" w:space="0" w:color="auto"/>
            <w:left w:val="none" w:sz="0" w:space="0" w:color="auto"/>
            <w:bottom w:val="none" w:sz="0" w:space="0" w:color="auto"/>
            <w:right w:val="none" w:sz="0" w:space="0" w:color="auto"/>
          </w:divBdr>
          <w:divsChild>
            <w:div w:id="2082677095">
              <w:marLeft w:val="0"/>
              <w:marRight w:val="0"/>
              <w:marTop w:val="0"/>
              <w:marBottom w:val="0"/>
              <w:divBdr>
                <w:top w:val="none" w:sz="0" w:space="0" w:color="auto"/>
                <w:left w:val="none" w:sz="0" w:space="0" w:color="auto"/>
                <w:bottom w:val="none" w:sz="0" w:space="0" w:color="auto"/>
                <w:right w:val="none" w:sz="0" w:space="0" w:color="auto"/>
              </w:divBdr>
            </w:div>
          </w:divsChild>
        </w:div>
        <w:div w:id="2069721113">
          <w:marLeft w:val="0"/>
          <w:marRight w:val="0"/>
          <w:marTop w:val="0"/>
          <w:marBottom w:val="0"/>
          <w:divBdr>
            <w:top w:val="none" w:sz="0" w:space="0" w:color="auto"/>
            <w:left w:val="none" w:sz="0" w:space="0" w:color="auto"/>
            <w:bottom w:val="none" w:sz="0" w:space="0" w:color="auto"/>
            <w:right w:val="none" w:sz="0" w:space="0" w:color="auto"/>
          </w:divBdr>
          <w:divsChild>
            <w:div w:id="1340355697">
              <w:marLeft w:val="0"/>
              <w:marRight w:val="0"/>
              <w:marTop w:val="0"/>
              <w:marBottom w:val="0"/>
              <w:divBdr>
                <w:top w:val="none" w:sz="0" w:space="0" w:color="auto"/>
                <w:left w:val="none" w:sz="0" w:space="0" w:color="auto"/>
                <w:bottom w:val="none" w:sz="0" w:space="0" w:color="auto"/>
                <w:right w:val="none" w:sz="0" w:space="0" w:color="auto"/>
              </w:divBdr>
            </w:div>
          </w:divsChild>
        </w:div>
        <w:div w:id="2080246280">
          <w:marLeft w:val="0"/>
          <w:marRight w:val="0"/>
          <w:marTop w:val="0"/>
          <w:marBottom w:val="0"/>
          <w:divBdr>
            <w:top w:val="none" w:sz="0" w:space="0" w:color="auto"/>
            <w:left w:val="none" w:sz="0" w:space="0" w:color="auto"/>
            <w:bottom w:val="none" w:sz="0" w:space="0" w:color="auto"/>
            <w:right w:val="none" w:sz="0" w:space="0" w:color="auto"/>
          </w:divBdr>
          <w:divsChild>
            <w:div w:id="592209153">
              <w:marLeft w:val="0"/>
              <w:marRight w:val="0"/>
              <w:marTop w:val="0"/>
              <w:marBottom w:val="0"/>
              <w:divBdr>
                <w:top w:val="none" w:sz="0" w:space="0" w:color="auto"/>
                <w:left w:val="none" w:sz="0" w:space="0" w:color="auto"/>
                <w:bottom w:val="none" w:sz="0" w:space="0" w:color="auto"/>
                <w:right w:val="none" w:sz="0" w:space="0" w:color="auto"/>
              </w:divBdr>
            </w:div>
          </w:divsChild>
        </w:div>
        <w:div w:id="2113816770">
          <w:marLeft w:val="0"/>
          <w:marRight w:val="0"/>
          <w:marTop w:val="0"/>
          <w:marBottom w:val="0"/>
          <w:divBdr>
            <w:top w:val="none" w:sz="0" w:space="0" w:color="auto"/>
            <w:left w:val="none" w:sz="0" w:space="0" w:color="auto"/>
            <w:bottom w:val="none" w:sz="0" w:space="0" w:color="auto"/>
            <w:right w:val="none" w:sz="0" w:space="0" w:color="auto"/>
          </w:divBdr>
          <w:divsChild>
            <w:div w:id="1406148467">
              <w:marLeft w:val="0"/>
              <w:marRight w:val="0"/>
              <w:marTop w:val="0"/>
              <w:marBottom w:val="0"/>
              <w:divBdr>
                <w:top w:val="none" w:sz="0" w:space="0" w:color="auto"/>
                <w:left w:val="none" w:sz="0" w:space="0" w:color="auto"/>
                <w:bottom w:val="none" w:sz="0" w:space="0" w:color="auto"/>
                <w:right w:val="none" w:sz="0" w:space="0" w:color="auto"/>
              </w:divBdr>
            </w:div>
          </w:divsChild>
        </w:div>
        <w:div w:id="2125532748">
          <w:marLeft w:val="0"/>
          <w:marRight w:val="0"/>
          <w:marTop w:val="0"/>
          <w:marBottom w:val="0"/>
          <w:divBdr>
            <w:top w:val="none" w:sz="0" w:space="0" w:color="auto"/>
            <w:left w:val="none" w:sz="0" w:space="0" w:color="auto"/>
            <w:bottom w:val="none" w:sz="0" w:space="0" w:color="auto"/>
            <w:right w:val="none" w:sz="0" w:space="0" w:color="auto"/>
          </w:divBdr>
          <w:divsChild>
            <w:div w:id="116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5967">
      <w:bodyDiv w:val="1"/>
      <w:marLeft w:val="0"/>
      <w:marRight w:val="0"/>
      <w:marTop w:val="0"/>
      <w:marBottom w:val="0"/>
      <w:divBdr>
        <w:top w:val="none" w:sz="0" w:space="0" w:color="auto"/>
        <w:left w:val="none" w:sz="0" w:space="0" w:color="auto"/>
        <w:bottom w:val="none" w:sz="0" w:space="0" w:color="auto"/>
        <w:right w:val="none" w:sz="0" w:space="0" w:color="auto"/>
      </w:divBdr>
    </w:div>
    <w:div w:id="1717271125">
      <w:bodyDiv w:val="1"/>
      <w:marLeft w:val="0"/>
      <w:marRight w:val="0"/>
      <w:marTop w:val="0"/>
      <w:marBottom w:val="0"/>
      <w:divBdr>
        <w:top w:val="none" w:sz="0" w:space="0" w:color="auto"/>
        <w:left w:val="none" w:sz="0" w:space="0" w:color="auto"/>
        <w:bottom w:val="none" w:sz="0" w:space="0" w:color="auto"/>
        <w:right w:val="none" w:sz="0" w:space="0" w:color="auto"/>
      </w:divBdr>
    </w:div>
    <w:div w:id="1740785378">
      <w:bodyDiv w:val="1"/>
      <w:marLeft w:val="0"/>
      <w:marRight w:val="0"/>
      <w:marTop w:val="0"/>
      <w:marBottom w:val="0"/>
      <w:divBdr>
        <w:top w:val="none" w:sz="0" w:space="0" w:color="auto"/>
        <w:left w:val="none" w:sz="0" w:space="0" w:color="auto"/>
        <w:bottom w:val="none" w:sz="0" w:space="0" w:color="auto"/>
        <w:right w:val="none" w:sz="0" w:space="0" w:color="auto"/>
      </w:divBdr>
    </w:div>
    <w:div w:id="1773208776">
      <w:bodyDiv w:val="1"/>
      <w:marLeft w:val="0"/>
      <w:marRight w:val="0"/>
      <w:marTop w:val="0"/>
      <w:marBottom w:val="0"/>
      <w:divBdr>
        <w:top w:val="none" w:sz="0" w:space="0" w:color="auto"/>
        <w:left w:val="none" w:sz="0" w:space="0" w:color="auto"/>
        <w:bottom w:val="none" w:sz="0" w:space="0" w:color="auto"/>
        <w:right w:val="none" w:sz="0" w:space="0" w:color="auto"/>
      </w:divBdr>
    </w:div>
    <w:div w:id="1810320851">
      <w:bodyDiv w:val="1"/>
      <w:marLeft w:val="0"/>
      <w:marRight w:val="0"/>
      <w:marTop w:val="0"/>
      <w:marBottom w:val="0"/>
      <w:divBdr>
        <w:top w:val="none" w:sz="0" w:space="0" w:color="auto"/>
        <w:left w:val="none" w:sz="0" w:space="0" w:color="auto"/>
        <w:bottom w:val="none" w:sz="0" w:space="0" w:color="auto"/>
        <w:right w:val="none" w:sz="0" w:space="0" w:color="auto"/>
      </w:divBdr>
    </w:div>
    <w:div w:id="1911039341">
      <w:bodyDiv w:val="1"/>
      <w:marLeft w:val="0"/>
      <w:marRight w:val="0"/>
      <w:marTop w:val="0"/>
      <w:marBottom w:val="0"/>
      <w:divBdr>
        <w:top w:val="none" w:sz="0" w:space="0" w:color="auto"/>
        <w:left w:val="none" w:sz="0" w:space="0" w:color="auto"/>
        <w:bottom w:val="none" w:sz="0" w:space="0" w:color="auto"/>
        <w:right w:val="none" w:sz="0" w:space="0" w:color="auto"/>
      </w:divBdr>
    </w:div>
    <w:div w:id="2007054121">
      <w:bodyDiv w:val="1"/>
      <w:marLeft w:val="0"/>
      <w:marRight w:val="0"/>
      <w:marTop w:val="0"/>
      <w:marBottom w:val="0"/>
      <w:divBdr>
        <w:top w:val="none" w:sz="0" w:space="0" w:color="auto"/>
        <w:left w:val="none" w:sz="0" w:space="0" w:color="auto"/>
        <w:bottom w:val="none" w:sz="0" w:space="0" w:color="auto"/>
        <w:right w:val="none" w:sz="0" w:space="0" w:color="auto"/>
      </w:divBdr>
    </w:div>
    <w:div w:id="2054844179">
      <w:bodyDiv w:val="1"/>
      <w:marLeft w:val="0"/>
      <w:marRight w:val="0"/>
      <w:marTop w:val="0"/>
      <w:marBottom w:val="0"/>
      <w:divBdr>
        <w:top w:val="none" w:sz="0" w:space="0" w:color="auto"/>
        <w:left w:val="none" w:sz="0" w:space="0" w:color="auto"/>
        <w:bottom w:val="none" w:sz="0" w:space="0" w:color="auto"/>
        <w:right w:val="none" w:sz="0" w:space="0" w:color="auto"/>
      </w:divBdr>
    </w:div>
    <w:div w:id="212823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commission.europa.eu/document/download/e6cd4328-673c-4e7a-8683-f63ffb2cf648_en?filename=Political%20Guidelines%202024-2029_EN.pdf" TargetMode="External"/><Relationship Id="rId39" Type="http://schemas.openxmlformats.org/officeDocument/2006/relationships/chart" Target="charts/chart1.xml"/><Relationship Id="rId21" Type="http://schemas.openxmlformats.org/officeDocument/2006/relationships/hyperlink" Target="https://www.consilium.europa.eu/media/ny3j24sm/much-more-than-a-market-report-by-enrico-letta.pdf" TargetMode="External"/><Relationship Id="rId34" Type="http://schemas.openxmlformats.org/officeDocument/2006/relationships/hyperlink" Target="file://localhost/C:/Users/kolesma/Downloads/vat%20gap%20in%20the%20eu-KP0124001ENN.pdf" TargetMode="External"/><Relationship Id="rId42" Type="http://schemas.openxmlformats.org/officeDocument/2006/relationships/chart" Target="charts/chart4.xm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ommission.europa.eu/document/download/6d47acb4-9206-4d0f-8f9b-3b10cad7b1ed_en?filename=Communication%20on%20the%20road%20to%20the%20next%20MFF_en.pdf" TargetMode="External"/><Relationship Id="rId33" Type="http://schemas.openxmlformats.org/officeDocument/2006/relationships/hyperlink" Target="https://data.europa.eu/doi/10.2777/928125" TargetMode="External"/><Relationship Id="rId38" Type="http://schemas.openxmlformats.org/officeDocument/2006/relationships/hyperlink" Target="https://taxation-customs.ec.europa.eu/taxation/tax-transparency-cooperation/administrative-co-operation-and-mutual-assistance/directive-administrative-cooperation-dac_en" TargetMode="External"/><Relationship Id="rId46" Type="http://schemas.openxmlformats.org/officeDocument/2006/relationships/chart" Target="charts/chart8.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mmission.europa.eu/topics/strengthening-european-competitiveness/eu-competitiveness-looking-ahead_en" TargetMode="External"/><Relationship Id="rId29" Type="http://schemas.openxmlformats.org/officeDocument/2006/relationships/hyperlink" Target="https://research-and-innovation.ec.europa.eu/knowledge-publications-tools-and-data/publications/all-publications/final-evaluation-horizon-2020_en" TargetMode="External"/><Relationship Id="rId41" Type="http://schemas.openxmlformats.org/officeDocument/2006/relationships/chart" Target="charts/chart3.xm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commission.europa.eu/document/download/6d47acb4-9206-4d0f-8f9b-3b10cad7b1ed_en?filename=Communication%20on%20the%20road%20to%20the%20next%20MFF_en.pdf" TargetMode="External"/><Relationship Id="rId32" Type="http://schemas.openxmlformats.org/officeDocument/2006/relationships/hyperlink" Target="https://data.europa.eu/doi/10.2777/734565" TargetMode="External"/><Relationship Id="rId37" Type="http://schemas.openxmlformats.org/officeDocument/2006/relationships/hyperlink" Target="file://localhost/C:/Users/bektava/Downloads/COMMISSION%20STAFF%20WORKING%20DOCUMENT%20IMPACT%20ASSESSMENT%20REPORT%20Accompanying%20the%20documents%20Proposal%20for%20a%20COUNCIL%20DIRECTIVE%20amending%20Directive%202006/112/EC%20as%20regards%20VAT%20rules%20for%20the%20digital%20age%20Proposal%20for%20a%20COUNCIL%20REGULATION%20amending%20Regulation%20(EU)%20No%20904/2010%20as%20regards%20the%20VAT%20administrative%20cooperation%20arrangements%20needed%20for%20the%20digital%20age%20Proposal%20for%20a%20COUNCIL%20IMPLEMENTING%20REGULATION%20amending%20Implementing%20Regulation%20(EU)%20No%20282/2011%20as%20regards%20information%20requirements%20for%20certain%20VAT%20schemes" TargetMode="External"/><Relationship Id="rId40" Type="http://schemas.openxmlformats.org/officeDocument/2006/relationships/chart" Target="charts/chart2.xml"/><Relationship Id="rId45" Type="http://schemas.openxmlformats.org/officeDocument/2006/relationships/chart" Target="charts/chart7.xml"/><Relationship Id="rId53" Type="http://schemas.openxmlformats.org/officeDocument/2006/relationships/header" Target="header7.xml"/><Relationship Id="rId58"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commission/presscorner/detail/en/ip_25_339" TargetMode="External"/><Relationship Id="rId28" Type="http://schemas.openxmlformats.org/officeDocument/2006/relationships/hyperlink" Target="https://research-and-innovation.ec.europa.eu/knowledge-publications-tools-and-data/publications/all-publications/final-evaluation-horizon-2020_en" TargetMode="External"/><Relationship Id="rId36" Type="http://schemas.openxmlformats.org/officeDocument/2006/relationships/hyperlink" Target="https://taxation-customs.ec.europa.eu/system/files/2024-10/2023%20e-Customs%20Annual%20Progress%20Report%20v1.20.pdf" TargetMode="External"/><Relationship Id="rId49" Type="http://schemas.openxmlformats.org/officeDocument/2006/relationships/footer" Target="footer4.xml"/><Relationship Id="rId57"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3.svg"/><Relationship Id="rId31" Type="http://schemas.openxmlformats.org/officeDocument/2006/relationships/hyperlink" Target="https://data.europa.eu/doi/10.2777/9106236" TargetMode="External"/><Relationship Id="rId44" Type="http://schemas.openxmlformats.org/officeDocument/2006/relationships/chart" Target="charts/chart6.xml"/><Relationship Id="rId52" Type="http://schemas.openxmlformats.org/officeDocument/2006/relationships/footer" Target="footer6.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silium.europa.eu/media/ny3j24sm/much-more-than-a-market-report-by-enrico-letta.pdf" TargetMode="External"/><Relationship Id="rId27" Type="http://schemas.openxmlformats.org/officeDocument/2006/relationships/hyperlink" Target="https://data.europa.eu/doi/10.2777/965670" TargetMode="External"/><Relationship Id="rId30" Type="http://schemas.openxmlformats.org/officeDocument/2006/relationships/hyperlink" Target="https://www.ecb.europa.eu/pub/pdf/sintra/ecb.forumcentbankpub2024_Bergeaud_paper.en.pdf" TargetMode="External"/><Relationship Id="rId35" Type="http://schemas.openxmlformats.org/officeDocument/2006/relationships/hyperlink" Target="https://taxation-customs.ec.europa.eu/taxation/economic-analysis/annual-report-taxation_en" TargetMode="External"/><Relationship Id="rId43" Type="http://schemas.openxmlformats.org/officeDocument/2006/relationships/chart" Target="charts/chart5.xml"/><Relationship Id="rId48" Type="http://schemas.openxmlformats.org/officeDocument/2006/relationships/header" Target="header5.xm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3PC0258" TargetMode="External"/><Relationship Id="rId13" Type="http://schemas.openxmlformats.org/officeDocument/2006/relationships/hyperlink" Target="https://taxation-customs.ec.europa.eu/about-us/eu-funding-customs-and-tax/customs-control-equipment-instrument_en" TargetMode="External"/><Relationship Id="rId18" Type="http://schemas.openxmlformats.org/officeDocument/2006/relationships/hyperlink" Target="https://www.consumerlawready.eu/SME/public-page" TargetMode="External"/><Relationship Id="rId26" Type="http://schemas.openxmlformats.org/officeDocument/2006/relationships/hyperlink" Target="http://data.europa.eu/eli/reg/2012/389/2023-02-13" TargetMode="External"/><Relationship Id="rId39" Type="http://schemas.openxmlformats.org/officeDocument/2006/relationships/hyperlink" Target="https://ted.europa.eu/en/notice/-/detail/51823-2024" TargetMode="External"/><Relationship Id="rId3" Type="http://schemas.openxmlformats.org/officeDocument/2006/relationships/hyperlink" Target="https://commission.europa.eu/topics/strengthening-european-competitiveness/eu-competitiveness-looking-ahead_en" TargetMode="External"/><Relationship Id="rId21" Type="http://schemas.openxmlformats.org/officeDocument/2006/relationships/hyperlink" Target="https://single-market-economy.ec.europa.eu/publications/single-market-our-european-home-market-uncertain-world_en" TargetMode="External"/><Relationship Id="rId34" Type="http://schemas.openxmlformats.org/officeDocument/2006/relationships/hyperlink" Target="https://ec.europa.eu/internal_market/imi-net/index_en.htm" TargetMode="External"/><Relationship Id="rId42" Type="http://schemas.openxmlformats.org/officeDocument/2006/relationships/hyperlink" Target="http://data.europa.eu/eli/reg/2012/389/2023-02-13" TargetMode="External"/><Relationship Id="rId7" Type="http://schemas.openxmlformats.org/officeDocument/2006/relationships/hyperlink" Target="https://data.consilium.europa.eu/doc/document/ST-1-2023-INIT/en/pdf" TargetMode="External"/><Relationship Id="rId12" Type="http://schemas.openxmlformats.org/officeDocument/2006/relationships/hyperlink" Target="https://taxation-customs.ec.europa.eu/about-us/eu-funding-customs-and-tax/customs-programme_en" TargetMode="External"/><Relationship Id="rId17" Type="http://schemas.openxmlformats.org/officeDocument/2006/relationships/hyperlink" Target="file:///C:/Users/goringl/Downloads/eur-lex.europa.eu/legal-content/EN/TXT/PDF" TargetMode="External"/><Relationship Id="rId25" Type="http://schemas.openxmlformats.org/officeDocument/2006/relationships/hyperlink" Target="http://data.europa.eu/eli/reg/2010/904/2021-07-01" TargetMode="External"/><Relationship Id="rId33" Type="http://schemas.openxmlformats.org/officeDocument/2006/relationships/hyperlink" Target="https://competition-policy.ec.europa.eu/system/files/2024-06/KD0924494enn_Protecting_competition_in_a_changing_world_staff_report_2024.pdf" TargetMode="External"/><Relationship Id="rId38" Type="http://schemas.openxmlformats.org/officeDocument/2006/relationships/hyperlink" Target="https://commission.europa.eu/live-work-travel-eu/consumer-rights-and-complaints/resolve-your-consumer-complaint/european-consumer-centres-network-ecc-net_en" TargetMode="External"/><Relationship Id="rId2" Type="http://schemas.openxmlformats.org/officeDocument/2006/relationships/hyperlink" Target="https://commission.europa.eu/document/download/e6cd4328-673c-4e7a-8683-f63ffb2cf648_en?filename=Political%20Guidelines%202024-2029_EN.pdf" TargetMode="External"/><Relationship Id="rId16" Type="http://schemas.openxmlformats.org/officeDocument/2006/relationships/hyperlink" Target="file:///C:/Users/goringl/Downloads/eur-lex.europa.eu/legal-content/EN/TXT/PDF" TargetMode="External"/><Relationship Id="rId20" Type="http://schemas.openxmlformats.org/officeDocument/2006/relationships/hyperlink" Target="https://commission.europa.eu/live-work-travel-eu/consumer-rights-and-complaints/enforcement-consumer-protection/consumer-protection-cooperation-network_en" TargetMode="External"/><Relationship Id="rId29" Type="http://schemas.openxmlformats.org/officeDocument/2006/relationships/hyperlink" Target="https://commission.europa.eu/topics/strengthening-european-competitiveness/eu-competitiveness-looking-ahead_en" TargetMode="External"/><Relationship Id="rId41" Type="http://schemas.openxmlformats.org/officeDocument/2006/relationships/hyperlink" Target="http://data.europa.eu/eli/reg/2010/904/2021-07-01" TargetMode="External"/><Relationship Id="rId1" Type="http://schemas.openxmlformats.org/officeDocument/2006/relationships/hyperlink" Target="https://eur-lex.europa.eu/legal-content/EN/TXT/?uri=celex%3A11986U%2FTXT" TargetMode="External"/><Relationship Id="rId6" Type="http://schemas.openxmlformats.org/officeDocument/2006/relationships/hyperlink" Target="https://ec.europa.eu/eurostat/documents/34693/344802/Commission-recommendation-COM-2005" TargetMode="External"/><Relationship Id="rId11" Type="http://schemas.openxmlformats.org/officeDocument/2006/relationships/hyperlink" Target="https://single-market-scoreboard.ec.europa.eu/enforcement-tools/imi_en" TargetMode="External"/><Relationship Id="rId24" Type="http://schemas.openxmlformats.org/officeDocument/2006/relationships/hyperlink" Target="https://www.consilium.europa.eu/media/ny3j24sm/much-more-than-a-market-report-by-enrico-letta.pdf" TargetMode="External"/><Relationship Id="rId32" Type="http://schemas.openxmlformats.org/officeDocument/2006/relationships/hyperlink" Target="https://www.ifrs.org/use-around-the-world/why-global-accounting-standards/" TargetMode="External"/><Relationship Id="rId37" Type="http://schemas.openxmlformats.org/officeDocument/2006/relationships/hyperlink" Target="https://finance.ec.europa.eu/news/commission-adopts-european-sustainability-reporting-standards-2023-07-31_en" TargetMode="External"/><Relationship Id="rId40" Type="http://schemas.openxmlformats.org/officeDocument/2006/relationships/hyperlink" Target="https://ec.europa.eu/safety-gate/" TargetMode="External"/><Relationship Id="rId45" Type="http://schemas.openxmlformats.org/officeDocument/2006/relationships/hyperlink" Target="https://eur-lex.europa.eu/legal-content/EN/TXT/EU%20Regulation%202019/1020" TargetMode="External"/><Relationship Id="rId5" Type="http://schemas.openxmlformats.org/officeDocument/2006/relationships/hyperlink" Target="https://taxation-customs.ec.europa.eu/customs-4/eu-customs-union-facts-and-figures_en" TargetMode="External"/><Relationship Id="rId15" Type="http://schemas.openxmlformats.org/officeDocument/2006/relationships/hyperlink" Target="https://anti-fraud.ec.europa.eu/policy/union-anti-fraud-programme-uafp_en" TargetMode="External"/><Relationship Id="rId23" Type="http://schemas.openxmlformats.org/officeDocument/2006/relationships/hyperlink" Target="https://taxation-customs.ec.europa.eu/news/out-now-union-customs-code-annual-progress-report-2023-2024-09-23_en" TargetMode="External"/><Relationship Id="rId28" Type="http://schemas.openxmlformats.org/officeDocument/2006/relationships/hyperlink" Target="https://taxation-customs.ec.europa.eu/taxation/vat/vat-and-administrative-cooperation/vat-administration-eu_en" TargetMode="External"/><Relationship Id="rId36" Type="http://schemas.openxmlformats.org/officeDocument/2006/relationships/hyperlink" Target="https://eur-lex.europa.eu/legal-content/en/TXT/?uri=CELEX:32024R0903" TargetMode="External"/><Relationship Id="rId10" Type="http://schemas.openxmlformats.org/officeDocument/2006/relationships/hyperlink" Target="https://commission.europa.eu/strategy-and-policy/eu-budget/performance-and-reporting/programme-performance-statements_en" TargetMode="External"/><Relationship Id="rId19" Type="http://schemas.openxmlformats.org/officeDocument/2006/relationships/hyperlink" Target="https://single-market-economy.ec.europa.eu/publications/single-market-our-european-home-market-uncertain-world_en" TargetMode="External"/><Relationship Id="rId31" Type="http://schemas.openxmlformats.org/officeDocument/2006/relationships/hyperlink" Target="https://www.ifrs.org/use-around-the-world/use-of-ifrs-standards-by-jurisdiction/view-jurisdiction/european-union/" TargetMode="External"/><Relationship Id="rId44" Type="http://schemas.openxmlformats.org/officeDocument/2006/relationships/hyperlink" Target="https://www.eca.europa.eu/Lists/ECADocuments/SR21_04/SR_Customs_controls_EN.pdf" TargetMode="External"/><Relationship Id="rId4" Type="http://schemas.openxmlformats.org/officeDocument/2006/relationships/hyperlink" Target="https://www.consilium.europa.eu/media/ny3j24sm/much-more-than-a-market-report-by-enrico-letta.pdf" TargetMode="External"/><Relationship Id="rId9" Type="http://schemas.openxmlformats.org/officeDocument/2006/relationships/hyperlink" Target="https://taxation-customs.ec.europa.eu/customs-4/eu-customs-reform_en" TargetMode="External"/><Relationship Id="rId14" Type="http://schemas.openxmlformats.org/officeDocument/2006/relationships/hyperlink" Target="https://taxation-customs.ec.europa.eu/about-us/eu-funding-customs-and-tax/fiscalis-programme_en" TargetMode="External"/><Relationship Id="rId22" Type="http://schemas.openxmlformats.org/officeDocument/2006/relationships/hyperlink" Target="https://single-market-scoreboard.ec.europa.eu/enforcement-tools/imi_en" TargetMode="External"/><Relationship Id="rId27" Type="http://schemas.openxmlformats.org/officeDocument/2006/relationships/hyperlink" Target="http://data.europa.eu/eli/dir/2011/16/2024-01-01" TargetMode="External"/><Relationship Id="rId30" Type="http://schemas.openxmlformats.org/officeDocument/2006/relationships/hyperlink" Target="https://eur-lex.europa.eu/eli/reg/2024/1781/oj/eng" TargetMode="External"/><Relationship Id="rId35" Type="http://schemas.openxmlformats.org/officeDocument/2006/relationships/hyperlink" Target="https://single-market-economy.ec.europa.eu/single-market/single-digital-gateway_en" TargetMode="External"/><Relationship Id="rId43" Type="http://schemas.openxmlformats.org/officeDocument/2006/relationships/hyperlink" Target="http://data.europa.eu/eli/dir/2011/16/2024-01-0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6454632590722E-2"/>
          <c:y val="5.5766793409378963E-2"/>
          <c:w val="0.54300180054285019"/>
          <c:h val="0.88846641318124209"/>
        </c:manualLayout>
      </c:layout>
      <c:barChart>
        <c:barDir val="col"/>
        <c:grouping val="clustered"/>
        <c:varyColors val="0"/>
        <c:ser>
          <c:idx val="0"/>
          <c:order val="0"/>
          <c:tx>
            <c:strRef>
              <c:f>Sheet1!$B$1</c:f>
              <c:strCache>
                <c:ptCount val="1"/>
                <c:pt idx="0">
                  <c:v>EU Citizen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Sheet1!$B$2</c:f>
              <c:numCache>
                <c:formatCode>General</c:formatCode>
                <c:ptCount val="1"/>
                <c:pt idx="0">
                  <c:v>191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BE07-4A29-824A-66727ED9AD4D}"/>
            </c:ext>
          </c:extLst>
        </c:ser>
        <c:ser>
          <c:idx val="1"/>
          <c:order val="1"/>
          <c:tx>
            <c:strRef>
              <c:f>Sheet1!$C$1</c:f>
              <c:strCache>
                <c:ptCount val="1"/>
                <c:pt idx="0">
                  <c:v>NGO (Non-governmental organisation)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Sheet1!$C$2</c:f>
              <c:numCache>
                <c:formatCode>General</c:formatCode>
                <c:ptCount val="1"/>
                <c:pt idx="0">
                  <c:v>131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BE07-4A29-824A-66727ED9AD4D}"/>
            </c:ext>
          </c:extLst>
        </c:ser>
        <c:ser>
          <c:idx val="2"/>
          <c:order val="2"/>
          <c:tx>
            <c:strRef>
              <c:f>Sheet1!$D$1</c:f>
              <c:strCache>
                <c:ptCount val="1"/>
                <c:pt idx="0">
                  <c:v>Public authority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Sheet1!$D$2</c:f>
              <c:numCache>
                <c:formatCode>General</c:formatCode>
                <c:ptCount val="1"/>
                <c:pt idx="0">
                  <c:v>114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BE07-4A29-824A-66727ED9AD4D}"/>
            </c:ext>
          </c:extLst>
        </c:ser>
        <c:ser>
          <c:idx val="3"/>
          <c:order val="3"/>
          <c:tx>
            <c:strRef>
              <c:f>Sheet1!$E$1</c:f>
              <c:strCache>
                <c:ptCount val="1"/>
                <c:pt idx="0">
                  <c:v>Company/business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Sheet1!$E$2</c:f>
              <c:numCache>
                <c:formatCode>General</c:formatCode>
                <c:ptCount val="1"/>
                <c:pt idx="0">
                  <c:v>82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3-BE07-4A29-824A-66727ED9AD4D}"/>
            </c:ext>
          </c:extLst>
        </c:ser>
        <c:ser>
          <c:idx val="4"/>
          <c:order val="4"/>
          <c:tx>
            <c:strRef>
              <c:f>Sheet1!$F$1</c:f>
              <c:strCache>
                <c:ptCount val="1"/>
                <c:pt idx="0">
                  <c:v>Business Association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Sheet1!$F$2</c:f>
              <c:numCache>
                <c:formatCode>General</c:formatCode>
                <c:ptCount val="1"/>
                <c:pt idx="0">
                  <c:v>76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4-BE07-4A29-824A-66727ED9AD4D}"/>
            </c:ext>
          </c:extLst>
        </c:ser>
        <c:ser>
          <c:idx val="5"/>
          <c:order val="5"/>
          <c:tx>
            <c:strRef>
              <c:f>Sheet1!$G$1</c:f>
              <c:strCache>
                <c:ptCount val="1"/>
                <c:pt idx="0">
                  <c:v>Other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Sheet1!$G$2</c:f>
              <c:numCache>
                <c:formatCode>General</c:formatCode>
                <c:ptCount val="1"/>
                <c:pt idx="0">
                  <c:v>69</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5-BE07-4A29-824A-66727ED9AD4D}"/>
            </c:ext>
          </c:extLst>
        </c:ser>
        <c:ser>
          <c:idx val="6"/>
          <c:order val="6"/>
          <c:tx>
            <c:strRef>
              <c:f>Sheet1!$H$1</c:f>
              <c:strCache>
                <c:ptCount val="1"/>
                <c:pt idx="0">
                  <c:v>Academic/Research Institution</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Sheet1!$H$2</c:f>
              <c:numCache>
                <c:formatCode>General</c:formatCode>
                <c:ptCount val="1"/>
                <c:pt idx="0">
                  <c:v>57</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6-BE07-4A29-824A-66727ED9AD4D}"/>
            </c:ext>
          </c:extLst>
        </c:ser>
        <c:ser>
          <c:idx val="7"/>
          <c:order val="7"/>
          <c:tx>
            <c:strRef>
              <c:f>Sheet1!$I$1</c:f>
              <c:strCache>
                <c:ptCount val="1"/>
                <c:pt idx="0">
                  <c:v>Non-EU Citizen</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Sheet1!$I$2</c:f>
              <c:numCache>
                <c:formatCode>General</c:formatCode>
                <c:ptCount val="1"/>
                <c:pt idx="0">
                  <c:v>9</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7-BE07-4A29-824A-66727ED9AD4D}"/>
            </c:ext>
          </c:extLst>
        </c:ser>
        <c:ser>
          <c:idx val="8"/>
          <c:order val="8"/>
          <c:tx>
            <c:strRef>
              <c:f>Sheet1!$J$1</c:f>
              <c:strCache>
                <c:ptCount val="1"/>
                <c:pt idx="0">
                  <c:v>Trade Union</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Sheet1!$J$2</c:f>
              <c:numCache>
                <c:formatCode>General</c:formatCode>
                <c:ptCount val="1"/>
                <c:pt idx="0">
                  <c:v>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8-BE07-4A29-824A-66727ED9AD4D}"/>
            </c:ext>
          </c:extLst>
        </c:ser>
        <c:ser>
          <c:idx val="9"/>
          <c:order val="9"/>
          <c:tx>
            <c:strRef>
              <c:f>Sheet1!$K$1</c:f>
              <c:strCache>
                <c:ptCount val="1"/>
                <c:pt idx="0">
                  <c:v>Consumer Organisation</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Sheet1!$K$2</c:f>
              <c:numCache>
                <c:formatCode>General</c:formatCode>
                <c:ptCount val="1"/>
                <c:pt idx="0">
                  <c:v>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9-BE07-4A29-824A-66727ED9AD4D}"/>
            </c:ext>
          </c:extLst>
        </c:ser>
        <c:ser>
          <c:idx val="10"/>
          <c:order val="10"/>
          <c:tx>
            <c:strRef>
              <c:f>Sheet1!$L$1</c:f>
              <c:strCache>
                <c:ptCount val="1"/>
                <c:pt idx="0">
                  <c:v>Environmental Organisation</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count</c:v>
                </c:pt>
              </c:strCache>
            </c:strRef>
          </c:cat>
          <c:val>
            <c:numRef>
              <c:f>Sheet1!$L$2</c:f>
              <c:numCache>
                <c:formatCode>General</c:formatCode>
                <c:ptCount val="1"/>
                <c:pt idx="0">
                  <c:v>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A-BE07-4A29-824A-66727ED9AD4D}"/>
            </c:ext>
          </c:extLst>
        </c:ser>
        <c:dLbls>
          <c:dLblPos val="outEnd"/>
          <c:showLegendKey val="0"/>
          <c:showVal val="1"/>
          <c:showCatName val="0"/>
          <c:showSerName val="0"/>
          <c:showPercent val="0"/>
          <c:showBubbleSize val="0"/>
        </c:dLbls>
        <c:gapWidth val="219"/>
        <c:overlap val="-27"/>
        <c:axId val="62752656"/>
        <c:axId val="62753136"/>
      </c:barChart>
      <c:catAx>
        <c:axId val="62752656"/>
        <c:scaling>
          <c:orientation val="minMax"/>
        </c:scaling>
        <c:delete val="1"/>
        <c:axPos val="b"/>
        <c:numFmt formatCode="General" sourceLinked="1"/>
        <c:majorTickMark val="none"/>
        <c:minorTickMark val="none"/>
        <c:tickLblPos val="nextTo"/>
        <c:crossAx val="62753136"/>
        <c:crosses val="autoZero"/>
        <c:auto val="1"/>
        <c:lblAlgn val="ctr"/>
        <c:lblOffset val="100"/>
        <c:noMultiLvlLbl val="0"/>
      </c:catAx>
      <c:valAx>
        <c:axId val="62753136"/>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52656"/>
        <c:crosses val="autoZero"/>
        <c:crossBetween val="between"/>
        <c:majorUnit val="50"/>
      </c:valAx>
      <c:spPr>
        <a:noFill/>
        <a:ln>
          <a:noFill/>
        </a:ln>
        <a:effectLst/>
      </c:spPr>
    </c:plotArea>
    <c:legend>
      <c:legendPos val="r"/>
      <c:layout>
        <c:manualLayout>
          <c:xMode val="edge"/>
          <c:yMode val="edge"/>
          <c:x val="0.60973242927967342"/>
          <c:y val="1.3607049118860142E-2"/>
          <c:w val="0.37637868183143769"/>
          <c:h val="0.986392822570182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lumMod val="65000"/>
                    <a:lumOff val="35000"/>
                  </a:sysClr>
                </a:solidFill>
              </a:rPr>
              <a:t>Q3. The Commission has identified relevant challenges linked to a well-functioning single market and cooperation between national authorities. How important are these challenges?</a:t>
            </a:r>
          </a:p>
        </c:rich>
      </c:tx>
      <c:layout>
        <c:manualLayout>
          <c:xMode val="edge"/>
          <c:yMode val="edge"/>
          <c:x val="0.10638305628463107"/>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488681102362206"/>
          <c:y val="0.14203195605703928"/>
          <c:w val="0.48301254009915429"/>
          <c:h val="0.78265055785552584"/>
        </c:manualLayout>
      </c:layout>
      <c:barChart>
        <c:barDir val="bar"/>
        <c:grouping val="clustered"/>
        <c:varyColors val="0"/>
        <c:ser>
          <c:idx val="0"/>
          <c:order val="0"/>
          <c:tx>
            <c:strRef>
              <c:f>Sheet1!$B$1</c:f>
              <c:strCache>
                <c:ptCount val="1"/>
                <c:pt idx="0">
                  <c:v>+</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Challenges related to the effective protection of EU funds against illegal activity (N=656)</c:v>
                </c:pt>
                <c:pt idx="1">
                  <c:v>Addressing disparities in the digitalisation of public administration (N=651)</c:v>
                </c:pt>
                <c:pt idx="2">
                  <c:v>Harmonising Member States’ approach in addressing gaps in financing (N=652)</c:v>
                </c:pt>
                <c:pt idx="3">
                  <c:v>Optimising technical and administrative capacities for Member States (N=663)</c:v>
                </c:pt>
                <c:pt idx="4">
                  <c:v>Addressing a fragmented and complex digital environment (N=652)</c:v>
                </c:pt>
                <c:pt idx="5">
                  <c:v>Addressing differences in the interpretation of EU law (N=651)</c:v>
                </c:pt>
                <c:pt idx="6">
                  <c:v>Empowering stakeholders by addressing knowledge and data gaps (N=667)</c:v>
                </c:pt>
                <c:pt idx="7">
                  <c:v>Addressing regulatory fragmentation (N=660)</c:v>
                </c:pt>
                <c:pt idx="8">
                  <c:v>Improving collaboration and integration among Member States and Commission (N=672)</c:v>
                </c:pt>
                <c:pt idx="9">
                  <c:v>Ensuring evidence-based rulemaking, standard-setting and enforcement at EU level (N=673)</c:v>
                </c:pt>
              </c:strCache>
            </c:strRef>
          </c:cat>
          <c:val>
            <c:numRef>
              <c:f>Sheet1!$B$2:$B$11</c:f>
              <c:numCache>
                <c:formatCode>0%</c:formatCode>
                <c:ptCount val="10"/>
                <c:pt idx="0">
                  <c:v>0.69</c:v>
                </c:pt>
                <c:pt idx="1">
                  <c:v>0.7</c:v>
                </c:pt>
                <c:pt idx="2">
                  <c:v>0.71</c:v>
                </c:pt>
                <c:pt idx="3">
                  <c:v>0.77</c:v>
                </c:pt>
                <c:pt idx="4">
                  <c:v>0.79</c:v>
                </c:pt>
                <c:pt idx="5">
                  <c:v>0.8</c:v>
                </c:pt>
                <c:pt idx="6">
                  <c:v>0.81</c:v>
                </c:pt>
                <c:pt idx="7">
                  <c:v>0.82000000000000006</c:v>
                </c:pt>
                <c:pt idx="8">
                  <c:v>0.87000000000000011</c:v>
                </c:pt>
                <c:pt idx="9">
                  <c:v>0.92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DABF-41FD-B3EF-071883F20038}"/>
            </c:ext>
          </c:extLst>
        </c:ser>
        <c:dLbls>
          <c:dLblPos val="outEnd"/>
          <c:showLegendKey val="0"/>
          <c:showVal val="1"/>
          <c:showCatName val="0"/>
          <c:showSerName val="0"/>
          <c:showPercent val="0"/>
          <c:showBubbleSize val="0"/>
        </c:dLbls>
        <c:gapWidth val="182"/>
        <c:axId val="1546233296"/>
        <c:axId val="1546235216"/>
      </c:barChart>
      <c:catAx>
        <c:axId val="154623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235216"/>
        <c:crosses val="autoZero"/>
        <c:auto val="1"/>
        <c:lblAlgn val="ctr"/>
        <c:lblOffset val="100"/>
        <c:noMultiLvlLbl val="0"/>
      </c:catAx>
      <c:valAx>
        <c:axId val="1546235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233296"/>
        <c:crosses val="autoZero"/>
        <c:crossBetween val="between"/>
        <c:majorUnit val="0.2"/>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0" i="0" u="none" strike="noStrike" kern="1200" spc="0" baseline="0">
                <a:solidFill>
                  <a:sysClr val="windowText" lastClr="000000">
                    <a:lumMod val="65000"/>
                    <a:lumOff val="35000"/>
                  </a:sysClr>
                </a:solidFill>
              </a:rPr>
              <a:t>Q4. To what extent do the current policies address these challenges?</a:t>
            </a:r>
          </a:p>
        </c:rich>
      </c:tx>
      <c:layout>
        <c:manualLayout>
          <c:xMode val="edge"/>
          <c:yMode val="edge"/>
          <c:x val="0.14795129775444735"/>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5216699475065619"/>
          <c:y val="7.5038719333637011E-2"/>
          <c:w val="0.49573235637212015"/>
          <c:h val="0.79891273508166849"/>
        </c:manualLayout>
      </c:layout>
      <c:barChart>
        <c:barDir val="bar"/>
        <c:grouping val="percentStacked"/>
        <c:varyColors val="0"/>
        <c:ser>
          <c:idx val="0"/>
          <c:order val="0"/>
          <c:tx>
            <c:strRef>
              <c:f>Sheet1!$B$1</c:f>
              <c:strCache>
                <c:ptCount val="1"/>
                <c:pt idx="0">
                  <c:v>To a large extent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Addressing differences in the interpretation of EU law (N=644)</c:v>
                </c:pt>
                <c:pt idx="1">
                  <c:v>Harmonising Member States’ approach in addressing gaps in financing (N=637)</c:v>
                </c:pt>
                <c:pt idx="2">
                  <c:v>Optimising technical and administrative capacities among the Member States (N=636)</c:v>
                </c:pt>
                <c:pt idx="3">
                  <c:v>Strengthening the digitalisation of public administration (N=634)</c:v>
                </c:pt>
                <c:pt idx="4">
                  <c:v>Addressing a fragmented and complex digital environment in the EU (N=642)</c:v>
                </c:pt>
                <c:pt idx="5">
                  <c:v>Addressing regulatory fragmentation (N=644)</c:v>
                </c:pt>
                <c:pt idx="6">
                  <c:v>Ensuring evidence-based and adaptive EU rulemaking and enforcement (N=649)</c:v>
                </c:pt>
                <c:pt idx="7">
                  <c:v>Empowering stakeholders by addressing knowledge and data gaps (N=655)</c:v>
                </c:pt>
                <c:pt idx="8">
                  <c:v>Improving cooperation among Member States and with the Commission (N=654)</c:v>
                </c:pt>
              </c:strCache>
            </c:strRef>
          </c:cat>
          <c:val>
            <c:numRef>
              <c:f>Sheet1!$B$2:$B$10</c:f>
              <c:numCache>
                <c:formatCode>0%</c:formatCode>
                <c:ptCount val="9"/>
                <c:pt idx="0">
                  <c:v>0.1</c:v>
                </c:pt>
                <c:pt idx="1">
                  <c:v>7.0000000000000007E-2</c:v>
                </c:pt>
                <c:pt idx="2">
                  <c:v>0.09</c:v>
                </c:pt>
                <c:pt idx="3">
                  <c:v>0.09</c:v>
                </c:pt>
                <c:pt idx="4">
                  <c:v>0.09</c:v>
                </c:pt>
                <c:pt idx="5">
                  <c:v>0.1</c:v>
                </c:pt>
                <c:pt idx="6">
                  <c:v>0.14000000000000001</c:v>
                </c:pt>
                <c:pt idx="7">
                  <c:v>0.11</c:v>
                </c:pt>
                <c:pt idx="8">
                  <c:v>0.14000000000000001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E585-4909-BF54-396A38D8BB37}"/>
            </c:ext>
          </c:extLst>
        </c:ser>
        <c:ser>
          <c:idx val="1"/>
          <c:order val="1"/>
          <c:tx>
            <c:strRef>
              <c:f>Sheet1!$C$1</c:f>
              <c:strCache>
                <c:ptCount val="1"/>
                <c:pt idx="0">
                  <c:v>Somewhat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Addressing differences in the interpretation of EU law (N=644)</c:v>
                </c:pt>
                <c:pt idx="1">
                  <c:v>Harmonising Member States’ approach in addressing gaps in financing (N=637)</c:v>
                </c:pt>
                <c:pt idx="2">
                  <c:v>Optimising technical and administrative capacities among the Member States (N=636)</c:v>
                </c:pt>
                <c:pt idx="3">
                  <c:v>Strengthening the digitalisation of public administration (N=634)</c:v>
                </c:pt>
                <c:pt idx="4">
                  <c:v>Addressing a fragmented and complex digital environment in the EU (N=642)</c:v>
                </c:pt>
                <c:pt idx="5">
                  <c:v>Addressing regulatory fragmentation (N=644)</c:v>
                </c:pt>
                <c:pt idx="6">
                  <c:v>Ensuring evidence-based and adaptive EU rulemaking and enforcement (N=649)</c:v>
                </c:pt>
                <c:pt idx="7">
                  <c:v>Empowering stakeholders by addressing knowledge and data gaps (N=655)</c:v>
                </c:pt>
                <c:pt idx="8">
                  <c:v>Improving cooperation among Member States and with the Commission (N=654)</c:v>
                </c:pt>
              </c:strCache>
            </c:strRef>
          </c:cat>
          <c:val>
            <c:numRef>
              <c:f>Sheet1!$C$2:$C$10</c:f>
              <c:numCache>
                <c:formatCode>0%</c:formatCode>
                <c:ptCount val="9"/>
                <c:pt idx="0">
                  <c:v>0.31</c:v>
                </c:pt>
                <c:pt idx="1">
                  <c:v>0.34</c:v>
                </c:pt>
                <c:pt idx="2">
                  <c:v>0.32</c:v>
                </c:pt>
                <c:pt idx="3">
                  <c:v>0.37</c:v>
                </c:pt>
                <c:pt idx="4">
                  <c:v>0.39</c:v>
                </c:pt>
                <c:pt idx="5">
                  <c:v>0.39</c:v>
                </c:pt>
                <c:pt idx="6">
                  <c:v>0.49</c:v>
                </c:pt>
                <c:pt idx="7">
                  <c:v>0.54</c:v>
                </c:pt>
                <c:pt idx="8">
                  <c:v>0.51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E585-4909-BF54-396A38D8BB37}"/>
            </c:ext>
          </c:extLst>
        </c:ser>
        <c:ser>
          <c:idx val="2"/>
          <c:order val="2"/>
          <c:tx>
            <c:strRef>
              <c:f>Sheet1!$D$1</c:f>
              <c:strCache>
                <c:ptCount val="1"/>
                <c:pt idx="0">
                  <c:v>Very little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Addressing differences in the interpretation of EU law (N=644)</c:v>
                </c:pt>
                <c:pt idx="1">
                  <c:v>Harmonising Member States’ approach in addressing gaps in financing (N=637)</c:v>
                </c:pt>
                <c:pt idx="2">
                  <c:v>Optimising technical and administrative capacities among the Member States (N=636)</c:v>
                </c:pt>
                <c:pt idx="3">
                  <c:v>Strengthening the digitalisation of public administration (N=634)</c:v>
                </c:pt>
                <c:pt idx="4">
                  <c:v>Addressing a fragmented and complex digital environment in the EU (N=642)</c:v>
                </c:pt>
                <c:pt idx="5">
                  <c:v>Addressing regulatory fragmentation (N=644)</c:v>
                </c:pt>
                <c:pt idx="6">
                  <c:v>Ensuring evidence-based and adaptive EU rulemaking and enforcement (N=649)</c:v>
                </c:pt>
                <c:pt idx="7">
                  <c:v>Empowering stakeholders by addressing knowledge and data gaps (N=655)</c:v>
                </c:pt>
                <c:pt idx="8">
                  <c:v>Improving cooperation among Member States and with the Commission (N=654)</c:v>
                </c:pt>
              </c:strCache>
            </c:strRef>
          </c:cat>
          <c:val>
            <c:numRef>
              <c:f>Sheet1!$D$2:$D$10</c:f>
              <c:numCache>
                <c:formatCode>0%</c:formatCode>
                <c:ptCount val="9"/>
                <c:pt idx="0">
                  <c:v>0.32</c:v>
                </c:pt>
                <c:pt idx="1">
                  <c:v>0.3</c:v>
                </c:pt>
                <c:pt idx="2">
                  <c:v>0.34</c:v>
                </c:pt>
                <c:pt idx="3">
                  <c:v>0.27</c:v>
                </c:pt>
                <c:pt idx="4">
                  <c:v>0.28000000000000003</c:v>
                </c:pt>
                <c:pt idx="5">
                  <c:v>0.3</c:v>
                </c:pt>
                <c:pt idx="6">
                  <c:v>0.23</c:v>
                </c:pt>
                <c:pt idx="7">
                  <c:v>0.2</c:v>
                </c:pt>
                <c:pt idx="8">
                  <c:v>0.18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E585-4909-BF54-396A38D8BB37}"/>
            </c:ext>
          </c:extLst>
        </c:ser>
        <c:ser>
          <c:idx val="3"/>
          <c:order val="3"/>
          <c:tx>
            <c:strRef>
              <c:f>Sheet1!$E$1</c:f>
              <c:strCache>
                <c:ptCount val="1"/>
                <c:pt idx="0">
                  <c:v>Not at all</c:v>
                </c:pt>
              </c:strCache>
            </c:strRef>
          </c:tx>
          <c:spPr>
            <a:solidFill>
              <a:schemeClr val="accent6">
                <a:lumMod val="60000"/>
              </a:schemeClr>
            </a:solidFill>
            <a:ln>
              <a:noFill/>
            </a:ln>
            <a:effectLst/>
          </c:spPr>
          <c:invertIfNegative val="0"/>
          <c:dLbls>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E585-4909-BF54-396A38D8BB37}"/>
                </c:ext>
              </c:extLst>
            </c:dLbl>
            <c:dLbl>
              <c:idx val="7"/>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E585-4909-BF54-396A38D8BB37}"/>
                </c:ext>
              </c:extLst>
            </c:dLbl>
            <c:dLbl>
              <c:idx val="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5-E585-4909-BF54-396A38D8BB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Addressing differences in the interpretation of EU law (N=644)</c:v>
                </c:pt>
                <c:pt idx="1">
                  <c:v>Harmonising Member States’ approach in addressing gaps in financing (N=637)</c:v>
                </c:pt>
                <c:pt idx="2">
                  <c:v>Optimising technical and administrative capacities among the Member States (N=636)</c:v>
                </c:pt>
                <c:pt idx="3">
                  <c:v>Strengthening the digitalisation of public administration (N=634)</c:v>
                </c:pt>
                <c:pt idx="4">
                  <c:v>Addressing a fragmented and complex digital environment in the EU (N=642)</c:v>
                </c:pt>
                <c:pt idx="5">
                  <c:v>Addressing regulatory fragmentation (N=644)</c:v>
                </c:pt>
                <c:pt idx="6">
                  <c:v>Ensuring evidence-based and adaptive EU rulemaking and enforcement (N=649)</c:v>
                </c:pt>
                <c:pt idx="7">
                  <c:v>Empowering stakeholders by addressing knowledge and data gaps (N=655)</c:v>
                </c:pt>
                <c:pt idx="8">
                  <c:v>Improving cooperation among Member States and with the Commission (N=654)</c:v>
                </c:pt>
              </c:strCache>
            </c:strRef>
          </c:cat>
          <c:val>
            <c:numRef>
              <c:f>Sheet1!$E$2:$E$10</c:f>
              <c:numCache>
                <c:formatCode>0%</c:formatCode>
                <c:ptCount val="9"/>
                <c:pt idx="0">
                  <c:v>0.05</c:v>
                </c:pt>
                <c:pt idx="1">
                  <c:v>0.03</c:v>
                </c:pt>
                <c:pt idx="2">
                  <c:v>0.05</c:v>
                </c:pt>
                <c:pt idx="3">
                  <c:v>0.04</c:v>
                </c:pt>
                <c:pt idx="4">
                  <c:v>0.05</c:v>
                </c:pt>
                <c:pt idx="5">
                  <c:v>0.06</c:v>
                </c:pt>
                <c:pt idx="6">
                  <c:v>0.02</c:v>
                </c:pt>
                <c:pt idx="7">
                  <c:v>0.01</c:v>
                </c:pt>
                <c:pt idx="8">
                  <c:v>0.02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6-E585-4909-BF54-396A38D8BB37}"/>
            </c:ext>
          </c:extLst>
        </c:ser>
        <c:ser>
          <c:idx val="4"/>
          <c:order val="4"/>
          <c:tx>
            <c:strRef>
              <c:f>Sheet1!$F$1</c:f>
              <c:strCache>
                <c:ptCount val="1"/>
                <c:pt idx="0">
                  <c:v>Don't know/not applicable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Addressing differences in the interpretation of EU law (N=644)</c:v>
                </c:pt>
                <c:pt idx="1">
                  <c:v>Harmonising Member States’ approach in addressing gaps in financing (N=637)</c:v>
                </c:pt>
                <c:pt idx="2">
                  <c:v>Optimising technical and administrative capacities among the Member States (N=636)</c:v>
                </c:pt>
                <c:pt idx="3">
                  <c:v>Strengthening the digitalisation of public administration (N=634)</c:v>
                </c:pt>
                <c:pt idx="4">
                  <c:v>Addressing a fragmented and complex digital environment in the EU (N=642)</c:v>
                </c:pt>
                <c:pt idx="5">
                  <c:v>Addressing regulatory fragmentation (N=644)</c:v>
                </c:pt>
                <c:pt idx="6">
                  <c:v>Ensuring evidence-based and adaptive EU rulemaking and enforcement (N=649)</c:v>
                </c:pt>
                <c:pt idx="7">
                  <c:v>Empowering stakeholders by addressing knowledge and data gaps (N=655)</c:v>
                </c:pt>
                <c:pt idx="8">
                  <c:v>Improving cooperation among Member States and with the Commission (N=654)</c:v>
                </c:pt>
              </c:strCache>
            </c:strRef>
          </c:cat>
          <c:val>
            <c:numRef>
              <c:f>Sheet1!$F$2:$F$10</c:f>
              <c:numCache>
                <c:formatCode>0%</c:formatCode>
                <c:ptCount val="9"/>
                <c:pt idx="0">
                  <c:v>0.23</c:v>
                </c:pt>
                <c:pt idx="1">
                  <c:v>0.26</c:v>
                </c:pt>
                <c:pt idx="2">
                  <c:v>0.2</c:v>
                </c:pt>
                <c:pt idx="3">
                  <c:v>0.23</c:v>
                </c:pt>
                <c:pt idx="4">
                  <c:v>0.19</c:v>
                </c:pt>
                <c:pt idx="5">
                  <c:v>0.14000000000000001</c:v>
                </c:pt>
                <c:pt idx="6">
                  <c:v>0.12</c:v>
                </c:pt>
                <c:pt idx="7">
                  <c:v>0.14000000000000001</c:v>
                </c:pt>
                <c:pt idx="8">
                  <c:v>0.16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7-E585-4909-BF54-396A38D8BB37}"/>
            </c:ext>
          </c:extLst>
        </c:ser>
        <c:dLbls>
          <c:dLblPos val="ctr"/>
          <c:showLegendKey val="0"/>
          <c:showVal val="1"/>
          <c:showCatName val="0"/>
          <c:showSerName val="0"/>
          <c:showPercent val="0"/>
          <c:showBubbleSize val="0"/>
        </c:dLbls>
        <c:gapWidth val="135"/>
        <c:overlap val="100"/>
        <c:axId val="146832287"/>
        <c:axId val="146817407"/>
      </c:barChart>
      <c:catAx>
        <c:axId val="146832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17407"/>
        <c:crosses val="autoZero"/>
        <c:auto val="1"/>
        <c:lblAlgn val="ctr"/>
        <c:lblOffset val="100"/>
        <c:noMultiLvlLbl val="0"/>
      </c:catAx>
      <c:valAx>
        <c:axId val="146817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32287"/>
        <c:crosses val="autoZero"/>
        <c:crossBetween val="between"/>
        <c:majorUnit val="0.2"/>
      </c:valAx>
      <c:spPr>
        <a:noFill/>
        <a:ln>
          <a:noFill/>
        </a:ln>
        <a:effectLst/>
      </c:spPr>
    </c:plotArea>
    <c:legend>
      <c:legendPos val="b"/>
      <c:layout>
        <c:manualLayout>
          <c:xMode val="edge"/>
          <c:yMode val="edge"/>
          <c:x val="5.6944444444444443E-2"/>
          <c:y val="0.94662562634216174"/>
          <c:w val="0.9"/>
          <c:h val="5.27257109390251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Score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6. Possibility to support a wide variety of beneficiaries in public administrations at different levels</c:v>
                </c:pt>
                <c:pt idx="1">
                  <c:v>5. Assist Member States in identifying the areas where technical support would be more impactful, taking into account national and EU priorities</c:v>
                </c:pt>
                <c:pt idx="2">
                  <c:v>4. Flexibility to address a wide variety of needs from Member States</c:v>
                </c:pt>
                <c:pt idx="3">
                  <c:v>3. Sustainability of actions over time</c:v>
                </c:pt>
                <c:pt idx="4">
                  <c:v>2. Focus on key EU priorities where they bring more EU added value</c:v>
                </c:pt>
                <c:pt idx="5">
                  <c:v>1. Predictability of the programming associated with investments financed by the EU</c:v>
                </c:pt>
              </c:strCache>
            </c:strRef>
          </c:cat>
          <c:val>
            <c:numRef>
              <c:f>Sheet1!$B$2:$B$7</c:f>
              <c:numCache>
                <c:formatCode>General</c:formatCode>
                <c:ptCount val="6"/>
                <c:pt idx="0">
                  <c:v>130</c:v>
                </c:pt>
                <c:pt idx="1">
                  <c:v>286</c:v>
                </c:pt>
                <c:pt idx="2">
                  <c:v>451</c:v>
                </c:pt>
                <c:pt idx="3">
                  <c:v>473</c:v>
                </c:pt>
                <c:pt idx="4">
                  <c:v>631</c:v>
                </c:pt>
                <c:pt idx="5">
                  <c:v>639</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ED6A-4BE4-845C-B27DD8D5543C}"/>
            </c:ext>
          </c:extLst>
        </c:ser>
        <c:dLbls>
          <c:dLblPos val="outEnd"/>
          <c:showLegendKey val="0"/>
          <c:showVal val="1"/>
          <c:showCatName val="0"/>
          <c:showSerName val="0"/>
          <c:showPercent val="0"/>
          <c:showBubbleSize val="0"/>
        </c:dLbls>
        <c:gapWidth val="182"/>
        <c:axId val="65916000"/>
        <c:axId val="65908320"/>
      </c:barChart>
      <c:catAx>
        <c:axId val="6591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08320"/>
        <c:crosses val="autoZero"/>
        <c:auto val="1"/>
        <c:lblAlgn val="ctr"/>
        <c:lblOffset val="100"/>
        <c:noMultiLvlLbl val="0"/>
      </c:catAx>
      <c:valAx>
        <c:axId val="65908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16000"/>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Q5. To what extent do you see the following as obstacles to the EU budget achieving its objectives?</a:t>
            </a:r>
          </a:p>
        </c:rich>
      </c:tx>
      <c:layout>
        <c:manualLayout>
          <c:xMode val="edge"/>
          <c:yMode val="edge"/>
          <c:x val="0.14324074074074075"/>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367125984251967"/>
          <c:y val="9.5953348648171052E-2"/>
          <c:w val="0.49649368914209957"/>
          <c:h val="0.79473572165027362"/>
        </c:manualLayout>
      </c:layout>
      <c:barChart>
        <c:barDir val="bar"/>
        <c:grouping val="percentStacked"/>
        <c:varyColors val="0"/>
        <c:ser>
          <c:idx val="0"/>
          <c:order val="0"/>
          <c:tx>
            <c:strRef>
              <c:f>Sheet1!$B$1</c:f>
              <c:strCache>
                <c:ptCount val="1"/>
                <c:pt idx="0">
                  <c:v>To a large extent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Fraud, corruption and other illegal activities affecting the EU’s financial interests (N=643)</c:v>
                </c:pt>
                <c:pt idx="1">
                  <c:v>Insufficient alignment with national policies (N=654)</c:v>
                </c:pt>
                <c:pt idx="2">
                  <c:v>National regulatory environment makes EU funding less effective (N=643)</c:v>
                </c:pt>
                <c:pt idx="3">
                  <c:v>Focus is on reimbursing costs rather than on achieving results (N=653)</c:v>
                </c:pt>
                <c:pt idx="4">
                  <c:v>Too many programmes with overlapping policy goals (N=669)</c:v>
                </c:pt>
                <c:pt idx="5">
                  <c:v>Lack of flexibility to adapt to new and unforeseen developments (N=662)</c:v>
                </c:pt>
                <c:pt idx="6">
                  <c:v>Lack of coordination or synergies between programmes (N=667)</c:v>
                </c:pt>
                <c:pt idx="7">
                  <c:v>Administrative capacity at national, regional and regional level (N=650)</c:v>
                </c:pt>
                <c:pt idx="8">
                  <c:v>Different and often complex fund-specific rules on access to funding and compliance (N=660)</c:v>
                </c:pt>
                <c:pt idx="9">
                  <c:v>Administrative burden for beneficiaries, regional and national authorities (N=657)</c:v>
                </c:pt>
              </c:strCache>
            </c:strRef>
          </c:cat>
          <c:val>
            <c:numRef>
              <c:f>Sheet1!$B$2:$B$11</c:f>
              <c:numCache>
                <c:formatCode>0%</c:formatCode>
                <c:ptCount val="10"/>
                <c:pt idx="0">
                  <c:v>0.15</c:v>
                </c:pt>
                <c:pt idx="1">
                  <c:v>0.15</c:v>
                </c:pt>
                <c:pt idx="2">
                  <c:v>0.22</c:v>
                </c:pt>
                <c:pt idx="3">
                  <c:v>0.26</c:v>
                </c:pt>
                <c:pt idx="4">
                  <c:v>0.17</c:v>
                </c:pt>
                <c:pt idx="5">
                  <c:v>0.33</c:v>
                </c:pt>
                <c:pt idx="6">
                  <c:v>0.36</c:v>
                </c:pt>
                <c:pt idx="7">
                  <c:v>0.38</c:v>
                </c:pt>
                <c:pt idx="8">
                  <c:v>0.54</c:v>
                </c:pt>
                <c:pt idx="9">
                  <c:v>0.54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A6DB-4077-AE1F-25EAF91DF9F3}"/>
            </c:ext>
          </c:extLst>
        </c:ser>
        <c:ser>
          <c:idx val="1"/>
          <c:order val="1"/>
          <c:tx>
            <c:strRef>
              <c:f>Sheet1!$C$1</c:f>
              <c:strCache>
                <c:ptCount val="1"/>
                <c:pt idx="0">
                  <c:v>Somewhat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Fraud, corruption and other illegal activities affecting the EU’s financial interests (N=643)</c:v>
                </c:pt>
                <c:pt idx="1">
                  <c:v>Insufficient alignment with national policies (N=654)</c:v>
                </c:pt>
                <c:pt idx="2">
                  <c:v>National regulatory environment makes EU funding less effective (N=643)</c:v>
                </c:pt>
                <c:pt idx="3">
                  <c:v>Focus is on reimbursing costs rather than on achieving results (N=653)</c:v>
                </c:pt>
                <c:pt idx="4">
                  <c:v>Too many programmes with overlapping policy goals (N=669)</c:v>
                </c:pt>
                <c:pt idx="5">
                  <c:v>Lack of flexibility to adapt to new and unforeseen developments (N=662)</c:v>
                </c:pt>
                <c:pt idx="6">
                  <c:v>Lack of coordination or synergies between programmes (N=667)</c:v>
                </c:pt>
                <c:pt idx="7">
                  <c:v>Administrative capacity at national, regional and regional level (N=650)</c:v>
                </c:pt>
                <c:pt idx="8">
                  <c:v>Different and often complex fund-specific rules on access to funding and compliance (N=660)</c:v>
                </c:pt>
                <c:pt idx="9">
                  <c:v>Administrative burden for beneficiaries, regional and national authorities (N=657)</c:v>
                </c:pt>
              </c:strCache>
            </c:strRef>
          </c:cat>
          <c:val>
            <c:numRef>
              <c:f>Sheet1!$C$2:$C$11</c:f>
              <c:numCache>
                <c:formatCode>0%</c:formatCode>
                <c:ptCount val="10"/>
                <c:pt idx="0">
                  <c:v>0.26</c:v>
                </c:pt>
                <c:pt idx="1">
                  <c:v>0.38</c:v>
                </c:pt>
                <c:pt idx="2">
                  <c:v>0.35</c:v>
                </c:pt>
                <c:pt idx="3">
                  <c:v>0.35</c:v>
                </c:pt>
                <c:pt idx="4">
                  <c:v>0.45</c:v>
                </c:pt>
                <c:pt idx="5">
                  <c:v>0.36</c:v>
                </c:pt>
                <c:pt idx="6">
                  <c:v>0.4</c:v>
                </c:pt>
                <c:pt idx="7">
                  <c:v>0.39</c:v>
                </c:pt>
                <c:pt idx="8">
                  <c:v>0.26</c:v>
                </c:pt>
                <c:pt idx="9">
                  <c:v>0.31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A6DB-4077-AE1F-25EAF91DF9F3}"/>
            </c:ext>
          </c:extLst>
        </c:ser>
        <c:ser>
          <c:idx val="2"/>
          <c:order val="2"/>
          <c:tx>
            <c:strRef>
              <c:f>Sheet1!$D$1</c:f>
              <c:strCache>
                <c:ptCount val="1"/>
                <c:pt idx="0">
                  <c:v>Very little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Fraud, corruption and other illegal activities affecting the EU’s financial interests (N=643)</c:v>
                </c:pt>
                <c:pt idx="1">
                  <c:v>Insufficient alignment with national policies (N=654)</c:v>
                </c:pt>
                <c:pt idx="2">
                  <c:v>National regulatory environment makes EU funding less effective (N=643)</c:v>
                </c:pt>
                <c:pt idx="3">
                  <c:v>Focus is on reimbursing costs rather than on achieving results (N=653)</c:v>
                </c:pt>
                <c:pt idx="4">
                  <c:v>Too many programmes with overlapping policy goals (N=669)</c:v>
                </c:pt>
                <c:pt idx="5">
                  <c:v>Lack of flexibility to adapt to new and unforeseen developments (N=662)</c:v>
                </c:pt>
                <c:pt idx="6">
                  <c:v>Lack of coordination or synergies between programmes (N=667)</c:v>
                </c:pt>
                <c:pt idx="7">
                  <c:v>Administrative capacity at national, regional and regional level (N=650)</c:v>
                </c:pt>
                <c:pt idx="8">
                  <c:v>Different and often complex fund-specific rules on access to funding and compliance (N=660)</c:v>
                </c:pt>
                <c:pt idx="9">
                  <c:v>Administrative burden for beneficiaries, regional and national authorities (N=657)</c:v>
                </c:pt>
              </c:strCache>
            </c:strRef>
          </c:cat>
          <c:val>
            <c:numRef>
              <c:f>Sheet1!$D$2:$D$11</c:f>
              <c:numCache>
                <c:formatCode>0%</c:formatCode>
                <c:ptCount val="10"/>
                <c:pt idx="0">
                  <c:v>0.24</c:v>
                </c:pt>
                <c:pt idx="1">
                  <c:v>0.2</c:v>
                </c:pt>
                <c:pt idx="2">
                  <c:v>0.16</c:v>
                </c:pt>
                <c:pt idx="3">
                  <c:v>0.17</c:v>
                </c:pt>
                <c:pt idx="4">
                  <c:v>0.19</c:v>
                </c:pt>
                <c:pt idx="5">
                  <c:v>0.19</c:v>
                </c:pt>
                <c:pt idx="6">
                  <c:v>0.1</c:v>
                </c:pt>
                <c:pt idx="7">
                  <c:v>0.09</c:v>
                </c:pt>
                <c:pt idx="8">
                  <c:v>0.11</c:v>
                </c:pt>
                <c:pt idx="9">
                  <c:v>7.0000000000000007E-2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A6DB-4077-AE1F-25EAF91DF9F3}"/>
            </c:ext>
          </c:extLst>
        </c:ser>
        <c:ser>
          <c:idx val="3"/>
          <c:order val="3"/>
          <c:tx>
            <c:strRef>
              <c:f>Sheet1!$E$1</c:f>
              <c:strCache>
                <c:ptCount val="1"/>
                <c:pt idx="0">
                  <c:v>Not at all</c:v>
                </c:pt>
              </c:strCache>
            </c:strRef>
          </c:tx>
          <c:spPr>
            <a:solidFill>
              <a:schemeClr val="accent6">
                <a:lumMod val="60000"/>
              </a:schemeClr>
            </a:solidFill>
            <a:ln>
              <a:noFill/>
            </a:ln>
            <a:effectLst/>
          </c:spPr>
          <c:invertIfNegative val="0"/>
          <c:dLbls>
            <c:dLbl>
              <c:idx val="8"/>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A6DB-4077-AE1F-25EAF91DF9F3}"/>
                </c:ext>
              </c:extLst>
            </c:dLbl>
            <c:dLbl>
              <c:idx val="9"/>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A6DB-4077-AE1F-25EAF91DF9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Fraud, corruption and other illegal activities affecting the EU’s financial interests (N=643)</c:v>
                </c:pt>
                <c:pt idx="1">
                  <c:v>Insufficient alignment with national policies (N=654)</c:v>
                </c:pt>
                <c:pt idx="2">
                  <c:v>National regulatory environment makes EU funding less effective (N=643)</c:v>
                </c:pt>
                <c:pt idx="3">
                  <c:v>Focus is on reimbursing costs rather than on achieving results (N=653)</c:v>
                </c:pt>
                <c:pt idx="4">
                  <c:v>Too many programmes with overlapping policy goals (N=669)</c:v>
                </c:pt>
                <c:pt idx="5">
                  <c:v>Lack of flexibility to adapt to new and unforeseen developments (N=662)</c:v>
                </c:pt>
                <c:pt idx="6">
                  <c:v>Lack of coordination or synergies between programmes (N=667)</c:v>
                </c:pt>
                <c:pt idx="7">
                  <c:v>Administrative capacity at national, regional and regional level (N=650)</c:v>
                </c:pt>
                <c:pt idx="8">
                  <c:v>Different and often complex fund-specific rules on access to funding and compliance (N=660)</c:v>
                </c:pt>
                <c:pt idx="9">
                  <c:v>Administrative burden for beneficiaries, regional and national authorities (N=657)</c:v>
                </c:pt>
              </c:strCache>
            </c:strRef>
          </c:cat>
          <c:val>
            <c:numRef>
              <c:f>Sheet1!$E$2:$E$11</c:f>
              <c:numCache>
                <c:formatCode>0%</c:formatCode>
                <c:ptCount val="10"/>
                <c:pt idx="0">
                  <c:v>0.08</c:v>
                </c:pt>
                <c:pt idx="1">
                  <c:v>0.11</c:v>
                </c:pt>
                <c:pt idx="2">
                  <c:v>0.06</c:v>
                </c:pt>
                <c:pt idx="3">
                  <c:v>0.09</c:v>
                </c:pt>
                <c:pt idx="4">
                  <c:v>0.1</c:v>
                </c:pt>
                <c:pt idx="5">
                  <c:v>0.04</c:v>
                </c:pt>
                <c:pt idx="6">
                  <c:v>0.05</c:v>
                </c:pt>
                <c:pt idx="7">
                  <c:v>0.04</c:v>
                </c:pt>
                <c:pt idx="8">
                  <c:v>0</c:v>
                </c:pt>
                <c:pt idx="9">
                  <c:v>0.01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5-A6DB-4077-AE1F-25EAF91DF9F3}"/>
            </c:ext>
          </c:extLst>
        </c:ser>
        <c:ser>
          <c:idx val="4"/>
          <c:order val="4"/>
          <c:tx>
            <c:strRef>
              <c:f>Sheet1!$F$1</c:f>
              <c:strCache>
                <c:ptCount val="1"/>
                <c:pt idx="0">
                  <c:v>Don't know/not applicable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Fraud, corruption and other illegal activities affecting the EU’s financial interests (N=643)</c:v>
                </c:pt>
                <c:pt idx="1">
                  <c:v>Insufficient alignment with national policies (N=654)</c:v>
                </c:pt>
                <c:pt idx="2">
                  <c:v>National regulatory environment makes EU funding less effective (N=643)</c:v>
                </c:pt>
                <c:pt idx="3">
                  <c:v>Focus is on reimbursing costs rather than on achieving results (N=653)</c:v>
                </c:pt>
                <c:pt idx="4">
                  <c:v>Too many programmes with overlapping policy goals (N=669)</c:v>
                </c:pt>
                <c:pt idx="5">
                  <c:v>Lack of flexibility to adapt to new and unforeseen developments (N=662)</c:v>
                </c:pt>
                <c:pt idx="6">
                  <c:v>Lack of coordination or synergies between programmes (N=667)</c:v>
                </c:pt>
                <c:pt idx="7">
                  <c:v>Administrative capacity at national, regional and regional level (N=650)</c:v>
                </c:pt>
                <c:pt idx="8">
                  <c:v>Different and often complex fund-specific rules on access to funding and compliance (N=660)</c:v>
                </c:pt>
                <c:pt idx="9">
                  <c:v>Administrative burden for beneficiaries, regional and national authorities (N=657)</c:v>
                </c:pt>
              </c:strCache>
            </c:strRef>
          </c:cat>
          <c:val>
            <c:numRef>
              <c:f>Sheet1!$F$2:$F$11</c:f>
              <c:numCache>
                <c:formatCode>0%</c:formatCode>
                <c:ptCount val="10"/>
                <c:pt idx="0">
                  <c:v>0.26</c:v>
                </c:pt>
                <c:pt idx="1">
                  <c:v>0.16</c:v>
                </c:pt>
                <c:pt idx="2">
                  <c:v>0.21</c:v>
                </c:pt>
                <c:pt idx="3">
                  <c:v>0.13</c:v>
                </c:pt>
                <c:pt idx="4">
                  <c:v>0.09</c:v>
                </c:pt>
                <c:pt idx="5">
                  <c:v>7.0000000000000007E-2</c:v>
                </c:pt>
                <c:pt idx="6">
                  <c:v>0.08</c:v>
                </c:pt>
                <c:pt idx="7">
                  <c:v>0.1</c:v>
                </c:pt>
                <c:pt idx="8">
                  <c:v>0.08</c:v>
                </c:pt>
                <c:pt idx="9">
                  <c:v>7.0000000000000007E-2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6-A6DB-4077-AE1F-25EAF91DF9F3}"/>
            </c:ext>
          </c:extLst>
        </c:ser>
        <c:dLbls>
          <c:dLblPos val="ctr"/>
          <c:showLegendKey val="0"/>
          <c:showVal val="1"/>
          <c:showCatName val="0"/>
          <c:showSerName val="0"/>
          <c:showPercent val="0"/>
          <c:showBubbleSize val="0"/>
        </c:dLbls>
        <c:gapWidth val="150"/>
        <c:overlap val="100"/>
        <c:axId val="1687226832"/>
        <c:axId val="1697513680"/>
      </c:barChart>
      <c:catAx>
        <c:axId val="168722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7513680"/>
        <c:crosses val="autoZero"/>
        <c:auto val="1"/>
        <c:lblAlgn val="ctr"/>
        <c:lblOffset val="100"/>
        <c:noMultiLvlLbl val="0"/>
      </c:catAx>
      <c:valAx>
        <c:axId val="1697513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226832"/>
        <c:crosses val="autoZero"/>
        <c:crossBetween val="between"/>
        <c:majorUnit val="0.2"/>
      </c:valAx>
      <c:spPr>
        <a:noFill/>
        <a:ln>
          <a:noFill/>
        </a:ln>
        <a:effectLst/>
      </c:spPr>
    </c:plotArea>
    <c:legend>
      <c:legendPos val="b"/>
      <c:layout>
        <c:manualLayout>
          <c:xMode val="edge"/>
          <c:yMode val="edge"/>
          <c:x val="5.000000000000001E-2"/>
          <c:y val="0.95084493657236124"/>
          <c:w val="0.9"/>
          <c:h val="4.57661338012197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b="0" i="0" u="none" strike="noStrike" kern="1200" spc="0" baseline="0">
                <a:solidFill>
                  <a:sysClr val="windowText" lastClr="000000">
                    <a:lumMod val="65000"/>
                    <a:lumOff val="35000"/>
                  </a:sysClr>
                </a:solidFill>
              </a:rPr>
              <a:t>Q6. To what extent do you agree that the following options could help the EU budget become more effective and efficient?</a:t>
            </a:r>
          </a:p>
        </c:rich>
      </c:tx>
      <c:layout>
        <c:manualLayout>
          <c:xMode val="edge"/>
          <c:yMode val="edge"/>
          <c:x val="0.12015037182852144"/>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75832968795567"/>
          <c:y val="0.11567460317460318"/>
          <c:w val="0.47031605424321959"/>
          <c:h val="0.749684414448194"/>
        </c:manualLayout>
      </c:layout>
      <c:barChart>
        <c:barDir val="bar"/>
        <c:grouping val="percentStacked"/>
        <c:varyColors val="0"/>
        <c:ser>
          <c:idx val="0"/>
          <c:order val="0"/>
          <c:tx>
            <c:strRef>
              <c:f>Sheet1!$B$1</c:f>
              <c:strCache>
                <c:ptCount val="1"/>
                <c:pt idx="0">
                  <c:v>To a large extent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Reducing the number of EU funding programmes (N=664)</c:v>
                </c:pt>
                <c:pt idx="1">
                  <c:v>Place greater focus on achieving results, incl. via performance-based funding (N=651)</c:v>
                </c:pt>
                <c:pt idx="2">
                  <c:v>Introduce more flexibility into resource allocation to react to crises and emerging needs (N=652)</c:v>
                </c:pt>
                <c:pt idx="3">
                  <c:v>Use funds to promote both reforms and investments (N=653)</c:v>
                </c:pt>
                <c:pt idx="4">
                  <c:v>Applying common rules, timelines and eligibility criteria to all relevant EU funds (N=668)</c:v>
                </c:pt>
                <c:pt idx="5">
                  <c:v>Fewer, clearer and simpler rules (N=667)</c:v>
                </c:pt>
                <c:pt idx="6">
                  <c:v>Simplifying access to and information about funding for beneficiaries (N=654)</c:v>
                </c:pt>
              </c:strCache>
            </c:strRef>
          </c:cat>
          <c:val>
            <c:numRef>
              <c:f>Sheet1!$B$2:$B$8</c:f>
              <c:numCache>
                <c:formatCode>0%</c:formatCode>
                <c:ptCount val="7"/>
                <c:pt idx="0">
                  <c:v>0.15</c:v>
                </c:pt>
                <c:pt idx="1">
                  <c:v>0.41</c:v>
                </c:pt>
                <c:pt idx="2">
                  <c:v>0.36</c:v>
                </c:pt>
                <c:pt idx="3">
                  <c:v>0.39</c:v>
                </c:pt>
                <c:pt idx="4">
                  <c:v>0.46</c:v>
                </c:pt>
                <c:pt idx="5">
                  <c:v>0.73</c:v>
                </c:pt>
                <c:pt idx="6">
                  <c:v>0.64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E82D-4463-909A-20DCA05DC758}"/>
            </c:ext>
          </c:extLst>
        </c:ser>
        <c:ser>
          <c:idx val="1"/>
          <c:order val="1"/>
          <c:tx>
            <c:strRef>
              <c:f>Sheet1!$C$1</c:f>
              <c:strCache>
                <c:ptCount val="1"/>
                <c:pt idx="0">
                  <c:v>Somewhat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Reducing the number of EU funding programmes (N=664)</c:v>
                </c:pt>
                <c:pt idx="1">
                  <c:v>Place greater focus on achieving results, incl. via performance-based funding (N=651)</c:v>
                </c:pt>
                <c:pt idx="2">
                  <c:v>Introduce more flexibility into resource allocation to react to crises and emerging needs (N=652)</c:v>
                </c:pt>
                <c:pt idx="3">
                  <c:v>Use funds to promote both reforms and investments (N=653)</c:v>
                </c:pt>
                <c:pt idx="4">
                  <c:v>Applying common rules, timelines and eligibility criteria to all relevant EU funds (N=668)</c:v>
                </c:pt>
                <c:pt idx="5">
                  <c:v>Fewer, clearer and simpler rules (N=667)</c:v>
                </c:pt>
                <c:pt idx="6">
                  <c:v>Simplifying access to and information about funding for beneficiaries (N=654)</c:v>
                </c:pt>
              </c:strCache>
            </c:strRef>
          </c:cat>
          <c:val>
            <c:numRef>
              <c:f>Sheet1!$C$2:$C$8</c:f>
              <c:numCache>
                <c:formatCode>0%</c:formatCode>
                <c:ptCount val="7"/>
                <c:pt idx="0">
                  <c:v>0.31</c:v>
                </c:pt>
                <c:pt idx="1">
                  <c:v>0.31</c:v>
                </c:pt>
                <c:pt idx="2">
                  <c:v>0.37</c:v>
                </c:pt>
                <c:pt idx="3">
                  <c:v>0.34</c:v>
                </c:pt>
                <c:pt idx="4">
                  <c:v>0.31</c:v>
                </c:pt>
                <c:pt idx="5">
                  <c:v>0.16</c:v>
                </c:pt>
                <c:pt idx="6">
                  <c:v>0.26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E82D-4463-909A-20DCA05DC758}"/>
            </c:ext>
          </c:extLst>
        </c:ser>
        <c:ser>
          <c:idx val="2"/>
          <c:order val="2"/>
          <c:tx>
            <c:strRef>
              <c:f>Sheet1!$D$1</c:f>
              <c:strCache>
                <c:ptCount val="1"/>
                <c:pt idx="0">
                  <c:v>Very little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Reducing the number of EU funding programmes (N=664)</c:v>
                </c:pt>
                <c:pt idx="1">
                  <c:v>Place greater focus on achieving results, incl. via performance-based funding (N=651)</c:v>
                </c:pt>
                <c:pt idx="2">
                  <c:v>Introduce more flexibility into resource allocation to react to crises and emerging needs (N=652)</c:v>
                </c:pt>
                <c:pt idx="3">
                  <c:v>Use funds to promote both reforms and investments (N=653)</c:v>
                </c:pt>
                <c:pt idx="4">
                  <c:v>Applying common rules, timelines and eligibility criteria to all relevant EU funds (N=668)</c:v>
                </c:pt>
                <c:pt idx="5">
                  <c:v>Fewer, clearer and simpler rules (N=667)</c:v>
                </c:pt>
                <c:pt idx="6">
                  <c:v>Simplifying access to and information about funding for beneficiaries (N=654)</c:v>
                </c:pt>
              </c:strCache>
            </c:strRef>
          </c:cat>
          <c:val>
            <c:numRef>
              <c:f>Sheet1!$D$2:$D$8</c:f>
              <c:numCache>
                <c:formatCode>0%</c:formatCode>
                <c:ptCount val="7"/>
                <c:pt idx="0">
                  <c:v>0.22</c:v>
                </c:pt>
                <c:pt idx="1">
                  <c:v>0.13</c:v>
                </c:pt>
                <c:pt idx="2">
                  <c:v>0.15</c:v>
                </c:pt>
                <c:pt idx="3">
                  <c:v>0.12</c:v>
                </c:pt>
                <c:pt idx="4">
                  <c:v>0.09</c:v>
                </c:pt>
                <c:pt idx="5">
                  <c:v>0.06</c:v>
                </c:pt>
                <c:pt idx="6">
                  <c:v>0.06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E82D-4463-909A-20DCA05DC758}"/>
            </c:ext>
          </c:extLst>
        </c:ser>
        <c:ser>
          <c:idx val="3"/>
          <c:order val="3"/>
          <c:tx>
            <c:strRef>
              <c:f>Sheet1!$E$1</c:f>
              <c:strCache>
                <c:ptCount val="1"/>
                <c:pt idx="0">
                  <c:v>Not at all</c:v>
                </c:pt>
              </c:strCache>
            </c:strRef>
          </c:tx>
          <c:spPr>
            <a:solidFill>
              <a:schemeClr val="accent6">
                <a:lumMod val="60000"/>
              </a:schemeClr>
            </a:solidFill>
            <a:ln>
              <a:noFill/>
            </a:ln>
            <a:effectLst/>
          </c:spPr>
          <c:invertIfNegative val="0"/>
          <c:dLbls>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E82D-4463-909A-20DCA05DC758}"/>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4-E82D-4463-909A-20DCA05DC7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Reducing the number of EU funding programmes (N=664)</c:v>
                </c:pt>
                <c:pt idx="1">
                  <c:v>Place greater focus on achieving results, incl. via performance-based funding (N=651)</c:v>
                </c:pt>
                <c:pt idx="2">
                  <c:v>Introduce more flexibility into resource allocation to react to crises and emerging needs (N=652)</c:v>
                </c:pt>
                <c:pt idx="3">
                  <c:v>Use funds to promote both reforms and investments (N=653)</c:v>
                </c:pt>
                <c:pt idx="4">
                  <c:v>Applying common rules, timelines and eligibility criteria to all relevant EU funds (N=668)</c:v>
                </c:pt>
                <c:pt idx="5">
                  <c:v>Fewer, clearer and simpler rules (N=667)</c:v>
                </c:pt>
                <c:pt idx="6">
                  <c:v>Simplifying access to and information about funding for beneficiaries (N=654)</c:v>
                </c:pt>
              </c:strCache>
            </c:strRef>
          </c:cat>
          <c:val>
            <c:numRef>
              <c:f>Sheet1!$E$2:$E$8</c:f>
              <c:numCache>
                <c:formatCode>0%</c:formatCode>
                <c:ptCount val="7"/>
                <c:pt idx="0">
                  <c:v>0.24</c:v>
                </c:pt>
                <c:pt idx="1">
                  <c:v>7.0000000000000007E-2</c:v>
                </c:pt>
                <c:pt idx="2">
                  <c:v>0.05</c:v>
                </c:pt>
                <c:pt idx="3">
                  <c:v>0.06</c:v>
                </c:pt>
                <c:pt idx="4">
                  <c:v>0.08</c:v>
                </c:pt>
                <c:pt idx="5">
                  <c:v>0.01</c:v>
                </c:pt>
                <c:pt idx="6">
                  <c:v>0.01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5-E82D-4463-909A-20DCA05DC758}"/>
            </c:ext>
          </c:extLst>
        </c:ser>
        <c:ser>
          <c:idx val="4"/>
          <c:order val="4"/>
          <c:tx>
            <c:strRef>
              <c:f>Sheet1!$F$1</c:f>
              <c:strCache>
                <c:ptCount val="1"/>
                <c:pt idx="0">
                  <c:v>Don't know/not applicable</c:v>
                </c:pt>
              </c:strCache>
            </c:strRef>
          </c:tx>
          <c:spPr>
            <a:solidFill>
              <a:schemeClr val="accent5">
                <a:lumMod val="60000"/>
              </a:schemeClr>
            </a:solidFill>
            <a:ln>
              <a:noFill/>
            </a:ln>
            <a:effectLst/>
          </c:spPr>
          <c:invertIfNegative val="0"/>
          <c:dLbls>
            <c:dLbl>
              <c:idx val="5"/>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6-E82D-4463-909A-20DCA05DC758}"/>
                </c:ext>
              </c:extLst>
            </c:dLbl>
            <c:dLbl>
              <c:idx val="6"/>
              <c:delete val="1"/>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7-E82D-4463-909A-20DCA05DC7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Reducing the number of EU funding programmes (N=664)</c:v>
                </c:pt>
                <c:pt idx="1">
                  <c:v>Place greater focus on achieving results, incl. via performance-based funding (N=651)</c:v>
                </c:pt>
                <c:pt idx="2">
                  <c:v>Introduce more flexibility into resource allocation to react to crises and emerging needs (N=652)</c:v>
                </c:pt>
                <c:pt idx="3">
                  <c:v>Use funds to promote both reforms and investments (N=653)</c:v>
                </c:pt>
                <c:pt idx="4">
                  <c:v>Applying common rules, timelines and eligibility criteria to all relevant EU funds (N=668)</c:v>
                </c:pt>
                <c:pt idx="5">
                  <c:v>Fewer, clearer and simpler rules (N=667)</c:v>
                </c:pt>
                <c:pt idx="6">
                  <c:v>Simplifying access to and information about funding for beneficiaries (N=654)</c:v>
                </c:pt>
              </c:strCache>
            </c:strRef>
          </c:cat>
          <c:val>
            <c:numRef>
              <c:f>Sheet1!$F$2:$F$8</c:f>
              <c:numCache>
                <c:formatCode>0%</c:formatCode>
                <c:ptCount val="7"/>
                <c:pt idx="0">
                  <c:v>0.08</c:v>
                </c:pt>
                <c:pt idx="1">
                  <c:v>0.08</c:v>
                </c:pt>
                <c:pt idx="2">
                  <c:v>7.0000000000000007E-2</c:v>
                </c:pt>
                <c:pt idx="3">
                  <c:v>0.09</c:v>
                </c:pt>
                <c:pt idx="4">
                  <c:v>0.06</c:v>
                </c:pt>
                <c:pt idx="5">
                  <c:v>0.03</c:v>
                </c:pt>
                <c:pt idx="6">
                  <c:v>0.04</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8-E82D-4463-909A-20DCA05DC758}"/>
            </c:ext>
          </c:extLst>
        </c:ser>
        <c:dLbls>
          <c:dLblPos val="ctr"/>
          <c:showLegendKey val="0"/>
          <c:showVal val="1"/>
          <c:showCatName val="0"/>
          <c:showSerName val="0"/>
          <c:showPercent val="0"/>
          <c:showBubbleSize val="0"/>
        </c:dLbls>
        <c:gapWidth val="150"/>
        <c:overlap val="100"/>
        <c:axId val="1291758063"/>
        <c:axId val="1291749903"/>
      </c:barChart>
      <c:catAx>
        <c:axId val="1291758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1749903"/>
        <c:crosses val="autoZero"/>
        <c:auto val="1"/>
        <c:lblAlgn val="ctr"/>
        <c:lblOffset val="100"/>
        <c:noMultiLvlLbl val="0"/>
      </c:catAx>
      <c:valAx>
        <c:axId val="12917499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1758063"/>
        <c:crosses val="autoZero"/>
        <c:crossBetween val="between"/>
        <c:majorUnit val="0.2"/>
      </c:valAx>
      <c:spPr>
        <a:noFill/>
        <a:ln>
          <a:noFill/>
        </a:ln>
        <a:effectLst/>
      </c:spPr>
    </c:plotArea>
    <c:legend>
      <c:legendPos val="b"/>
      <c:layout>
        <c:manualLayout>
          <c:xMode val="edge"/>
          <c:yMode val="edge"/>
          <c:x val="5.2314814814814814E-2"/>
          <c:y val="0.93670822397200337"/>
          <c:w val="0.9"/>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Q7. The Commission has identified the following intervention areas. How important are these to you?</a:t>
            </a:r>
          </a:p>
        </c:rich>
      </c:tx>
      <c:layout>
        <c:manualLayout>
          <c:xMode val="edge"/>
          <c:yMode val="edge"/>
          <c:x val="0.12131769609802767"/>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28898940399136"/>
          <c:y val="9.3155868658693394E-2"/>
          <c:w val="0.48575247831613749"/>
          <c:h val="0.80721840412648094"/>
        </c:manualLayout>
      </c:layout>
      <c:barChart>
        <c:barDir val="bar"/>
        <c:grouping val="percentStacked"/>
        <c:varyColors val="0"/>
        <c:ser>
          <c:idx val="0"/>
          <c:order val="0"/>
          <c:tx>
            <c:strRef>
              <c:f>Sheet1!$B$1</c:f>
              <c:strCache>
                <c:ptCount val="1"/>
                <c:pt idx="0">
                  <c:v>Very important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Upgrading EU customs with common governance and powerful central digital solutions (N=639)</c:v>
                </c:pt>
                <c:pt idx="1">
                  <c:v>Supporting the development, production and dissemination of European data (N=646)</c:v>
                </c:pt>
                <c:pt idx="2">
                  <c:v>Supporting EU economic security through a customs union acting as one (N=641)</c:v>
                </c:pt>
                <c:pt idx="3">
                  <c:v>Supporting fair taxation and reducing the tax gap (N=641)</c:v>
                </c:pt>
                <c:pt idx="4">
                  <c:v>Supporting the prevention and combating of fraud, corruption and other illegal activities (N=647)</c:v>
                </c:pt>
                <c:pt idx="5">
                  <c:v>Supporting businesses to strengthen competitiveness in a fast-changing business environment (N=660)</c:v>
                </c:pt>
                <c:pt idx="6">
                  <c:v>Supporting the protection and empowerment of EU consumers (N=650)</c:v>
                </c:pt>
                <c:pt idx="7">
                  <c:v>Deploying common and/or interoperable digital solutions, including portals and tools (N=648)</c:v>
                </c:pt>
                <c:pt idx="8">
                  <c:v>Ensuring a high level of health and safety for people, animals and plants (N=652)</c:v>
                </c:pt>
                <c:pt idx="9">
                  <c:v>Supporting capacity building, supervision and joint enforcement of EU rules (N=647)</c:v>
                </c:pt>
                <c:pt idx="10">
                  <c:v>Supporting standardisation efforts (i.e. development of common standards) (N=682)</c:v>
                </c:pt>
                <c:pt idx="11">
                  <c:v>Supporting fair competition (N=655)</c:v>
                </c:pt>
              </c:strCache>
            </c:strRef>
          </c:cat>
          <c:val>
            <c:numRef>
              <c:f>Sheet1!$B$2:$B$13</c:f>
              <c:numCache>
                <c:formatCode>0%</c:formatCode>
                <c:ptCount val="12"/>
                <c:pt idx="0">
                  <c:v>0.27</c:v>
                </c:pt>
                <c:pt idx="1">
                  <c:v>0.31</c:v>
                </c:pt>
                <c:pt idx="2">
                  <c:v>0.39</c:v>
                </c:pt>
                <c:pt idx="3">
                  <c:v>0.38</c:v>
                </c:pt>
                <c:pt idx="4">
                  <c:v>0.42</c:v>
                </c:pt>
                <c:pt idx="5">
                  <c:v>0.46</c:v>
                </c:pt>
                <c:pt idx="6">
                  <c:v>0.43</c:v>
                </c:pt>
                <c:pt idx="7">
                  <c:v>0.43</c:v>
                </c:pt>
                <c:pt idx="8">
                  <c:v>0.53</c:v>
                </c:pt>
                <c:pt idx="9">
                  <c:v>0.37</c:v>
                </c:pt>
                <c:pt idx="10">
                  <c:v>0.5</c:v>
                </c:pt>
                <c:pt idx="11">
                  <c:v>0.47</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B848-4A6F-A6D5-E0714889F45F}"/>
            </c:ext>
          </c:extLst>
        </c:ser>
        <c:ser>
          <c:idx val="1"/>
          <c:order val="1"/>
          <c:tx>
            <c:strRef>
              <c:f>Sheet1!$C$1</c:f>
              <c:strCache>
                <c:ptCount val="1"/>
                <c:pt idx="0">
                  <c:v>Important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Upgrading EU customs with common governance and powerful central digital solutions (N=639)</c:v>
                </c:pt>
                <c:pt idx="1">
                  <c:v>Supporting the development, production and dissemination of European data (N=646)</c:v>
                </c:pt>
                <c:pt idx="2">
                  <c:v>Supporting EU economic security through a customs union acting as one (N=641)</c:v>
                </c:pt>
                <c:pt idx="3">
                  <c:v>Supporting fair taxation and reducing the tax gap (N=641)</c:v>
                </c:pt>
                <c:pt idx="4">
                  <c:v>Supporting the prevention and combating of fraud, corruption and other illegal activities (N=647)</c:v>
                </c:pt>
                <c:pt idx="5">
                  <c:v>Supporting businesses to strengthen competitiveness in a fast-changing business environment (N=660)</c:v>
                </c:pt>
                <c:pt idx="6">
                  <c:v>Supporting the protection and empowerment of EU consumers (N=650)</c:v>
                </c:pt>
                <c:pt idx="7">
                  <c:v>Deploying common and/or interoperable digital solutions, including portals and tools (N=648)</c:v>
                </c:pt>
                <c:pt idx="8">
                  <c:v>Ensuring a high level of health and safety for people, animals and plants (N=652)</c:v>
                </c:pt>
                <c:pt idx="9">
                  <c:v>Supporting capacity building, supervision and joint enforcement of EU rules (N=647)</c:v>
                </c:pt>
                <c:pt idx="10">
                  <c:v>Supporting standardisation efforts (i.e. development of common standards) (N=682)</c:v>
                </c:pt>
                <c:pt idx="11">
                  <c:v>Supporting fair competition (N=655)</c:v>
                </c:pt>
              </c:strCache>
            </c:strRef>
          </c:cat>
          <c:val>
            <c:numRef>
              <c:f>Sheet1!$C$2:$C$13</c:f>
              <c:numCache>
                <c:formatCode>0%</c:formatCode>
                <c:ptCount val="12"/>
                <c:pt idx="0">
                  <c:v>0.31</c:v>
                </c:pt>
                <c:pt idx="1">
                  <c:v>0.36</c:v>
                </c:pt>
                <c:pt idx="2">
                  <c:v>0.28999999999999998</c:v>
                </c:pt>
                <c:pt idx="3">
                  <c:v>0.33</c:v>
                </c:pt>
                <c:pt idx="4">
                  <c:v>0.3</c:v>
                </c:pt>
                <c:pt idx="5">
                  <c:v>0.28000000000000003</c:v>
                </c:pt>
                <c:pt idx="6">
                  <c:v>0.32</c:v>
                </c:pt>
                <c:pt idx="7">
                  <c:v>0.33</c:v>
                </c:pt>
                <c:pt idx="8">
                  <c:v>0.23</c:v>
                </c:pt>
                <c:pt idx="9">
                  <c:v>0.39</c:v>
                </c:pt>
                <c:pt idx="10">
                  <c:v>0.31</c:v>
                </c:pt>
                <c:pt idx="11">
                  <c:v>0.36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B848-4A6F-A6D5-E0714889F45F}"/>
            </c:ext>
          </c:extLst>
        </c:ser>
        <c:ser>
          <c:idx val="2"/>
          <c:order val="2"/>
          <c:tx>
            <c:strRef>
              <c:f>Sheet1!$D$1</c:f>
              <c:strCache>
                <c:ptCount val="1"/>
                <c:pt idx="0">
                  <c:v>Moderately important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Upgrading EU customs with common governance and powerful central digital solutions (N=639)</c:v>
                </c:pt>
                <c:pt idx="1">
                  <c:v>Supporting the development, production and dissemination of European data (N=646)</c:v>
                </c:pt>
                <c:pt idx="2">
                  <c:v>Supporting EU economic security through a customs union acting as one (N=641)</c:v>
                </c:pt>
                <c:pt idx="3">
                  <c:v>Supporting fair taxation and reducing the tax gap (N=641)</c:v>
                </c:pt>
                <c:pt idx="4">
                  <c:v>Supporting the prevention and combating of fraud, corruption and other illegal activities (N=647)</c:v>
                </c:pt>
                <c:pt idx="5">
                  <c:v>Supporting businesses to strengthen competitiveness in a fast-changing business environment (N=660)</c:v>
                </c:pt>
                <c:pt idx="6">
                  <c:v>Supporting the protection and empowerment of EU consumers (N=650)</c:v>
                </c:pt>
                <c:pt idx="7">
                  <c:v>Deploying common and/or interoperable digital solutions, including portals and tools (N=648)</c:v>
                </c:pt>
                <c:pt idx="8">
                  <c:v>Ensuring a high level of health and safety for people, animals and plants (N=652)</c:v>
                </c:pt>
                <c:pt idx="9">
                  <c:v>Supporting capacity building, supervision and joint enforcement of EU rules (N=647)</c:v>
                </c:pt>
                <c:pt idx="10">
                  <c:v>Supporting standardisation efforts (i.e. development of common standards) (N=682)</c:v>
                </c:pt>
                <c:pt idx="11">
                  <c:v>Supporting fair competition (N=655)</c:v>
                </c:pt>
              </c:strCache>
            </c:strRef>
          </c:cat>
          <c:val>
            <c:numRef>
              <c:f>Sheet1!$D$2:$D$13</c:f>
              <c:numCache>
                <c:formatCode>0%</c:formatCode>
                <c:ptCount val="12"/>
                <c:pt idx="0">
                  <c:v>0.16</c:v>
                </c:pt>
                <c:pt idx="1">
                  <c:v>0.22</c:v>
                </c:pt>
                <c:pt idx="2">
                  <c:v>0.12</c:v>
                </c:pt>
                <c:pt idx="3">
                  <c:v>0.12</c:v>
                </c:pt>
                <c:pt idx="4">
                  <c:v>0.14000000000000001</c:v>
                </c:pt>
                <c:pt idx="5">
                  <c:v>0.15</c:v>
                </c:pt>
                <c:pt idx="6">
                  <c:v>0.13</c:v>
                </c:pt>
                <c:pt idx="7">
                  <c:v>0.14000000000000001</c:v>
                </c:pt>
                <c:pt idx="8">
                  <c:v>0.06</c:v>
                </c:pt>
                <c:pt idx="9">
                  <c:v>0.14000000000000001</c:v>
                </c:pt>
                <c:pt idx="10">
                  <c:v>0.12</c:v>
                </c:pt>
                <c:pt idx="11">
                  <c:v>7.0000000000000007E-2</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B848-4A6F-A6D5-E0714889F45F}"/>
            </c:ext>
          </c:extLst>
        </c:ser>
        <c:ser>
          <c:idx val="3"/>
          <c:order val="3"/>
          <c:tx>
            <c:strRef>
              <c:f>Sheet1!$E$1</c:f>
              <c:strCache>
                <c:ptCount val="1"/>
                <c:pt idx="0">
                  <c:v>Not at all important</c:v>
                </c:pt>
              </c:strCache>
            </c:strRef>
          </c:tx>
          <c:spPr>
            <a:solidFill>
              <a:schemeClr val="accent6">
                <a:lumMod val="60000"/>
              </a:schemeClr>
            </a:solidFill>
            <a:ln>
              <a:noFill/>
            </a:ln>
            <a:effectLst/>
          </c:spPr>
          <c:invertIfNegative val="0"/>
          <c:dLbls>
            <c:delete val="1"/>
          </c:dLbls>
          <c:cat>
            <c:strRef>
              <c:f>Sheet1!$A$2:$A$13</c:f>
              <c:strCache>
                <c:ptCount val="12"/>
                <c:pt idx="0">
                  <c:v>Upgrading EU customs with common governance and powerful central digital solutions (N=639)</c:v>
                </c:pt>
                <c:pt idx="1">
                  <c:v>Supporting the development, production and dissemination of European data (N=646)</c:v>
                </c:pt>
                <c:pt idx="2">
                  <c:v>Supporting EU economic security through a customs union acting as one (N=641)</c:v>
                </c:pt>
                <c:pt idx="3">
                  <c:v>Supporting fair taxation and reducing the tax gap (N=641)</c:v>
                </c:pt>
                <c:pt idx="4">
                  <c:v>Supporting the prevention and combating of fraud, corruption and other illegal activities (N=647)</c:v>
                </c:pt>
                <c:pt idx="5">
                  <c:v>Supporting businesses to strengthen competitiveness in a fast-changing business environment (N=660)</c:v>
                </c:pt>
                <c:pt idx="6">
                  <c:v>Supporting the protection and empowerment of EU consumers (N=650)</c:v>
                </c:pt>
                <c:pt idx="7">
                  <c:v>Deploying common and/or interoperable digital solutions, including portals and tools (N=648)</c:v>
                </c:pt>
                <c:pt idx="8">
                  <c:v>Ensuring a high level of health and safety for people, animals and plants (N=652)</c:v>
                </c:pt>
                <c:pt idx="9">
                  <c:v>Supporting capacity building, supervision and joint enforcement of EU rules (N=647)</c:v>
                </c:pt>
                <c:pt idx="10">
                  <c:v>Supporting standardisation efforts (i.e. development of common standards) (N=682)</c:v>
                </c:pt>
                <c:pt idx="11">
                  <c:v>Supporting fair competition (N=655)</c:v>
                </c:pt>
              </c:strCache>
            </c:strRef>
          </c:cat>
          <c:val>
            <c:numRef>
              <c:f>Sheet1!$E$2:$E$13</c:f>
              <c:numCache>
                <c:formatCode>0%</c:formatCode>
                <c:ptCount val="12"/>
                <c:pt idx="0">
                  <c:v>0.02</c:v>
                </c:pt>
                <c:pt idx="1">
                  <c:v>0.02</c:v>
                </c:pt>
                <c:pt idx="2">
                  <c:v>0.01</c:v>
                </c:pt>
                <c:pt idx="3">
                  <c:v>0.02</c:v>
                </c:pt>
                <c:pt idx="4">
                  <c:v>0.02</c:v>
                </c:pt>
                <c:pt idx="5">
                  <c:v>0.03</c:v>
                </c:pt>
                <c:pt idx="6">
                  <c:v>0.01</c:v>
                </c:pt>
                <c:pt idx="7">
                  <c:v>0.02</c:v>
                </c:pt>
                <c:pt idx="8">
                  <c:v>0.02</c:v>
                </c:pt>
                <c:pt idx="9">
                  <c:v>0.01</c:v>
                </c:pt>
                <c:pt idx="10">
                  <c:v>0.01</c:v>
                </c:pt>
                <c:pt idx="11">
                  <c:v>0.01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3-B848-4A6F-A6D5-E0714889F45F}"/>
            </c:ext>
          </c:extLst>
        </c:ser>
        <c:ser>
          <c:idx val="4"/>
          <c:order val="4"/>
          <c:tx>
            <c:strRef>
              <c:f>Sheet1!$F$1</c:f>
              <c:strCache>
                <c:ptCount val="1"/>
                <c:pt idx="0">
                  <c:v>Don't know/not applicable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Upgrading EU customs with common governance and powerful central digital solutions (N=639)</c:v>
                </c:pt>
                <c:pt idx="1">
                  <c:v>Supporting the development, production and dissemination of European data (N=646)</c:v>
                </c:pt>
                <c:pt idx="2">
                  <c:v>Supporting EU economic security through a customs union acting as one (N=641)</c:v>
                </c:pt>
                <c:pt idx="3">
                  <c:v>Supporting fair taxation and reducing the tax gap (N=641)</c:v>
                </c:pt>
                <c:pt idx="4">
                  <c:v>Supporting the prevention and combating of fraud, corruption and other illegal activities (N=647)</c:v>
                </c:pt>
                <c:pt idx="5">
                  <c:v>Supporting businesses to strengthen competitiveness in a fast-changing business environment (N=660)</c:v>
                </c:pt>
                <c:pt idx="6">
                  <c:v>Supporting the protection and empowerment of EU consumers (N=650)</c:v>
                </c:pt>
                <c:pt idx="7">
                  <c:v>Deploying common and/or interoperable digital solutions, including portals and tools (N=648)</c:v>
                </c:pt>
                <c:pt idx="8">
                  <c:v>Ensuring a high level of health and safety for people, animals and plants (N=652)</c:v>
                </c:pt>
                <c:pt idx="9">
                  <c:v>Supporting capacity building, supervision and joint enforcement of EU rules (N=647)</c:v>
                </c:pt>
                <c:pt idx="10">
                  <c:v>Supporting standardisation efforts (i.e. development of common standards) (N=682)</c:v>
                </c:pt>
                <c:pt idx="11">
                  <c:v>Supporting fair competition (N=655)</c:v>
                </c:pt>
              </c:strCache>
            </c:strRef>
          </c:cat>
          <c:val>
            <c:numRef>
              <c:f>Sheet1!$F$2:$F$13</c:f>
              <c:numCache>
                <c:formatCode>0%</c:formatCode>
                <c:ptCount val="12"/>
                <c:pt idx="0">
                  <c:v>0.23</c:v>
                </c:pt>
                <c:pt idx="1">
                  <c:v>0.09</c:v>
                </c:pt>
                <c:pt idx="2">
                  <c:v>0.19</c:v>
                </c:pt>
                <c:pt idx="3">
                  <c:v>0.14000000000000001</c:v>
                </c:pt>
                <c:pt idx="4">
                  <c:v>0.13</c:v>
                </c:pt>
                <c:pt idx="5">
                  <c:v>0.09</c:v>
                </c:pt>
                <c:pt idx="6">
                  <c:v>0.11</c:v>
                </c:pt>
                <c:pt idx="7">
                  <c:v>0.08</c:v>
                </c:pt>
                <c:pt idx="8">
                  <c:v>0.16</c:v>
                </c:pt>
                <c:pt idx="9">
                  <c:v>0.09</c:v>
                </c:pt>
                <c:pt idx="10">
                  <c:v>0.06</c:v>
                </c:pt>
                <c:pt idx="11">
                  <c:v>0.08</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4-B848-4A6F-A6D5-E0714889F45F}"/>
            </c:ext>
          </c:extLst>
        </c:ser>
        <c:dLbls>
          <c:dLblPos val="ctr"/>
          <c:showLegendKey val="0"/>
          <c:showVal val="1"/>
          <c:showCatName val="0"/>
          <c:showSerName val="0"/>
          <c:showPercent val="0"/>
          <c:showBubbleSize val="0"/>
        </c:dLbls>
        <c:gapWidth val="150"/>
        <c:overlap val="100"/>
        <c:axId val="1690124784"/>
        <c:axId val="1690129584"/>
      </c:barChart>
      <c:catAx>
        <c:axId val="1690124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90129584"/>
        <c:crosses val="autoZero"/>
        <c:auto val="1"/>
        <c:lblAlgn val="ctr"/>
        <c:lblOffset val="100"/>
        <c:noMultiLvlLbl val="0"/>
      </c:catAx>
      <c:valAx>
        <c:axId val="1690129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124784"/>
        <c:crosses val="autoZero"/>
        <c:crossBetween val="between"/>
      </c:valAx>
      <c:spPr>
        <a:noFill/>
        <a:ln>
          <a:noFill/>
        </a:ln>
        <a:effectLst/>
      </c:spPr>
    </c:plotArea>
    <c:legend>
      <c:legendPos val="b"/>
      <c:layout>
        <c:manualLayout>
          <c:xMode val="edge"/>
          <c:yMode val="edge"/>
          <c:x val="3.119062484559652E-4"/>
          <c:y val="0.96039544997523096"/>
          <c:w val="0.99709420520951708"/>
          <c:h val="3.96045500247690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GB" sz="1050"/>
              <a:t>Q8. To what extent do you believe that actions at EU level would bring added value compared to actions at national level?</a:t>
            </a:r>
          </a:p>
        </c:rich>
      </c:tx>
      <c:layout>
        <c:manualLayout>
          <c:xMode val="edge"/>
          <c:yMode val="edge"/>
          <c:x val="0.12007509477981919"/>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490995917177019"/>
          <c:y val="0.11170634920634921"/>
          <c:w val="0.4829893919510061"/>
          <c:h val="0.77349393825771784"/>
        </c:manualLayout>
      </c:layout>
      <c:barChart>
        <c:barDir val="bar"/>
        <c:grouping val="percentStacked"/>
        <c:varyColors val="0"/>
        <c:ser>
          <c:idx val="0"/>
          <c:order val="0"/>
          <c:tx>
            <c:strRef>
              <c:f>Sheet1!$B$1</c:f>
              <c:strCache>
                <c:ptCount val="1"/>
                <c:pt idx="0">
                  <c:v>To a large extent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Ensure a high level of health and safety related to people, plants, animals, food, feed (N=649)</c:v>
                </c:pt>
                <c:pt idx="1">
                  <c:v>Improve access to funding for SMEs and other beneficiaries (N=644)</c:v>
                </c:pt>
                <c:pt idx="2">
                  <c:v>Prevent and combat fraud and any other illegal activities affecting the EU budget (N=639)</c:v>
                </c:pt>
                <c:pt idx="3">
                  <c:v>Increase EU-level coordination to streamline capacity building efforts across the EU (N=647)</c:v>
                </c:pt>
                <c:pt idx="4">
                  <c:v>Address transnational challenges (N=604)</c:v>
                </c:pt>
                <c:pt idx="5">
                  <c:v>Ensure a high level of consumer protection (N=655)</c:v>
                </c:pt>
                <c:pt idx="6">
                  <c:v>Prevent unsafe or non-compliant products and services available in the single market (N=654)</c:v>
                </c:pt>
                <c:pt idx="7">
                  <c:v>Removedisproportionate obstacles to free movement in the single market (N=662)</c:v>
                </c:pt>
                <c:pt idx="8">
                  <c:v>Strengthen the competitiveness and sustainability of EU businesses (N=664)</c:v>
                </c:pt>
                <c:pt idx="9">
                  <c:v>Support cross-border/multi-country projects and cross-border cooperation (N=659)</c:v>
                </c:pt>
              </c:strCache>
            </c:strRef>
          </c:cat>
          <c:val>
            <c:numRef>
              <c:f>Sheet1!$B$2:$B$11</c:f>
              <c:numCache>
                <c:formatCode>0%</c:formatCode>
                <c:ptCount val="10"/>
                <c:pt idx="0">
                  <c:v>0.53</c:v>
                </c:pt>
                <c:pt idx="1">
                  <c:v>0.43</c:v>
                </c:pt>
                <c:pt idx="2">
                  <c:v>0.44</c:v>
                </c:pt>
                <c:pt idx="3">
                  <c:v>0.49</c:v>
                </c:pt>
                <c:pt idx="4">
                  <c:v>0.59</c:v>
                </c:pt>
                <c:pt idx="5">
                  <c:v>0.48</c:v>
                </c:pt>
                <c:pt idx="6">
                  <c:v>0.52</c:v>
                </c:pt>
                <c:pt idx="7">
                  <c:v>0.55000000000000004</c:v>
                </c:pt>
                <c:pt idx="8">
                  <c:v>0.56999999999999995</c:v>
                </c:pt>
                <c:pt idx="9">
                  <c:v>0.67</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94D6-41B5-B0F2-F5CC95F16C9B}"/>
            </c:ext>
          </c:extLst>
        </c:ser>
        <c:ser>
          <c:idx val="1"/>
          <c:order val="1"/>
          <c:tx>
            <c:strRef>
              <c:f>Sheet1!$C$1</c:f>
              <c:strCache>
                <c:ptCount val="1"/>
                <c:pt idx="0">
                  <c:v>Somewhat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Ensure a high level of health and safety related to people, plants, animals, food, feed (N=649)</c:v>
                </c:pt>
                <c:pt idx="1">
                  <c:v>Improve access to funding for SMEs and other beneficiaries (N=644)</c:v>
                </c:pt>
                <c:pt idx="2">
                  <c:v>Prevent and combat fraud and any other illegal activities affecting the EU budget (N=639)</c:v>
                </c:pt>
                <c:pt idx="3">
                  <c:v>Increase EU-level coordination to streamline capacity building efforts across the EU (N=647)</c:v>
                </c:pt>
                <c:pt idx="4">
                  <c:v>Address transnational challenges (N=604)</c:v>
                </c:pt>
                <c:pt idx="5">
                  <c:v>Ensure a high level of consumer protection (N=655)</c:v>
                </c:pt>
                <c:pt idx="6">
                  <c:v>Prevent unsafe or non-compliant products and services available in the single market (N=654)</c:v>
                </c:pt>
                <c:pt idx="7">
                  <c:v>Removedisproportionate obstacles to free movement in the single market (N=662)</c:v>
                </c:pt>
                <c:pt idx="8">
                  <c:v>Strengthen the competitiveness and sustainability of EU businesses (N=664)</c:v>
                </c:pt>
                <c:pt idx="9">
                  <c:v>Support cross-border/multi-country projects and cross-border cooperation (N=659)</c:v>
                </c:pt>
              </c:strCache>
            </c:strRef>
          </c:cat>
          <c:val>
            <c:numRef>
              <c:f>Sheet1!$C$2:$C$11</c:f>
              <c:numCache>
                <c:formatCode>0%</c:formatCode>
                <c:ptCount val="10"/>
                <c:pt idx="0">
                  <c:v>0.25</c:v>
                </c:pt>
                <c:pt idx="1">
                  <c:v>0.35</c:v>
                </c:pt>
                <c:pt idx="2">
                  <c:v>0.34</c:v>
                </c:pt>
                <c:pt idx="3">
                  <c:v>0.34</c:v>
                </c:pt>
                <c:pt idx="4">
                  <c:v>0.25</c:v>
                </c:pt>
                <c:pt idx="5">
                  <c:v>0.36</c:v>
                </c:pt>
                <c:pt idx="6">
                  <c:v>0.32</c:v>
                </c:pt>
                <c:pt idx="7">
                  <c:v>0.28999999999999998</c:v>
                </c:pt>
                <c:pt idx="8">
                  <c:v>0.31</c:v>
                </c:pt>
                <c:pt idx="9">
                  <c:v>0.23</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94D6-41B5-B0F2-F5CC95F16C9B}"/>
            </c:ext>
          </c:extLst>
        </c:ser>
        <c:ser>
          <c:idx val="2"/>
          <c:order val="2"/>
          <c:tx>
            <c:strRef>
              <c:f>Sheet1!$D$1</c:f>
              <c:strCache>
                <c:ptCount val="1"/>
                <c:pt idx="0">
                  <c:v>Very little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Ensure a high level of health and safety related to people, plants, animals, food, feed (N=649)</c:v>
                </c:pt>
                <c:pt idx="1">
                  <c:v>Improve access to funding for SMEs and other beneficiaries (N=644)</c:v>
                </c:pt>
                <c:pt idx="2">
                  <c:v>Prevent and combat fraud and any other illegal activities affecting the EU budget (N=639)</c:v>
                </c:pt>
                <c:pt idx="3">
                  <c:v>Increase EU-level coordination to streamline capacity building efforts across the EU (N=647)</c:v>
                </c:pt>
                <c:pt idx="4">
                  <c:v>Address transnational challenges (N=604)</c:v>
                </c:pt>
                <c:pt idx="5">
                  <c:v>Ensure a high level of consumer protection (N=655)</c:v>
                </c:pt>
                <c:pt idx="6">
                  <c:v>Prevent unsafe or non-compliant products and services available in the single market (N=654)</c:v>
                </c:pt>
                <c:pt idx="7">
                  <c:v>Removedisproportionate obstacles to free movement in the single market (N=662)</c:v>
                </c:pt>
                <c:pt idx="8">
                  <c:v>Strengthen the competitiveness and sustainability of EU businesses (N=664)</c:v>
                </c:pt>
                <c:pt idx="9">
                  <c:v>Support cross-border/multi-country projects and cross-border cooperation (N=659)</c:v>
                </c:pt>
              </c:strCache>
            </c:strRef>
          </c:cat>
          <c:val>
            <c:numRef>
              <c:f>Sheet1!$D$2:$D$11</c:f>
              <c:numCache>
                <c:formatCode>0%</c:formatCode>
                <c:ptCount val="10"/>
                <c:pt idx="0">
                  <c:v>0.05</c:v>
                </c:pt>
                <c:pt idx="1">
                  <c:v>0.08</c:v>
                </c:pt>
                <c:pt idx="2">
                  <c:v>7.0000000000000007E-2</c:v>
                </c:pt>
                <c:pt idx="3">
                  <c:v>0.06</c:v>
                </c:pt>
                <c:pt idx="4">
                  <c:v>0.04</c:v>
                </c:pt>
                <c:pt idx="5">
                  <c:v>0.05</c:v>
                </c:pt>
                <c:pt idx="6">
                  <c:v>0.04</c:v>
                </c:pt>
                <c:pt idx="7">
                  <c:v>0.04</c:v>
                </c:pt>
                <c:pt idx="8">
                  <c:v>0.03</c:v>
                </c:pt>
                <c:pt idx="9">
                  <c:v>0.03</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2-94D6-41B5-B0F2-F5CC95F16C9B}"/>
            </c:ext>
          </c:extLst>
        </c:ser>
        <c:ser>
          <c:idx val="3"/>
          <c:order val="3"/>
          <c:tx>
            <c:strRef>
              <c:f>Sheet1!$E$1</c:f>
              <c:strCache>
                <c:ptCount val="1"/>
                <c:pt idx="0">
                  <c:v>Not at all</c:v>
                </c:pt>
              </c:strCache>
            </c:strRef>
          </c:tx>
          <c:spPr>
            <a:solidFill>
              <a:schemeClr val="accent6">
                <a:lumMod val="60000"/>
              </a:schemeClr>
            </a:solidFill>
            <a:ln>
              <a:noFill/>
            </a:ln>
            <a:effectLst/>
          </c:spPr>
          <c:invertIfNegative val="0"/>
          <c:dLbls>
            <c:delete val="1"/>
          </c:dLbls>
          <c:cat>
            <c:strRef>
              <c:f>Sheet1!$A$2:$A$11</c:f>
              <c:strCache>
                <c:ptCount val="10"/>
                <c:pt idx="0">
                  <c:v>Ensure a high level of health and safety related to people, plants, animals, food, feed (N=649)</c:v>
                </c:pt>
                <c:pt idx="1">
                  <c:v>Improve access to funding for SMEs and other beneficiaries (N=644)</c:v>
                </c:pt>
                <c:pt idx="2">
                  <c:v>Prevent and combat fraud and any other illegal activities affecting the EU budget (N=639)</c:v>
                </c:pt>
                <c:pt idx="3">
                  <c:v>Increase EU-level coordination to streamline capacity building efforts across the EU (N=647)</c:v>
                </c:pt>
                <c:pt idx="4">
                  <c:v>Address transnational challenges (N=604)</c:v>
                </c:pt>
                <c:pt idx="5">
                  <c:v>Ensure a high level of consumer protection (N=655)</c:v>
                </c:pt>
                <c:pt idx="6">
                  <c:v>Prevent unsafe or non-compliant products and services available in the single market (N=654)</c:v>
                </c:pt>
                <c:pt idx="7">
                  <c:v>Removedisproportionate obstacles to free movement in the single market (N=662)</c:v>
                </c:pt>
                <c:pt idx="8">
                  <c:v>Strengthen the competitiveness and sustainability of EU businesses (N=664)</c:v>
                </c:pt>
                <c:pt idx="9">
                  <c:v>Support cross-border/multi-country projects and cross-border cooperation (N=659)</c:v>
                </c:pt>
              </c:strCache>
            </c:strRef>
          </c:cat>
          <c:val>
            <c:numRef>
              <c:f>Sheet1!$E$2:$E$11</c:f>
              <c:numCache>
                <c:formatCode>0%</c:formatCode>
                <c:ptCount val="10"/>
                <c:pt idx="0">
                  <c:v>0.01</c:v>
                </c:pt>
                <c:pt idx="1">
                  <c:v>0.01</c:v>
                </c:pt>
                <c:pt idx="2">
                  <c:v>0</c:v>
                </c:pt>
                <c:pt idx="3">
                  <c:v>0.01</c:v>
                </c:pt>
                <c:pt idx="4">
                  <c:v>0.01</c:v>
                </c:pt>
                <c:pt idx="5">
                  <c:v>0.01</c:v>
                </c:pt>
                <c:pt idx="6">
                  <c:v>0</c:v>
                </c:pt>
                <c:pt idx="7">
                  <c:v>0.02</c:v>
                </c:pt>
                <c:pt idx="8">
                  <c:v>0.01</c:v>
                </c:pt>
                <c:pt idx="9">
                  <c:v>0.01</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3-94D6-41B5-B0F2-F5CC95F16C9B}"/>
            </c:ext>
          </c:extLst>
        </c:ser>
        <c:ser>
          <c:idx val="4"/>
          <c:order val="4"/>
          <c:tx>
            <c:strRef>
              <c:f>Sheet1!$F$1</c:f>
              <c:strCache>
                <c:ptCount val="1"/>
                <c:pt idx="0">
                  <c:v>Don't know/not applicable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Ensure a high level of health and safety related to people, plants, animals, food, feed (N=649)</c:v>
                </c:pt>
                <c:pt idx="1">
                  <c:v>Improve access to funding for SMEs and other beneficiaries (N=644)</c:v>
                </c:pt>
                <c:pt idx="2">
                  <c:v>Prevent and combat fraud and any other illegal activities affecting the EU budget (N=639)</c:v>
                </c:pt>
                <c:pt idx="3">
                  <c:v>Increase EU-level coordination to streamline capacity building efforts across the EU (N=647)</c:v>
                </c:pt>
                <c:pt idx="4">
                  <c:v>Address transnational challenges (N=604)</c:v>
                </c:pt>
                <c:pt idx="5">
                  <c:v>Ensure a high level of consumer protection (N=655)</c:v>
                </c:pt>
                <c:pt idx="6">
                  <c:v>Prevent unsafe or non-compliant products and services available in the single market (N=654)</c:v>
                </c:pt>
                <c:pt idx="7">
                  <c:v>Removedisproportionate obstacles to free movement in the single market (N=662)</c:v>
                </c:pt>
                <c:pt idx="8">
                  <c:v>Strengthen the competitiveness and sustainability of EU businesses (N=664)</c:v>
                </c:pt>
                <c:pt idx="9">
                  <c:v>Support cross-border/multi-country projects and cross-border cooperation (N=659)</c:v>
                </c:pt>
              </c:strCache>
            </c:strRef>
          </c:cat>
          <c:val>
            <c:numRef>
              <c:f>Sheet1!$F$2:$F$11</c:f>
              <c:numCache>
                <c:formatCode>0%</c:formatCode>
                <c:ptCount val="10"/>
                <c:pt idx="0">
                  <c:v>0.17</c:v>
                </c:pt>
                <c:pt idx="1">
                  <c:v>0.12</c:v>
                </c:pt>
                <c:pt idx="2">
                  <c:v>0.14000000000000001</c:v>
                </c:pt>
                <c:pt idx="3">
                  <c:v>0.11</c:v>
                </c:pt>
                <c:pt idx="4">
                  <c:v>0.11</c:v>
                </c:pt>
                <c:pt idx="5">
                  <c:v>0.11</c:v>
                </c:pt>
                <c:pt idx="6">
                  <c:v>0.11</c:v>
                </c:pt>
                <c:pt idx="7">
                  <c:v>0.11</c:v>
                </c:pt>
                <c:pt idx="8">
                  <c:v>0.08</c:v>
                </c:pt>
                <c:pt idx="9">
                  <c:v>0.06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4-94D6-41B5-B0F2-F5CC95F16C9B}"/>
            </c:ext>
          </c:extLst>
        </c:ser>
        <c:dLbls>
          <c:dLblPos val="ctr"/>
          <c:showLegendKey val="0"/>
          <c:showVal val="1"/>
          <c:showCatName val="0"/>
          <c:showSerName val="0"/>
          <c:showPercent val="0"/>
          <c:showBubbleSize val="0"/>
        </c:dLbls>
        <c:gapWidth val="150"/>
        <c:overlap val="100"/>
        <c:axId val="71662912"/>
        <c:axId val="71666752"/>
      </c:barChart>
      <c:catAx>
        <c:axId val="71662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66752"/>
        <c:crosses val="autoZero"/>
        <c:auto val="1"/>
        <c:lblAlgn val="ctr"/>
        <c:lblOffset val="100"/>
        <c:noMultiLvlLbl val="0"/>
      </c:catAx>
      <c:valAx>
        <c:axId val="71666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62912"/>
        <c:crosses val="autoZero"/>
        <c:crossBetween val="between"/>
        <c:majorUnit val="0.2"/>
      </c:valAx>
      <c:spPr>
        <a:noFill/>
        <a:ln>
          <a:noFill/>
        </a:ln>
        <a:effectLst/>
      </c:spPr>
    </c:plotArea>
    <c:legend>
      <c:legendPos val="b"/>
      <c:layout>
        <c:manualLayout>
          <c:xMode val="edge"/>
          <c:yMode val="edge"/>
          <c:x val="5.000000000000001E-2"/>
          <c:y val="0.94861298587676546"/>
          <c:w val="0.9"/>
          <c:h val="5.13870141232345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A97F5DED2004E906E199DB8D805E7" ma:contentTypeVersion="4" ma:contentTypeDescription="Create a new document." ma:contentTypeScope="" ma:versionID="6f378b906565c7040f2ffdb9eef29600">
  <xsd:schema xmlns:xsd="http://www.w3.org/2001/XMLSchema" xmlns:xs="http://www.w3.org/2001/XMLSchema" xmlns:p="http://schemas.microsoft.com/office/2006/metadata/properties" xmlns:ns2="7926876d-2117-47f5-bfa1-c39f0d9f996b" targetNamespace="http://schemas.microsoft.com/office/2006/metadata/properties" ma:root="true" ma:fieldsID="0a59e2986e4de4506fa0428fbba70b7e" ns2:_="">
    <xsd:import namespace="7926876d-2117-47f5-bfa1-c39f0d9f99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876d-2117-47f5-bfa1-c39f0d9f9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3F0C-BC70-4802-AEF9-BCECD6CDD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6876d-2117-47f5-bfa1-c39f0d9f9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3D94F-6DAC-4155-911C-31346CF28CDC}">
  <ds:schemaRefs>
    <ds:schemaRef ds:uri="http://schemas.microsoft.com/sharepoint/v3/contenttype/forms"/>
  </ds:schemaRefs>
</ds:datastoreItem>
</file>

<file path=customXml/itemProps3.xml><?xml version="1.0" encoding="utf-8"?>
<ds:datastoreItem xmlns:ds="http://schemas.openxmlformats.org/officeDocument/2006/customXml" ds:itemID="{9DDCF001-611D-444C-9A44-BE2B23BF8C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AC0F5-5881-442E-AC36-B4D8D357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42334</Words>
  <Characters>241304</Characters>
  <Application>Microsoft Office Word</Application>
  <DocSecurity>0</DocSecurity>
  <Lines>2010</Lines>
  <Paragraphs>566</Paragraphs>
  <ScaleCrop>false</ScaleCrop>
  <Manager/>
  <Company/>
  <LinksUpToDate>false</LinksUpToDate>
  <CharactersWithSpaces>283072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2025-08-31T08:06:00Z</dcterms:created>
  <dcterms:modified xsi:type="dcterms:W3CDTF">2025-09-02T19:14:00Z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2025-07-29T13:14:49Z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0671a1cc-861b-4928-a223-d5f66331936a</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ContentTypeId">
    <vt:lpwstr>0x0101005E1A97F5DED2004E906E199DB8D805E7</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CP-026</vt:lpwstr>
  </property>
</Properties>
</file>