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C4B02" w14:textId="0241C6D6" w:rsidR="001135D1" w:rsidRDefault="00766871" w:rsidP="00766871">
      <w:pPr>
        <w:pStyle w:val="Pagedecouverture"/>
        <w:rPr>
          <w:noProof/>
        </w:rPr>
      </w:pPr>
      <w:bookmarkStart w:id="0" w:name="LW_BM_COVERPAGE"/>
      <w:r>
        <w:rPr>
          <w:noProof/>
        </w:rPr>
        <w:pict w14:anchorId="12C90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F1EB646-108C-4802-8E52-9C221997B4C0" style="width:455.25pt;height:448.5pt">
            <v:imagedata r:id="rId11" o:title=""/>
          </v:shape>
        </w:pict>
      </w:r>
    </w:p>
    <w:bookmarkEnd w:id="0"/>
    <w:p w14:paraId="2ADEB219" w14:textId="77777777" w:rsidR="00F1115D" w:rsidRPr="00F1115D" w:rsidRDefault="00F1115D" w:rsidP="00F1115D">
      <w:pPr>
        <w:pStyle w:val="Pagedecouverture"/>
        <w:rPr>
          <w:noProof/>
        </w:rPr>
        <w:sectPr w:rsidR="00F1115D" w:rsidRPr="00F1115D" w:rsidSect="0076687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C0D01" w:rsidRPr="0000636F" w14:paraId="0D9A94D7" w14:textId="77777777" w:rsidTr="004D278C">
        <w:tc>
          <w:tcPr>
            <w:tcW w:w="10490" w:type="dxa"/>
            <w:tcBorders>
              <w:bottom w:val="single" w:sz="4" w:space="0" w:color="auto"/>
            </w:tcBorders>
            <w:shd w:val="clear" w:color="auto" w:fill="CCCCCC"/>
          </w:tcPr>
          <w:p w14:paraId="358A16D4" w14:textId="0E6D3318" w:rsidR="005C0D01" w:rsidRPr="0000636F" w:rsidRDefault="005C0D01">
            <w:pPr>
              <w:rPr>
                <w:b/>
                <w:noProof/>
              </w:rPr>
            </w:pPr>
            <w:bookmarkStart w:id="1" w:name="_GoBack"/>
            <w:bookmarkEnd w:id="1"/>
            <w:r>
              <w:rPr>
                <w:b/>
                <w:noProof/>
              </w:rPr>
              <w:lastRenderedPageBreak/>
              <w:t xml:space="preserve">Ficha de síntese </w:t>
            </w:r>
          </w:p>
        </w:tc>
      </w:tr>
      <w:tr w:rsidR="005C0D01" w:rsidRPr="0000636F" w14:paraId="60FE2185" w14:textId="77777777" w:rsidTr="004D278C">
        <w:tc>
          <w:tcPr>
            <w:tcW w:w="10490" w:type="dxa"/>
            <w:tcBorders>
              <w:top w:val="single" w:sz="4" w:space="0" w:color="auto"/>
              <w:left w:val="single" w:sz="4" w:space="0" w:color="auto"/>
              <w:bottom w:val="single" w:sz="4" w:space="0" w:color="auto"/>
              <w:right w:val="single" w:sz="4" w:space="0" w:color="auto"/>
            </w:tcBorders>
            <w:shd w:val="clear" w:color="auto" w:fill="4F81BD"/>
          </w:tcPr>
          <w:p w14:paraId="7E4CBD11" w14:textId="4DE214E2" w:rsidR="005C0D01" w:rsidRPr="0000636F" w:rsidRDefault="005C0D01" w:rsidP="00F1115D">
            <w:pPr>
              <w:rPr>
                <w:noProof/>
              </w:rPr>
            </w:pPr>
            <w:r>
              <w:rPr>
                <w:noProof/>
              </w:rPr>
              <w:t>Avaliação de impacto da proposta de diretiva do Conselho relativa à estrutura e taxas dos impostos especiais sobre o consumo de tabaco e de produtos relacionados com o tabaco</w:t>
            </w:r>
          </w:p>
        </w:tc>
      </w:tr>
      <w:tr w:rsidR="005C0D01" w:rsidRPr="0000636F" w14:paraId="3C5635C0" w14:textId="77777777" w:rsidTr="004D278C">
        <w:tc>
          <w:tcPr>
            <w:tcW w:w="10490" w:type="dxa"/>
            <w:tcBorders>
              <w:bottom w:val="single" w:sz="4" w:space="0" w:color="auto"/>
            </w:tcBorders>
            <w:shd w:val="clear" w:color="auto" w:fill="CCCCCC"/>
          </w:tcPr>
          <w:p w14:paraId="1058DE56" w14:textId="77777777" w:rsidR="005C0D01" w:rsidRPr="0000636F" w:rsidRDefault="005C0D01">
            <w:pPr>
              <w:rPr>
                <w:b/>
                <w:noProof/>
              </w:rPr>
            </w:pPr>
            <w:r>
              <w:rPr>
                <w:b/>
                <w:noProof/>
              </w:rPr>
              <w:t>A. Necessidade de agir</w:t>
            </w:r>
          </w:p>
        </w:tc>
      </w:tr>
      <w:tr w:rsidR="005C0D01" w:rsidRPr="0000636F" w14:paraId="36119983" w14:textId="77777777" w:rsidTr="004D278C">
        <w:tc>
          <w:tcPr>
            <w:tcW w:w="10490" w:type="dxa"/>
            <w:tcBorders>
              <w:bottom w:val="single" w:sz="4" w:space="0" w:color="auto"/>
            </w:tcBorders>
            <w:shd w:val="clear" w:color="auto" w:fill="E0E0E0"/>
          </w:tcPr>
          <w:p w14:paraId="5258DC8B" w14:textId="77777777" w:rsidR="005C0D01" w:rsidRPr="0000636F" w:rsidRDefault="005C0D01">
            <w:pPr>
              <w:rPr>
                <w:noProof/>
              </w:rPr>
            </w:pPr>
            <w:r>
              <w:rPr>
                <w:b/>
                <w:noProof/>
              </w:rPr>
              <w:t xml:space="preserve">Qual o problema e por que motivo tem dimensão europeia? </w:t>
            </w:r>
          </w:p>
        </w:tc>
      </w:tr>
      <w:tr w:rsidR="00E55B28" w:rsidRPr="0000636F" w14:paraId="16A2A7DA" w14:textId="77777777" w:rsidTr="00E55B28">
        <w:tc>
          <w:tcPr>
            <w:tcW w:w="10490" w:type="dxa"/>
            <w:tcBorders>
              <w:bottom w:val="single" w:sz="4" w:space="0" w:color="auto"/>
            </w:tcBorders>
          </w:tcPr>
          <w:p w14:paraId="5C3B0856" w14:textId="1485D73D" w:rsidR="00E55B28" w:rsidRDefault="003B2E62" w:rsidP="00117189">
            <w:pPr>
              <w:rPr>
                <w:noProof/>
                <w:color w:val="000000"/>
                <w:szCs w:val="24"/>
              </w:rPr>
            </w:pPr>
            <w:r>
              <w:rPr>
                <w:noProof/>
                <w:color w:val="000000"/>
              </w:rPr>
              <w:t>A iniciativa de revisão da</w:t>
            </w:r>
            <w:r>
              <w:rPr>
                <w:noProof/>
              </w:rPr>
              <w:t xml:space="preserve"> Diretiva 2011/64/UE do Conselho </w:t>
            </w:r>
            <w:r>
              <w:rPr>
                <w:noProof/>
                <w:color w:val="000000"/>
              </w:rPr>
              <w:t>relativa à estrutura e taxas dos impostos especiais sobre o consumo de tabacos manufaturados</w:t>
            </w:r>
            <w:r>
              <w:rPr>
                <w:noProof/>
              </w:rPr>
              <w:t xml:space="preserve"> faz parte do Plano Europeu de Luta contra o Cancro.</w:t>
            </w:r>
            <w:r>
              <w:rPr>
                <w:noProof/>
                <w:color w:val="000000"/>
              </w:rPr>
              <w:t xml:space="preserve"> </w:t>
            </w:r>
          </w:p>
          <w:p w14:paraId="2BE88546" w14:textId="28700EF6" w:rsidR="001E4950" w:rsidRDefault="00CC00A6" w:rsidP="001E4950">
            <w:pPr>
              <w:rPr>
                <w:noProof/>
              </w:rPr>
            </w:pPr>
            <w:r>
              <w:rPr>
                <w:noProof/>
                <w:color w:val="000000"/>
              </w:rPr>
              <w:t>O problema abordado na avaliação de impacto diz respeito ao facto de</w:t>
            </w:r>
            <w:r>
              <w:rPr>
                <w:noProof/>
              </w:rPr>
              <w:t xml:space="preserve"> a atual diretiva já não cumprir plenamente o seu duplo objetivo, a saber, garantir o bom funcionamento do mercado interno e um elevado nível de proteção da saúde. As atuais taxas mínimas de imposto perderam a capacidade de contribuírem efetivamente para a redução do consumo de tabaco. Os diferenciais existentes incentivam os fluxos transfronteiriços irregulares. O atual âmbito de aplicação da diretiva não está adaptado à evolução do mercado, não abrange os novos produtos, como os líquidos para cigarros eletrónicos, nem estabelece explicitamente a aplicação do imposto especial de consumo sobre os produtos de tabaco aquecido. Além disso, o comércio ilícito de produtos do tabaco mantém-se substancial e continua a ser uma fonte de preocupação nos Estados-Membros. </w:t>
            </w:r>
          </w:p>
          <w:p w14:paraId="3DB2FD0D" w14:textId="36D2A0E1" w:rsidR="00CC00A6" w:rsidRPr="00CC00A6" w:rsidRDefault="00E55B28" w:rsidP="00310B02">
            <w:pPr>
              <w:rPr>
                <w:noProof/>
                <w:color w:val="000000"/>
                <w:szCs w:val="24"/>
              </w:rPr>
            </w:pPr>
            <w:r>
              <w:rPr>
                <w:noProof/>
                <w:color w:val="000000"/>
              </w:rPr>
              <w:t>As principais causas do problema são as seguintes: i) relativa acessibilidade dos preços dos produtos do tabaco, ii) desadequação das taxas mínimas da UE, iii) abordagens divergentes em matéria de tributação tanto entre produtos como entre Estados-Membros, e iv) um controlo ineficaz de toda a cadeia de abastecimento do tabaco por parte dos Estados-Membros.</w:t>
            </w:r>
          </w:p>
        </w:tc>
      </w:tr>
      <w:tr w:rsidR="00E55B28" w:rsidRPr="0000636F" w14:paraId="2DBAB8F2" w14:textId="77777777" w:rsidTr="00E55B28">
        <w:tc>
          <w:tcPr>
            <w:tcW w:w="10490" w:type="dxa"/>
            <w:tcBorders>
              <w:bottom w:val="single" w:sz="4" w:space="0" w:color="auto"/>
            </w:tcBorders>
            <w:shd w:val="clear" w:color="auto" w:fill="E6E6E6"/>
          </w:tcPr>
          <w:p w14:paraId="790E1EA6" w14:textId="77777777" w:rsidR="00E55B28" w:rsidRPr="0000636F" w:rsidRDefault="00E55B28">
            <w:pPr>
              <w:rPr>
                <w:noProof/>
              </w:rPr>
            </w:pPr>
            <w:r>
              <w:rPr>
                <w:b/>
                <w:noProof/>
              </w:rPr>
              <w:t>Quais são os resultados esperados?</w:t>
            </w:r>
          </w:p>
        </w:tc>
      </w:tr>
      <w:tr w:rsidR="00E55B28" w:rsidRPr="0000636F" w14:paraId="5A6520EA" w14:textId="77777777" w:rsidTr="00E55B28">
        <w:tc>
          <w:tcPr>
            <w:tcW w:w="10490" w:type="dxa"/>
            <w:tcBorders>
              <w:bottom w:val="single" w:sz="4" w:space="0" w:color="auto"/>
            </w:tcBorders>
          </w:tcPr>
          <w:p w14:paraId="480513C6" w14:textId="351E36E9" w:rsidR="004D3E64" w:rsidRDefault="004D3E64" w:rsidP="004F2470">
            <w:pPr>
              <w:spacing w:after="120"/>
              <w:rPr>
                <w:noProof/>
                <w:color w:val="000000" w:themeColor="text1"/>
              </w:rPr>
            </w:pPr>
            <w:r>
              <w:rPr>
                <w:noProof/>
                <w:color w:val="000000" w:themeColor="text1"/>
              </w:rPr>
              <w:t>A revisão das atuais disposições da diretiva visa:</w:t>
            </w:r>
          </w:p>
          <w:p w14:paraId="26253550" w14:textId="0D952E16" w:rsidR="00445E6F" w:rsidRPr="004D3E64" w:rsidRDefault="005B3E82">
            <w:pPr>
              <w:pStyle w:val="ListParagraph"/>
              <w:numPr>
                <w:ilvl w:val="0"/>
                <w:numId w:val="14"/>
              </w:numPr>
              <w:jc w:val="both"/>
              <w:rPr>
                <w:noProof/>
              </w:rPr>
            </w:pPr>
            <w:r>
              <w:rPr>
                <w:noProof/>
                <w:color w:val="000000" w:themeColor="text1"/>
              </w:rPr>
              <w:t>atualizar as taxas mínimas da UE para garantir o bom funcionamento do mercado interno e, simultaneamente, um elevado nível de proteção da saúde, em consonância com o objetivo do Plano Europeu de Luta contra o Cancro;</w:t>
            </w:r>
          </w:p>
          <w:p w14:paraId="669D0B46" w14:textId="0BCCC0B5" w:rsidR="004D3E64" w:rsidRPr="004D3E64" w:rsidRDefault="0033324E" w:rsidP="004D3E64">
            <w:pPr>
              <w:pStyle w:val="ListParagraph"/>
              <w:numPr>
                <w:ilvl w:val="0"/>
                <w:numId w:val="14"/>
              </w:numPr>
              <w:jc w:val="both"/>
              <w:rPr>
                <w:noProof/>
              </w:rPr>
            </w:pPr>
            <w:r>
              <w:rPr>
                <w:noProof/>
                <w:color w:val="000000" w:themeColor="text1"/>
              </w:rPr>
              <w:t>garantir um tratamento fiscal coerente dos novos produtos na UE (em especial, líquidos para cigarros eletrónicos e produtos de tabaco aquecido, bem como novos produtos para uso oral modernos);</w:t>
            </w:r>
          </w:p>
          <w:p w14:paraId="5C3D6B8A" w14:textId="2051EC72" w:rsidR="004D3E64" w:rsidRDefault="0033324E" w:rsidP="004D3E64">
            <w:pPr>
              <w:pStyle w:val="ListParagraph"/>
              <w:numPr>
                <w:ilvl w:val="0"/>
                <w:numId w:val="14"/>
              </w:numPr>
              <w:jc w:val="both"/>
              <w:rPr>
                <w:noProof/>
              </w:rPr>
            </w:pPr>
            <w:r>
              <w:rPr>
                <w:noProof/>
                <w:color w:val="000000" w:themeColor="text1"/>
              </w:rPr>
              <w:t>integrar o tabaco em rama no sistema de controlo e circulação dos produtos sujeitos a impostos especiais de consumo (EMCS), a fim de combater o aumento do fabrico ilícito de cigarros na UE.</w:t>
            </w:r>
          </w:p>
          <w:p w14:paraId="4F43447A" w14:textId="4A5C2A8C" w:rsidR="00880798" w:rsidRPr="00CA3CAE" w:rsidRDefault="00E55B28" w:rsidP="004F2470">
            <w:pPr>
              <w:spacing w:after="120"/>
              <w:rPr>
                <w:noProof/>
                <w:color w:val="000000"/>
                <w:szCs w:val="24"/>
              </w:rPr>
            </w:pPr>
            <w:r>
              <w:rPr>
                <w:noProof/>
                <w:color w:val="000000"/>
              </w:rPr>
              <w:t>Os principais objetivos das opções estratégicas propostas são os seguintes:</w:t>
            </w:r>
          </w:p>
          <w:p w14:paraId="7D6BB769" w14:textId="77777777" w:rsidR="00445E6F" w:rsidRPr="00A667D9" w:rsidRDefault="00445E6F" w:rsidP="00445E6F">
            <w:pPr>
              <w:pStyle w:val="ListParagraph"/>
              <w:numPr>
                <w:ilvl w:val="0"/>
                <w:numId w:val="11"/>
              </w:numPr>
              <w:autoSpaceDE w:val="0"/>
              <w:autoSpaceDN w:val="0"/>
              <w:adjustRightInd w:val="0"/>
              <w:spacing w:before="0"/>
              <w:rPr>
                <w:rFonts w:eastAsiaTheme="minorEastAsia"/>
                <w:noProof/>
                <w:color w:val="000000"/>
              </w:rPr>
            </w:pPr>
            <w:r>
              <w:rPr>
                <w:noProof/>
                <w:color w:val="000000"/>
              </w:rPr>
              <w:t>garantir o bom funcionamento do mercado interno;</w:t>
            </w:r>
          </w:p>
          <w:p w14:paraId="2868272A" w14:textId="417089DE" w:rsidR="00445E6F" w:rsidRPr="00A667D9" w:rsidRDefault="00445E6F" w:rsidP="00445E6F">
            <w:pPr>
              <w:pStyle w:val="ListParagraph"/>
              <w:numPr>
                <w:ilvl w:val="0"/>
                <w:numId w:val="11"/>
              </w:numPr>
              <w:autoSpaceDE w:val="0"/>
              <w:autoSpaceDN w:val="0"/>
              <w:adjustRightInd w:val="0"/>
              <w:spacing w:before="0"/>
              <w:rPr>
                <w:rFonts w:eastAsiaTheme="minorEastAsia"/>
                <w:noProof/>
                <w:color w:val="000000"/>
              </w:rPr>
            </w:pPr>
            <w:r>
              <w:rPr>
                <w:noProof/>
                <w:color w:val="000000"/>
              </w:rPr>
              <w:t>garantir um elevado nível de proteção da saúde;</w:t>
            </w:r>
          </w:p>
          <w:p w14:paraId="3EB33F03" w14:textId="77777777" w:rsidR="00445E6F" w:rsidRPr="00866DF8" w:rsidRDefault="00445E6F" w:rsidP="00445E6F">
            <w:pPr>
              <w:pStyle w:val="ListParagraph"/>
              <w:numPr>
                <w:ilvl w:val="0"/>
                <w:numId w:val="11"/>
              </w:numPr>
              <w:autoSpaceDE w:val="0"/>
              <w:autoSpaceDN w:val="0"/>
              <w:adjustRightInd w:val="0"/>
              <w:spacing w:before="0"/>
              <w:rPr>
                <w:rFonts w:eastAsiaTheme="minorEastAsia"/>
                <w:noProof/>
                <w:color w:val="000000"/>
              </w:rPr>
            </w:pPr>
            <w:r>
              <w:rPr>
                <w:noProof/>
                <w:color w:val="000000"/>
              </w:rPr>
              <w:t>lutar contra a fraude e salvaguardar as receitas dos Estados-Membros.</w:t>
            </w:r>
            <w:r>
              <w:rPr>
                <w:b/>
                <w:noProof/>
                <w:color w:val="000000"/>
                <w:sz w:val="23"/>
              </w:rPr>
              <w:t xml:space="preserve"> </w:t>
            </w:r>
          </w:p>
          <w:p w14:paraId="57AF4988" w14:textId="00D93259" w:rsidR="00733215" w:rsidRPr="004F2470" w:rsidRDefault="004F2470" w:rsidP="004F2470">
            <w:pPr>
              <w:spacing w:after="120"/>
              <w:rPr>
                <w:noProof/>
              </w:rPr>
            </w:pPr>
            <w:r>
              <w:rPr>
                <w:noProof/>
              </w:rPr>
              <w:t>Mais especificamente, esta iniciativa visa:</w:t>
            </w:r>
          </w:p>
          <w:p w14:paraId="7F066AE2" w14:textId="53A66BC2" w:rsidR="00733215" w:rsidRPr="00733215" w:rsidRDefault="00733215" w:rsidP="00733215">
            <w:pPr>
              <w:pStyle w:val="ListParagraph"/>
              <w:numPr>
                <w:ilvl w:val="0"/>
                <w:numId w:val="12"/>
              </w:numPr>
              <w:spacing w:before="0" w:after="0"/>
              <w:jc w:val="both"/>
              <w:rPr>
                <w:noProof/>
              </w:rPr>
            </w:pPr>
            <w:r>
              <w:rPr>
                <w:noProof/>
              </w:rPr>
              <w:t>aproximar as taxas e os regimes de tributação dos Estados-Membros a médio prazo</w:t>
            </w:r>
            <w:r w:rsidR="00890B82">
              <w:rPr>
                <w:rStyle w:val="FootnoteReference"/>
                <w:noProof/>
              </w:rPr>
              <w:footnoteReference w:id="2"/>
            </w:r>
            <w:r>
              <w:rPr>
                <w:noProof/>
              </w:rPr>
              <w:t xml:space="preserve">;  </w:t>
            </w:r>
          </w:p>
          <w:p w14:paraId="343F5391" w14:textId="497E268B" w:rsidR="00733215" w:rsidRPr="00733215" w:rsidRDefault="00A535B6" w:rsidP="00733215">
            <w:pPr>
              <w:pStyle w:val="ListParagraph"/>
              <w:numPr>
                <w:ilvl w:val="0"/>
                <w:numId w:val="12"/>
              </w:numPr>
              <w:spacing w:before="0" w:after="0"/>
              <w:jc w:val="both"/>
              <w:rPr>
                <w:noProof/>
              </w:rPr>
            </w:pPr>
            <w:r>
              <w:rPr>
                <w:noProof/>
              </w:rPr>
              <w:lastRenderedPageBreak/>
              <w:t>desencorajar, a curto prazo, a substituição por motivos fiscais entre os diferentes produtos do tabaco e seus sucedâneos;</w:t>
            </w:r>
          </w:p>
          <w:p w14:paraId="7C75B811" w14:textId="3AF54755" w:rsidR="00733215" w:rsidRPr="00733215" w:rsidRDefault="00733215" w:rsidP="00733215">
            <w:pPr>
              <w:pStyle w:val="ListParagraph"/>
              <w:numPr>
                <w:ilvl w:val="0"/>
                <w:numId w:val="12"/>
              </w:numPr>
              <w:spacing w:before="0" w:after="0"/>
              <w:jc w:val="both"/>
              <w:rPr>
                <w:noProof/>
              </w:rPr>
            </w:pPr>
            <w:r>
              <w:rPr>
                <w:noProof/>
              </w:rPr>
              <w:t>aumentar os níveis de preços relativos de forma a influenciar os comportamentos de consumo, com vista a reduzir a prevalência do tabagismo de acordo com o objetivo do Plano Europeu de Luta contra o Cancro para 2040;</w:t>
            </w:r>
          </w:p>
          <w:p w14:paraId="4B234E93" w14:textId="0D7E8B12" w:rsidR="00733215" w:rsidRPr="00733215" w:rsidRDefault="00733215" w:rsidP="00733215">
            <w:pPr>
              <w:pStyle w:val="ListParagraph"/>
              <w:numPr>
                <w:ilvl w:val="0"/>
                <w:numId w:val="12"/>
              </w:numPr>
              <w:spacing w:before="0" w:after="0"/>
              <w:jc w:val="both"/>
              <w:rPr>
                <w:noProof/>
              </w:rPr>
            </w:pPr>
            <w:r>
              <w:rPr>
                <w:noProof/>
              </w:rPr>
              <w:t>garantir, a curto prazo, a segurança jurídica em termos de definição de produtos e de classificação fiscal para todas as partes interessadas;</w:t>
            </w:r>
          </w:p>
          <w:p w14:paraId="0FC02C03" w14:textId="6214A294" w:rsidR="00E55B28" w:rsidRPr="00733215" w:rsidRDefault="00733215" w:rsidP="00EC268B">
            <w:pPr>
              <w:pStyle w:val="ListParagraph"/>
              <w:numPr>
                <w:ilvl w:val="0"/>
                <w:numId w:val="12"/>
              </w:numPr>
              <w:spacing w:before="0"/>
              <w:ind w:left="714" w:hanging="357"/>
              <w:contextualSpacing w:val="0"/>
              <w:jc w:val="both"/>
              <w:rPr>
                <w:rFonts w:eastAsiaTheme="minorEastAsia"/>
                <w:noProof/>
                <w:color w:val="000000"/>
              </w:rPr>
            </w:pPr>
            <w:r>
              <w:rPr>
                <w:noProof/>
                <w:color w:val="000000"/>
              </w:rPr>
              <w:t>garantir, a curto prazo, uma administração eficaz dos impostos especiais de consumo, incluindo a aplicação eficaz, a cobrança de impostos, a redução da fraude e a elisão fiscais, alargando a aplicação das disposições em matéria de circulação e controlo.</w:t>
            </w:r>
          </w:p>
        </w:tc>
      </w:tr>
      <w:tr w:rsidR="00E55B28" w:rsidRPr="0000636F" w14:paraId="1EE3A421" w14:textId="77777777" w:rsidTr="00E55B28">
        <w:tc>
          <w:tcPr>
            <w:tcW w:w="10490" w:type="dxa"/>
            <w:tcBorders>
              <w:bottom w:val="single" w:sz="4" w:space="0" w:color="auto"/>
            </w:tcBorders>
            <w:shd w:val="clear" w:color="auto" w:fill="E6E6E6"/>
          </w:tcPr>
          <w:p w14:paraId="74ACA931" w14:textId="77777777" w:rsidR="00E55B28" w:rsidRPr="0000636F" w:rsidRDefault="00E55B28">
            <w:pPr>
              <w:rPr>
                <w:noProof/>
              </w:rPr>
            </w:pPr>
            <w:r>
              <w:rPr>
                <w:b/>
                <w:noProof/>
              </w:rPr>
              <w:lastRenderedPageBreak/>
              <w:t>Qual é o valor acrescentado da ação a nível da UE (subsidiariedade)?</w:t>
            </w:r>
            <w:r>
              <w:rPr>
                <w:noProof/>
              </w:rPr>
              <w:t xml:space="preserve"> </w:t>
            </w:r>
          </w:p>
        </w:tc>
      </w:tr>
      <w:tr w:rsidR="00E55B28" w:rsidRPr="0000636F" w14:paraId="3E9E3BD4" w14:textId="77777777" w:rsidTr="0092607A">
        <w:trPr>
          <w:trHeight w:val="2052"/>
        </w:trPr>
        <w:tc>
          <w:tcPr>
            <w:tcW w:w="10490" w:type="dxa"/>
            <w:tcBorders>
              <w:bottom w:val="single" w:sz="4" w:space="0" w:color="auto"/>
            </w:tcBorders>
          </w:tcPr>
          <w:p w14:paraId="1E1C4C0C" w14:textId="66A2AF26" w:rsidR="00D01B4D" w:rsidRPr="0000636F" w:rsidRDefault="00E55B28" w:rsidP="001E3C3F">
            <w:pPr>
              <w:rPr>
                <w:noProof/>
              </w:rPr>
            </w:pPr>
            <w:r>
              <w:rPr>
                <w:noProof/>
              </w:rPr>
              <w:t xml:space="preserve">Os problemas identificados, em especial o tratamento fiscal incoerente entre os diferentes produtos e o aumento do fabrico ilícito de produtos do tabaco na UE, bem como as suas causas, não podem ser abordados isoladamente pelos Estados-Membros. As limitações do atual quadro regulamentar afetam negativamente a eficácia das políticas nacionais de luta antitabaco e de saúde pública, o que compromete os objetivos do Plano Europeu de Luta contra o Cancro. Por conseguinte, é necessária uma revisão da diretiva. Nenhuma iniciativa nacional, bilateral ou internacional alternativa proporcionaria às partes interessadas o mesmo nível de eficácia em termos de abordagem desta questão a nível da UE.  </w:t>
            </w:r>
          </w:p>
        </w:tc>
      </w:tr>
      <w:tr w:rsidR="00E55B28" w:rsidRPr="0000636F" w14:paraId="1CA20537" w14:textId="77777777" w:rsidTr="00E55B28">
        <w:tc>
          <w:tcPr>
            <w:tcW w:w="10490" w:type="dxa"/>
            <w:tcBorders>
              <w:bottom w:val="single" w:sz="4" w:space="0" w:color="auto"/>
            </w:tcBorders>
            <w:shd w:val="clear" w:color="auto" w:fill="CCCCCC"/>
          </w:tcPr>
          <w:p w14:paraId="576A1B31" w14:textId="77777777" w:rsidR="00E55B28" w:rsidRPr="0000636F" w:rsidRDefault="00E55B28">
            <w:pPr>
              <w:rPr>
                <w:b/>
                <w:noProof/>
              </w:rPr>
            </w:pPr>
            <w:r>
              <w:rPr>
                <w:b/>
                <w:noProof/>
              </w:rPr>
              <w:t>B. Soluções</w:t>
            </w:r>
          </w:p>
        </w:tc>
      </w:tr>
      <w:tr w:rsidR="00E55B28" w:rsidRPr="0000636F" w14:paraId="60A35CF8" w14:textId="77777777" w:rsidTr="00E55B28">
        <w:tc>
          <w:tcPr>
            <w:tcW w:w="10490" w:type="dxa"/>
            <w:tcBorders>
              <w:bottom w:val="single" w:sz="4" w:space="0" w:color="auto"/>
            </w:tcBorders>
            <w:shd w:val="clear" w:color="auto" w:fill="E6E6E6"/>
          </w:tcPr>
          <w:p w14:paraId="0EAEBD5D" w14:textId="77777777" w:rsidR="00E55B28" w:rsidRPr="0000636F" w:rsidRDefault="00E55B28">
            <w:pPr>
              <w:rPr>
                <w:noProof/>
              </w:rPr>
            </w:pPr>
            <w:r>
              <w:rPr>
                <w:b/>
                <w:noProof/>
              </w:rPr>
              <w:t>Quais são as várias opções para cumprir os objetivos?</w:t>
            </w:r>
            <w:r>
              <w:rPr>
                <w:noProof/>
              </w:rPr>
              <w:t xml:space="preserve"> </w:t>
            </w:r>
            <w:r>
              <w:rPr>
                <w:b/>
                <w:noProof/>
              </w:rPr>
              <w:t>Há alguma opção preferida? Em caso negativo, por que razão?</w:t>
            </w:r>
          </w:p>
        </w:tc>
      </w:tr>
      <w:tr w:rsidR="00E55B28" w:rsidRPr="0000636F" w14:paraId="7706C7AF" w14:textId="77777777" w:rsidTr="00E55B28">
        <w:tc>
          <w:tcPr>
            <w:tcW w:w="10490" w:type="dxa"/>
            <w:tcBorders>
              <w:bottom w:val="single" w:sz="4" w:space="0" w:color="auto"/>
            </w:tcBorders>
          </w:tcPr>
          <w:p w14:paraId="5E61B96F" w14:textId="65C8953C" w:rsidR="002806F0" w:rsidRDefault="002806F0" w:rsidP="00C60A08">
            <w:pPr>
              <w:spacing w:before="120" w:after="120"/>
              <w:rPr>
                <w:noProof/>
              </w:rPr>
            </w:pPr>
            <w:r>
              <w:rPr>
                <w:noProof/>
              </w:rPr>
              <w:t xml:space="preserve">Os domínios de intervenção examinados na análise de impacto são: 1) a revisão das taxas mínimas da UE e de determinadas categorias de produtos do tabaco tradicionais; 2) o alargamento do âmbito de aplicação da diretiva aos novos produtos, e 3) o alargamento do âmbito de aplicação ao tabaco em rama. </w:t>
            </w:r>
          </w:p>
          <w:p w14:paraId="5204B97D" w14:textId="301280BD" w:rsidR="00FD51E0" w:rsidRPr="0055102F" w:rsidRDefault="003D6A00" w:rsidP="0055102F">
            <w:pPr>
              <w:spacing w:before="120" w:after="120"/>
              <w:rPr>
                <w:noProof/>
              </w:rPr>
            </w:pPr>
            <w:r>
              <w:rPr>
                <w:noProof/>
              </w:rPr>
              <w:t xml:space="preserve">As opções para a </w:t>
            </w:r>
            <w:r>
              <w:rPr>
                <w:i/>
                <w:noProof/>
              </w:rPr>
              <w:t>revisão das taxas mínimas da UE e de determinadas categorias de produtos do tabaco</w:t>
            </w:r>
            <w:r>
              <w:rPr>
                <w:noProof/>
              </w:rPr>
              <w:t xml:space="preserve"> seguem as conclusões do Conselho, segundo as quais devem ser tidas em conta as diferentes situações económicas dos Estados-Membros. As três opções propõem um aumento limitado (opção 1), moderado (opção 2) e elevado (opção 3) das taxas mínimas da UE, parcialmente expressas em paridades de poder de compra (PPC), a fim de melhor se adaptar à realidade económica de cada Estado-Membro. Simultaneamente, a fim de assegurar a durabilidade da orientação política ao longo do tempo, as taxas mínimas do imposto especial de consumo devem ter em conta as tendências de inflação média na UE, com base no Índice Harmonizado de Preços no Consumidor (IHPC). As opções 2 e 3 incluem aumentos graduais para os charutos, as cigarrilhas e os outros tabacos para fumar, destinados a reduzir progressivamente a médio prazo a diferença em relação à taxa dos cigarros, contribuindo para o objetivo do Plano Europeu de Luta contra o Cancro. </w:t>
            </w:r>
          </w:p>
          <w:p w14:paraId="0ABE9590" w14:textId="076A72C0" w:rsidR="00F81FA0" w:rsidRDefault="004904F0" w:rsidP="00F81FA0">
            <w:pPr>
              <w:spacing w:after="120"/>
              <w:rPr>
                <w:noProof/>
              </w:rPr>
            </w:pPr>
            <w:r>
              <w:rPr>
                <w:noProof/>
              </w:rPr>
              <w:t>As opções para o</w:t>
            </w:r>
            <w:r>
              <w:rPr>
                <w:i/>
                <w:noProof/>
              </w:rPr>
              <w:t xml:space="preserve"> alargamento do âmbito de aplicação da diretiva aos novos produtos</w:t>
            </w:r>
            <w:r>
              <w:rPr>
                <w:noProof/>
              </w:rPr>
              <w:t xml:space="preserve"> procuram criar condições de concorrência equitativas e apoiar o bom funcionamento do mercado interno. No que se refere aos produtos de tabaco aquecido, a opção 1 propõe uma taxa mínima da UE moderada; a opção 2, uma taxa mínima da UE mais elevada. No que se refere aos líquidos para cigarros eletrónicos, a opção 1 propõe uma taxa zero para a taxa mínima da UE; a opção 2, uma taxa positiva; e a opção 3, taxas diferentes em função da concentração de nicotina. No que se refere aos outros tabacos manufaturados e aos produtos relacionados com o tabaco (incluindo os novos produtos comerciais com nicotina destinados aos jovens), a opção 1 propõe taxas mínimas de base; a opção 2, taxas mínimas limitadas; e a opção 3, taxas elevadas e gradualmente crescentes.</w:t>
            </w:r>
          </w:p>
          <w:p w14:paraId="59C332A4" w14:textId="77777777" w:rsidR="0087340A" w:rsidRDefault="0087340A" w:rsidP="005B3E82">
            <w:pPr>
              <w:spacing w:after="120"/>
              <w:rPr>
                <w:noProof/>
              </w:rPr>
            </w:pPr>
            <w:r>
              <w:rPr>
                <w:noProof/>
              </w:rPr>
              <w:t xml:space="preserve">As opções para o </w:t>
            </w:r>
            <w:r>
              <w:rPr>
                <w:i/>
                <w:noProof/>
              </w:rPr>
              <w:t>alargamento do âmbito de aplicação ao tabaco em rama</w:t>
            </w:r>
            <w:r>
              <w:rPr>
                <w:noProof/>
              </w:rPr>
              <w:t xml:space="preserve"> integram o tabaco em rama no sistema de controlo e circulação dos produtos sujeitos a impostos especiais de consumo (EMCS), a fim de combater o aumento súbito de fábricas clandestinas na UE. A opção 1 propõe uma taxa zero para a taxa mínima da UE; a opção 2, uma taxa positiva alinhada com a taxa mínima cobrada sobre os «outros produtos de tabaco para fumar».</w:t>
            </w:r>
          </w:p>
          <w:p w14:paraId="4493D95E" w14:textId="76BE363F" w:rsidR="007678D7" w:rsidRPr="00887BB5" w:rsidRDefault="007678D7" w:rsidP="007D38B5">
            <w:pPr>
              <w:spacing w:after="120"/>
              <w:rPr>
                <w:noProof/>
              </w:rPr>
            </w:pPr>
            <w:r>
              <w:rPr>
                <w:noProof/>
              </w:rPr>
              <w:t>A opção preferida combina uma abordagem ambiciosa das taxas mínimas do imposto especial sobre o consumo do tabaco tradicional e dos novos produtos, a fim de cumprir eficazmente os objetivos estabelecidos para a revisão, em consonância com objetivos estratégicos mais vastos, equilibrando simultaneamente os custos suportados e os encargos administrativos.</w:t>
            </w:r>
          </w:p>
        </w:tc>
      </w:tr>
      <w:tr w:rsidR="00E55B28" w:rsidRPr="0000636F" w14:paraId="353DE4BC" w14:textId="77777777" w:rsidTr="00E55B28">
        <w:tc>
          <w:tcPr>
            <w:tcW w:w="10490" w:type="dxa"/>
            <w:shd w:val="clear" w:color="auto" w:fill="CCCCCC"/>
          </w:tcPr>
          <w:p w14:paraId="5A276AED" w14:textId="77777777" w:rsidR="00E55B28" w:rsidRPr="0000636F" w:rsidRDefault="00E55B28">
            <w:pPr>
              <w:rPr>
                <w:noProof/>
              </w:rPr>
            </w:pPr>
            <w:r>
              <w:rPr>
                <w:b/>
                <w:noProof/>
              </w:rPr>
              <w:t xml:space="preserve">Quais são as perspetivas dos vários intervenientes? Quem apoia cada uma das opções? </w:t>
            </w:r>
          </w:p>
        </w:tc>
      </w:tr>
      <w:tr w:rsidR="00E55B28" w:rsidRPr="0000636F" w14:paraId="27680951" w14:textId="77777777" w:rsidTr="00E55B28">
        <w:tc>
          <w:tcPr>
            <w:tcW w:w="10490" w:type="dxa"/>
          </w:tcPr>
          <w:p w14:paraId="7642574C" w14:textId="5C3C26F2" w:rsidR="003D7484" w:rsidRDefault="003D7484" w:rsidP="003D7484">
            <w:pPr>
              <w:rPr>
                <w:noProof/>
                <w:szCs w:val="24"/>
              </w:rPr>
            </w:pPr>
            <w:r>
              <w:rPr>
                <w:noProof/>
              </w:rPr>
              <w:t>A consulta pública confirmou a importância de combater a substituição crescente dos cigarros por outros produtos do tabaco (principalmente por tabaco de corte fino para cigarros de enrolar) e, mais ainda, por novos produtos não regulamentados (como líquidos para cigarros eletrónicos e tabaco aquecido). Apesar da resistência por parte dos cidadãos e dos representantes do setor à ideia de aumentar a tributação de uma série de produtos, a maioria dos inquiridos concordou com a necessidade de reduzir as disparidades nos níveis de tributação entre os produtos do tabaco tradicionais. No entanto, não apoiaram a total equiparação das taxas entre os diferentes produtos. O meio académico, as ONG, os peritos em saúde pública e outras categorias de inquiridos concordaram quase unanimemente que era necessário aumentar a tributação e colmatar os níveis de disparidade de tributação existentes.</w:t>
            </w:r>
          </w:p>
          <w:p w14:paraId="0DB1643C" w14:textId="4C1425B0" w:rsidR="003D7484" w:rsidRDefault="001E4950" w:rsidP="003D7484">
            <w:pPr>
              <w:rPr>
                <w:noProof/>
                <w:szCs w:val="24"/>
              </w:rPr>
            </w:pPr>
            <w:r>
              <w:rPr>
                <w:noProof/>
              </w:rPr>
              <w:t>No que diz respeito aos novos produtos, houve um amplo consenso quanto à necessidade de os ter em conta e de harmonizar a sua tributação, com a exceção notável das respostas dos cidadãos sobre os cigarros eletrónicos (no entanto, refira-se que os inquiridos eram principalmente consumidores de cigarros eletrónicos). A maioria dos inquiridos considerou que os cigarros eletrónicos deveriam ser tributados a uma taxa inferior à dos produtos do tabaco tradicionais.</w:t>
            </w:r>
          </w:p>
          <w:p w14:paraId="4A2FC005" w14:textId="77777777" w:rsidR="0087340A" w:rsidRDefault="003D7484" w:rsidP="003D7484">
            <w:pPr>
              <w:rPr>
                <w:noProof/>
                <w:szCs w:val="24"/>
              </w:rPr>
            </w:pPr>
            <w:r>
              <w:rPr>
                <w:noProof/>
              </w:rPr>
              <w:t xml:space="preserve">Os inquiridos reconheceram a importância da luta contra o comércio e o fabrico ilícito dos produtos do tabaco e apelaram a uma maior ação por parte da UE. A maioria (com a notável exceção dos representantes do setor) manifestou-se a favor da inclusão do tabaco em rama entre os produtos a controlar através do sistema de controlo da circulação dos produtos sujeitos a impostos especiais de consumo (EMCS). </w:t>
            </w:r>
          </w:p>
          <w:p w14:paraId="227CC396" w14:textId="06673E62" w:rsidR="00945579" w:rsidRPr="00945579" w:rsidRDefault="00945579" w:rsidP="003D7484">
            <w:pPr>
              <w:rPr>
                <w:rFonts w:eastAsia="Arial Unicode MS"/>
                <w:noProof/>
              </w:rPr>
            </w:pPr>
            <w:r>
              <w:rPr>
                <w:noProof/>
              </w:rPr>
              <w:t>Uma vez que a avaliação de impacto não foi seguida de uma proposta legislativa nessa altura, foi encomendado um estudo em 2024, a fim de atualizar a evolução do mercado e da regulamentação e uma análise conexa. O estudo confirma que as opções previstas continuam a ser as mais pertinentes e que os seus impactos estimados continuam a ser exatos. A avaliação de impacto foi atualizada na medida do necessário para integrar essa análise recente e refletir na proposta de taxas mínimas harmonizadas da UE a inflação registada desde 2022. Foi também completada com o controlo da competitividade e o controlo das PME — ambos disponíveis nos respetivos anexos da avaliação de impacto, de acordo com os novos requisitos da iniciativa «Legislar Melhor».</w:t>
            </w:r>
          </w:p>
        </w:tc>
      </w:tr>
      <w:tr w:rsidR="00E55B28" w:rsidRPr="0000636F" w14:paraId="1B278941" w14:textId="77777777" w:rsidTr="00E55B28">
        <w:tc>
          <w:tcPr>
            <w:tcW w:w="10490" w:type="dxa"/>
            <w:tcBorders>
              <w:bottom w:val="single" w:sz="4" w:space="0" w:color="auto"/>
            </w:tcBorders>
            <w:shd w:val="clear" w:color="auto" w:fill="CCCCCC"/>
          </w:tcPr>
          <w:p w14:paraId="5D3A2843" w14:textId="77777777" w:rsidR="00E55B28" w:rsidRPr="0000636F" w:rsidRDefault="00E55B28">
            <w:pPr>
              <w:rPr>
                <w:b/>
                <w:noProof/>
              </w:rPr>
            </w:pPr>
            <w:r>
              <w:rPr>
                <w:b/>
                <w:noProof/>
              </w:rPr>
              <w:t>C. Impactos da opção preferida</w:t>
            </w:r>
          </w:p>
        </w:tc>
      </w:tr>
      <w:tr w:rsidR="00E55B28" w:rsidRPr="0000636F" w14:paraId="01B0F093" w14:textId="77777777" w:rsidTr="00E55B28">
        <w:tc>
          <w:tcPr>
            <w:tcW w:w="10490" w:type="dxa"/>
            <w:tcBorders>
              <w:bottom w:val="single" w:sz="4" w:space="0" w:color="auto"/>
            </w:tcBorders>
            <w:shd w:val="clear" w:color="auto" w:fill="E6E6E6"/>
          </w:tcPr>
          <w:p w14:paraId="56C94034" w14:textId="0E5AF522" w:rsidR="00E55B28" w:rsidRPr="0000636F" w:rsidRDefault="00E55B28" w:rsidP="007E30EC">
            <w:pPr>
              <w:rPr>
                <w:noProof/>
              </w:rPr>
            </w:pPr>
            <w:r>
              <w:rPr>
                <w:b/>
                <w:noProof/>
              </w:rPr>
              <w:t>Quais os benefícios da opção preferida</w:t>
            </w:r>
            <w:r>
              <w:rPr>
                <w:noProof/>
              </w:rPr>
              <w:t xml:space="preserve"> </w:t>
            </w:r>
            <w:r>
              <w:rPr>
                <w:b/>
                <w:noProof/>
              </w:rPr>
              <w:t>(se existir; caso contrário, das principais opções)</w:t>
            </w:r>
            <w:r>
              <w:rPr>
                <w:noProof/>
              </w:rPr>
              <w:t xml:space="preserve">? </w:t>
            </w:r>
          </w:p>
        </w:tc>
      </w:tr>
      <w:tr w:rsidR="00E55B28" w:rsidRPr="0000636F" w14:paraId="20908D6D" w14:textId="77777777" w:rsidTr="00E55B28">
        <w:tc>
          <w:tcPr>
            <w:tcW w:w="10490" w:type="dxa"/>
            <w:tcBorders>
              <w:bottom w:val="single" w:sz="4" w:space="0" w:color="auto"/>
            </w:tcBorders>
          </w:tcPr>
          <w:p w14:paraId="095F0332" w14:textId="1478A751" w:rsidR="003908D0" w:rsidRDefault="003908D0" w:rsidP="00B25801">
            <w:pPr>
              <w:spacing w:after="120"/>
              <w:rPr>
                <w:noProof/>
              </w:rPr>
            </w:pPr>
            <w:r>
              <w:rPr>
                <w:noProof/>
              </w:rPr>
              <w:t xml:space="preserve">A opção preferida para </w:t>
            </w:r>
            <w:r>
              <w:rPr>
                <w:i/>
                <w:noProof/>
              </w:rPr>
              <w:t>a revisão das taxas mínimas da UE e de determinadas categorias de produtos do tabaco</w:t>
            </w:r>
            <w:r>
              <w:rPr>
                <w:noProof/>
              </w:rPr>
              <w:t xml:space="preserve"> é a opção 3 — um aumento elevado das taxas mínimas com um período transitório de quatro anos para os charutos, as cigarrilhas, o tabaco para cachimbo de água e os outros tabacos para fumar. Esta opção é a mais eficaz para reduzir o consumo de tabaco. Reduziria a prevalência do tabagismo para 20,8 %, em conformidade com o objetivo a longo prazo do Plano Europeu de Luta contra o Cancro de uma geração livre de tabaco (em que menos de 5 % da população consuma tabaco até 2040). Esta opção poderia também conduzir a um aumento significativo dos impostos especiais de consumo em quase metade dos Estados-Membros e, para alguns, a um aumento sem precedentes, nomeadamente no caso dos produtos com níveis de tributação historicamente baixos, como os charutos e as cigarrilhas, o que torna difícil antever todos os efeitos no mercado (redução das vendas, elevados custos de conformidade para os operadores económicos). No entanto, a abordagem parcialmente baseada na PPC atenua os efeitos mais extremos, o que permite uma maior ambição.</w:t>
            </w:r>
          </w:p>
          <w:p w14:paraId="53FF6F55" w14:textId="73B7820C" w:rsidR="003908D0" w:rsidRDefault="00CC5ECC" w:rsidP="00CC5ECC">
            <w:pPr>
              <w:rPr>
                <w:noProof/>
              </w:rPr>
            </w:pPr>
            <w:r>
              <w:rPr>
                <w:noProof/>
              </w:rPr>
              <w:t xml:space="preserve">A opção preferida para o </w:t>
            </w:r>
            <w:r>
              <w:rPr>
                <w:i/>
                <w:noProof/>
              </w:rPr>
              <w:t>alargamento do âmbito de aplicação da diretiva</w:t>
            </w:r>
            <w:r>
              <w:rPr>
                <w:noProof/>
              </w:rPr>
              <w:t xml:space="preserve"> consiste na introdução de novas categorias de impostos especiais de consumo para cada uma das novas categorias de produtos. Em termos de taxas mínimas, a opção 2 é a preferida no que se refere aos produtos de tabaco aquecido; no caso dos líquidos para cigarros eletrónicos, é preferida a opção 3, que combina duas taxas fixas para produtos com baixo e com elevado teor de nicotina; a opção 3 é preferida para os outros tabacos manufaturados e produtos relacionados com o tabaco, prevendo um aumento gradual do mínimo fixo ao longo de quatro anos até atingir os 143 EUR. O estabelecimento de definições harmonizadas, tratamento fiscal, requisitos de circulação e controlo para os novos produtos colmataria uma lacuna regulamentar, eliminaria a fragmentação substancial causada por vários regimes nacionais diferentes e melhoraria o funcionamento do mercado destes produtos. No que diz respeito às taxas dos impostos especiais de consumo propostas, a introdução de taxas mínimas da UE elevadas reduziria as disparidades fiscais entre os novos produtos e os produtos tradicionais do tabaco, e, por conseguinte, a substituição por motivos fiscais.</w:t>
            </w:r>
          </w:p>
          <w:p w14:paraId="7C09D72B" w14:textId="07D14870" w:rsidR="00527EDB" w:rsidRPr="00527EDB" w:rsidRDefault="006C03BB" w:rsidP="00527EDB">
            <w:pPr>
              <w:pStyle w:val="Text2"/>
              <w:spacing w:after="120"/>
              <w:ind w:left="0"/>
              <w:jc w:val="both"/>
              <w:rPr>
                <w:noProof/>
              </w:rPr>
            </w:pPr>
            <w:r>
              <w:rPr>
                <w:noProof/>
              </w:rPr>
              <w:t xml:space="preserve">A opção preferida para alargamento do </w:t>
            </w:r>
            <w:r>
              <w:rPr>
                <w:i/>
                <w:noProof/>
              </w:rPr>
              <w:t>âmbito de aplicação ao tabaco em rama</w:t>
            </w:r>
            <w:r>
              <w:rPr>
                <w:noProof/>
              </w:rPr>
              <w:t xml:space="preserve"> é a opção 1 — uma nova categoria de impostos especiais sobre o consumo do tabaco em rama com uma taxa mínima de zero. Esta opção prevê a aplicação do sistema EMCS à circulação transfronteiriça. Neste sentido, as autoridades dos Estados-Membros teriam acesso a uma ferramenta informática facilmente disponível que permite o acompanhamento das operações da cadeia de abastecimento e, por conseguinte, ajuda a detetar irregularidades e potenciais rotas de desvio. Ao introduzir uma taxa zero, o mecanismo continua proporcional ao objetivo de combater a evasão e a fraude fiscal e evita a dupla tributação. </w:t>
            </w:r>
          </w:p>
        </w:tc>
      </w:tr>
      <w:tr w:rsidR="00E55B28" w:rsidRPr="0000636F" w14:paraId="455DACF7" w14:textId="77777777" w:rsidTr="00E55B28">
        <w:tc>
          <w:tcPr>
            <w:tcW w:w="10490" w:type="dxa"/>
            <w:tcBorders>
              <w:bottom w:val="single" w:sz="4" w:space="0" w:color="auto"/>
            </w:tcBorders>
            <w:shd w:val="clear" w:color="auto" w:fill="E6E6E6"/>
          </w:tcPr>
          <w:p w14:paraId="648E624A" w14:textId="77777777" w:rsidR="00E55B28" w:rsidRPr="0000636F" w:rsidRDefault="00E55B28" w:rsidP="007E30EC">
            <w:pPr>
              <w:rPr>
                <w:noProof/>
              </w:rPr>
            </w:pPr>
            <w:r>
              <w:rPr>
                <w:b/>
                <w:noProof/>
              </w:rPr>
              <w:t>Quais são os custos da opção preferida (se existir; caso contrário, das principais opções)?</w:t>
            </w:r>
            <w:r>
              <w:rPr>
                <w:noProof/>
              </w:rPr>
              <w:t xml:space="preserve"> </w:t>
            </w:r>
          </w:p>
        </w:tc>
      </w:tr>
      <w:tr w:rsidR="00E55B28" w:rsidRPr="0000636F" w14:paraId="546B1529" w14:textId="77777777" w:rsidTr="0092607A">
        <w:trPr>
          <w:trHeight w:val="1975"/>
        </w:trPr>
        <w:tc>
          <w:tcPr>
            <w:tcW w:w="10490" w:type="dxa"/>
            <w:tcBorders>
              <w:bottom w:val="single" w:sz="4" w:space="0" w:color="auto"/>
            </w:tcBorders>
          </w:tcPr>
          <w:p w14:paraId="35C151C7" w14:textId="62050C54" w:rsidR="002F17BE" w:rsidRPr="00564E94" w:rsidRDefault="00527EDB" w:rsidP="00564E94">
            <w:pPr>
              <w:rPr>
                <w:noProof/>
                <w:szCs w:val="24"/>
              </w:rPr>
            </w:pPr>
            <w:r>
              <w:rPr>
                <w:i/>
                <w:noProof/>
              </w:rPr>
              <w:t>A opção preferida para o alargamento do âmbito de aplicação aos novos produtos e ao tabaco em rama</w:t>
            </w:r>
            <w:r>
              <w:rPr>
                <w:noProof/>
              </w:rPr>
              <w:t xml:space="preserve"> geraria um aumento moderado dos custos administrativos para os operadores económicos, que pode ocasionalmente ser mais significativo no caso das PME (principalmente no setor dos cigarros eletrónicos) devido à necessidade de implementar requisitos de circulação e controlo aplicáveis aos produtos sujeitos a impostos especiais de consumo. As grandes empresas tabaqueiras ativas no segmento dos novos produtos já estão equipadas para respeitar estas regras. Os custos administrativos adicionais para as autoridades fiscais seriam também moderados, uma vez que os Estados-Membros que introduziram impostos especiais sobre o consumo dos novos produtos e do tabaco em rama já aplicam regras e medidas de controlo semelhantes às dos produtos do tabaco convencionais.</w:t>
            </w:r>
          </w:p>
        </w:tc>
      </w:tr>
      <w:tr w:rsidR="00E55B28" w:rsidRPr="0000636F" w14:paraId="4543765D" w14:textId="77777777" w:rsidTr="00E55B28">
        <w:tc>
          <w:tcPr>
            <w:tcW w:w="10490" w:type="dxa"/>
            <w:tcBorders>
              <w:bottom w:val="single" w:sz="4" w:space="0" w:color="auto"/>
            </w:tcBorders>
            <w:shd w:val="clear" w:color="auto" w:fill="E6E6E6"/>
          </w:tcPr>
          <w:p w14:paraId="2B17A5E1" w14:textId="77777777" w:rsidR="00E55B28" w:rsidRPr="0000636F" w:rsidRDefault="00E55B28" w:rsidP="00E55B28">
            <w:pPr>
              <w:rPr>
                <w:noProof/>
              </w:rPr>
            </w:pPr>
            <w:r>
              <w:rPr>
                <w:b/>
                <w:noProof/>
              </w:rPr>
              <w:t xml:space="preserve">Quais são os efeitos para as PME e a competitividade? </w:t>
            </w:r>
          </w:p>
        </w:tc>
      </w:tr>
      <w:tr w:rsidR="00E55B28" w:rsidRPr="0000636F" w14:paraId="28D3EAE7" w14:textId="77777777" w:rsidTr="00E55B28">
        <w:tc>
          <w:tcPr>
            <w:tcW w:w="10490" w:type="dxa"/>
            <w:tcBorders>
              <w:bottom w:val="single" w:sz="4" w:space="0" w:color="auto"/>
            </w:tcBorders>
          </w:tcPr>
          <w:p w14:paraId="6385DF86" w14:textId="623CDD84" w:rsidR="00C930F8" w:rsidRPr="00C930F8" w:rsidRDefault="0055102F" w:rsidP="00CF5A18">
            <w:pPr>
              <w:rPr>
                <w:noProof/>
              </w:rPr>
            </w:pPr>
            <w:r>
              <w:rPr>
                <w:noProof/>
              </w:rPr>
              <w:t>O tratamento harmonizado dos impostos especiais de consumo e a aplicação dos requisitos de circulação e controlo (EMCS) para os novos produtos eliminaria os obstáculos ao mercado causados pela fragmentação das regras e regimes dos Estados-Membros, criando novas oportunidades para os operadores, incluindo as PME, expandirem as suas atividades para outros mercados. No entanto, as PME seriam comparativamente mais afetadas, uma vez que são menos capazes de absorver o aumento dos custos. Por outro lado, o setor do tabaco é amplamente dominado pelas grandes empresas tabaqueiras, pelo que se esperam efeitos negativos para as PME apenas no setor dos cigarros eletrónicos e, em muito menor medida, no setor do tabaco em rama e em subsetores limitados (por exemplo, charutos, tabaco para cachimbo, tabaco sem combustão).</w:t>
            </w:r>
          </w:p>
          <w:p w14:paraId="4820AE84" w14:textId="04DDF407" w:rsidR="00E55B28" w:rsidRPr="00E21449" w:rsidRDefault="00E21449" w:rsidP="0092607A">
            <w:pPr>
              <w:pStyle w:val="Text2"/>
              <w:spacing w:after="120"/>
              <w:ind w:left="0"/>
              <w:jc w:val="both"/>
              <w:rPr>
                <w:noProof/>
                <w:szCs w:val="24"/>
              </w:rPr>
            </w:pPr>
            <w:r>
              <w:rPr>
                <w:noProof/>
              </w:rPr>
              <w:t>A introdução de requisitos de controlo a nível da UE para o tabaco em rama reduziria a disponibilidade no mercado de tabaco e de produtos do tabaco ilícitos, reduzindo deste modo a pressão concorrencial sobre os operadores legais por parte da cadeia de valor ilegal, o que poderia compensar parcialmente os custos adicionais incorridos. De um modo geral, não se espera que estes custos afetem significativamente a competitividade do tabaco cultivado na UE.</w:t>
            </w:r>
          </w:p>
        </w:tc>
      </w:tr>
      <w:tr w:rsidR="00E55B28" w:rsidRPr="0000636F" w14:paraId="1A125462" w14:textId="77777777" w:rsidTr="00E55B28">
        <w:tc>
          <w:tcPr>
            <w:tcW w:w="10490" w:type="dxa"/>
            <w:tcBorders>
              <w:bottom w:val="single" w:sz="4" w:space="0" w:color="auto"/>
            </w:tcBorders>
            <w:shd w:val="clear" w:color="auto" w:fill="E6E6E6"/>
          </w:tcPr>
          <w:p w14:paraId="64E75770" w14:textId="77777777" w:rsidR="00E55B28" w:rsidRPr="0000636F" w:rsidRDefault="00E55B28" w:rsidP="00E55B28">
            <w:pPr>
              <w:rPr>
                <w:b/>
                <w:i/>
                <w:noProof/>
              </w:rPr>
            </w:pPr>
            <w:r>
              <w:rPr>
                <w:b/>
                <w:noProof/>
              </w:rPr>
              <w:t>Haverá impactos significativos</w:t>
            </w:r>
            <w:r>
              <w:rPr>
                <w:noProof/>
              </w:rPr>
              <w:t xml:space="preserve"> </w:t>
            </w:r>
            <w:r>
              <w:rPr>
                <w:b/>
                <w:noProof/>
              </w:rPr>
              <w:t>nos orçamentos e administrações públicas nacionais?</w:t>
            </w:r>
            <w:r>
              <w:rPr>
                <w:noProof/>
              </w:rPr>
              <w:t xml:space="preserve"> </w:t>
            </w:r>
          </w:p>
        </w:tc>
      </w:tr>
      <w:tr w:rsidR="00E55B28" w:rsidRPr="0000636F" w14:paraId="10CA7515" w14:textId="77777777" w:rsidTr="0092607A">
        <w:trPr>
          <w:trHeight w:val="1273"/>
        </w:trPr>
        <w:tc>
          <w:tcPr>
            <w:tcW w:w="10490" w:type="dxa"/>
          </w:tcPr>
          <w:p w14:paraId="7E007221" w14:textId="05678EFD" w:rsidR="00FB19E4" w:rsidRDefault="00FB19E4" w:rsidP="00FB19E4">
            <w:pPr>
              <w:spacing w:after="0"/>
              <w:rPr>
                <w:rFonts w:eastAsiaTheme="minorEastAsia"/>
                <w:noProof/>
              </w:rPr>
            </w:pPr>
            <w:r>
              <w:rPr>
                <w:noProof/>
              </w:rPr>
              <w:t xml:space="preserve">Os aumentos das taxas mínimas da UE para os produtos do tabaco tradicionais resultarão num aumento estimado das receitas fiscais anuais de 14 mil milhões de EUR em todos os Estados-Membros da UE. </w:t>
            </w:r>
          </w:p>
          <w:p w14:paraId="4BF6F9B3" w14:textId="5EC1C23D" w:rsidR="0070607B" w:rsidRPr="0070607B" w:rsidRDefault="0070607B" w:rsidP="0070607B">
            <w:pPr>
              <w:rPr>
                <w:rFonts w:eastAsia="Arial Unicode MS"/>
                <w:noProof/>
              </w:rPr>
            </w:pPr>
            <w:r>
              <w:rPr>
                <w:noProof/>
              </w:rPr>
              <w:t>No âmbito da opção preferida, a introdução de taxas do imposto especial de consumo sobre os novos produtos aumentará as receitas num montante estimado em 900 a 1 700 milhões de EUR.</w:t>
            </w:r>
          </w:p>
          <w:p w14:paraId="3230AF86" w14:textId="665041D9" w:rsidR="00232DE3" w:rsidRPr="00B62E48" w:rsidRDefault="00255F22" w:rsidP="00255F22">
            <w:pPr>
              <w:spacing w:after="0"/>
              <w:rPr>
                <w:noProof/>
              </w:rPr>
            </w:pPr>
            <w:r>
              <w:rPr>
                <w:noProof/>
              </w:rPr>
              <w:t>A criação de uma categoria harmonizada para o tabaco em rama na legislação da UE em matéria de impostos especiais de consumo resultará numa redução estimada da perda de receitas fiscais de cerca de 1,3 mil milhões de EUR por ano.</w:t>
            </w:r>
          </w:p>
        </w:tc>
      </w:tr>
      <w:tr w:rsidR="00E55B28" w:rsidRPr="0000636F" w14:paraId="4005C573" w14:textId="77777777" w:rsidTr="00E55B28">
        <w:tc>
          <w:tcPr>
            <w:tcW w:w="10490" w:type="dxa"/>
            <w:tcBorders>
              <w:bottom w:val="single" w:sz="4" w:space="0" w:color="auto"/>
            </w:tcBorders>
            <w:shd w:val="clear" w:color="auto" w:fill="E6E6E6"/>
          </w:tcPr>
          <w:p w14:paraId="41FA7275" w14:textId="77777777" w:rsidR="00E55B28" w:rsidRPr="0000636F" w:rsidRDefault="00E55B28" w:rsidP="00E55B28">
            <w:pPr>
              <w:rPr>
                <w:noProof/>
              </w:rPr>
            </w:pPr>
            <w:r>
              <w:rPr>
                <w:b/>
                <w:noProof/>
              </w:rPr>
              <w:t>Haverá outros impactos significativos?</w:t>
            </w:r>
            <w:r>
              <w:rPr>
                <w:noProof/>
              </w:rPr>
              <w:t xml:space="preserve"> </w:t>
            </w:r>
          </w:p>
        </w:tc>
      </w:tr>
      <w:tr w:rsidR="00E55B28" w:rsidRPr="0000636F" w14:paraId="6E98E806" w14:textId="77777777" w:rsidTr="00E55B28">
        <w:tc>
          <w:tcPr>
            <w:tcW w:w="10490" w:type="dxa"/>
            <w:tcBorders>
              <w:bottom w:val="single" w:sz="4" w:space="0" w:color="auto"/>
            </w:tcBorders>
          </w:tcPr>
          <w:p w14:paraId="3874A98A" w14:textId="77777777" w:rsidR="00E55B28" w:rsidRPr="0000636F" w:rsidRDefault="008B513F" w:rsidP="00E55B28">
            <w:pPr>
              <w:rPr>
                <w:noProof/>
              </w:rPr>
            </w:pPr>
            <w:r>
              <w:rPr>
                <w:noProof/>
              </w:rPr>
              <w:t>Não</w:t>
            </w:r>
          </w:p>
        </w:tc>
      </w:tr>
      <w:tr w:rsidR="00E55B28" w:rsidRPr="0000636F" w14:paraId="4F7A2498" w14:textId="77777777" w:rsidTr="00E55B28">
        <w:tc>
          <w:tcPr>
            <w:tcW w:w="10490" w:type="dxa"/>
            <w:tcBorders>
              <w:bottom w:val="single" w:sz="4" w:space="0" w:color="auto"/>
            </w:tcBorders>
            <w:shd w:val="clear" w:color="auto" w:fill="D9D9D9"/>
          </w:tcPr>
          <w:p w14:paraId="7B0A26A9" w14:textId="77777777" w:rsidR="00E55B28" w:rsidRPr="0000636F" w:rsidRDefault="00E55B28" w:rsidP="00E55B28">
            <w:pPr>
              <w:rPr>
                <w:i/>
                <w:noProof/>
              </w:rPr>
            </w:pPr>
            <w:r>
              <w:rPr>
                <w:b/>
                <w:noProof/>
              </w:rPr>
              <w:t>Proporcionalidade?</w:t>
            </w:r>
            <w:r>
              <w:rPr>
                <w:noProof/>
              </w:rPr>
              <w:t xml:space="preserve"> </w:t>
            </w:r>
          </w:p>
        </w:tc>
      </w:tr>
      <w:tr w:rsidR="00E55B28" w:rsidRPr="0000636F" w14:paraId="30B14E80" w14:textId="77777777" w:rsidTr="00E55B28">
        <w:tc>
          <w:tcPr>
            <w:tcW w:w="10490" w:type="dxa"/>
            <w:tcBorders>
              <w:bottom w:val="single" w:sz="4" w:space="0" w:color="auto"/>
            </w:tcBorders>
          </w:tcPr>
          <w:p w14:paraId="1BDAB729" w14:textId="06ED3DFE" w:rsidR="00E55B28" w:rsidRPr="00E23535" w:rsidRDefault="0050725E" w:rsidP="00312029">
            <w:pPr>
              <w:autoSpaceDE w:val="0"/>
              <w:autoSpaceDN w:val="0"/>
              <w:rPr>
                <w:noProof/>
              </w:rPr>
            </w:pPr>
            <w:r>
              <w:rPr>
                <w:noProof/>
              </w:rPr>
              <w:t>A proposta é proporcionada e necessária para cumprir os objetivos, uma vez que aborda as atuais limitações do quadro jurídico a nível da UE. O aumento proposto das taxas mínimas da UE favorece o cumprimento dos objetivos do Plano Europeu de Luta contra o Cancro. Simultaneamente, os Estados</w:t>
            </w:r>
            <w:r w:rsidR="00CB6327">
              <w:rPr>
                <w:noProof/>
              </w:rPr>
              <w:noBreakHyphen/>
            </w:r>
            <w:r>
              <w:rPr>
                <w:noProof/>
              </w:rPr>
              <w:t>Membros continuam a ser livres de adaptar as taxas efetivas do imposto especial de consumo e, em certa medida, a estrutura fiscal, de acordo com as suas preferências nacionais. A aplicação efetiva pelos Estados-Membros e o bom funcionamento do mercado interno serão apoiados por definições mais claras das categorias de produtos e pelo alargamento do âmbito de aplicação da diretiva aos novos produtos e ao tabaco em rama.</w:t>
            </w:r>
          </w:p>
        </w:tc>
      </w:tr>
      <w:tr w:rsidR="00E55B28" w:rsidRPr="0000636F" w14:paraId="0A9C4293" w14:textId="77777777" w:rsidTr="00E55B28">
        <w:tc>
          <w:tcPr>
            <w:tcW w:w="10490" w:type="dxa"/>
            <w:tcBorders>
              <w:bottom w:val="single" w:sz="4" w:space="0" w:color="auto"/>
            </w:tcBorders>
            <w:shd w:val="clear" w:color="auto" w:fill="C0C0C0"/>
          </w:tcPr>
          <w:p w14:paraId="1D1D5D98" w14:textId="77777777" w:rsidR="00E55B28" w:rsidRPr="0000636F" w:rsidRDefault="00E55B28" w:rsidP="00E55B28">
            <w:pPr>
              <w:rPr>
                <w:b/>
                <w:noProof/>
              </w:rPr>
            </w:pPr>
            <w:r>
              <w:rPr>
                <w:b/>
                <w:noProof/>
              </w:rPr>
              <w:t>D. Acompanhamento</w:t>
            </w:r>
          </w:p>
        </w:tc>
      </w:tr>
      <w:tr w:rsidR="00E55B28" w:rsidRPr="0000636F" w14:paraId="0E2DE946" w14:textId="77777777" w:rsidTr="00E55B28">
        <w:tc>
          <w:tcPr>
            <w:tcW w:w="10490" w:type="dxa"/>
            <w:tcBorders>
              <w:bottom w:val="single" w:sz="4" w:space="0" w:color="auto"/>
            </w:tcBorders>
            <w:shd w:val="clear" w:color="auto" w:fill="E6E6E6"/>
          </w:tcPr>
          <w:p w14:paraId="27B2B747" w14:textId="77777777" w:rsidR="00E55B28" w:rsidRPr="0000636F" w:rsidRDefault="00E55B28" w:rsidP="002F4EBF">
            <w:pPr>
              <w:spacing w:after="120"/>
              <w:rPr>
                <w:noProof/>
              </w:rPr>
            </w:pPr>
            <w:r>
              <w:rPr>
                <w:b/>
                <w:noProof/>
              </w:rPr>
              <w:t xml:space="preserve">Quando será revista a política? </w:t>
            </w:r>
          </w:p>
        </w:tc>
      </w:tr>
      <w:tr w:rsidR="00E55B28" w:rsidRPr="0000636F" w14:paraId="44F7927C" w14:textId="77777777" w:rsidTr="0092607A">
        <w:trPr>
          <w:trHeight w:val="1116"/>
        </w:trPr>
        <w:tc>
          <w:tcPr>
            <w:tcW w:w="10490" w:type="dxa"/>
            <w:tcBorders>
              <w:bottom w:val="single" w:sz="4" w:space="0" w:color="auto"/>
            </w:tcBorders>
          </w:tcPr>
          <w:p w14:paraId="650F0AB2" w14:textId="7D951729" w:rsidR="00616AF4" w:rsidRPr="009974C0" w:rsidRDefault="0092607A" w:rsidP="002F4EBF">
            <w:pPr>
              <w:spacing w:after="0"/>
              <w:rPr>
                <w:rFonts w:eastAsiaTheme="minorEastAsia"/>
                <w:noProof/>
              </w:rPr>
            </w:pPr>
            <w:r>
              <w:rPr>
                <w:noProof/>
              </w:rPr>
              <w:t>A Comissão preparará uma avaliação decorridos, pelo menos, cinco anos após a data de aplicação da nova legislação, permitindo que os mercados se adaptem e que os resultados e os impactos se concretizem. Dado que a revisão da diretiva é uma das propostas políticas no âmbito do Plano Europeu de Luta contra o Cancro, o acompanhamento e a avaliação poderão ser realizados em consonância com os outros elementos do pacote.</w:t>
            </w:r>
          </w:p>
        </w:tc>
      </w:tr>
    </w:tbl>
    <w:p w14:paraId="68BB6D32" w14:textId="77777777" w:rsidR="00232DE3" w:rsidRDefault="00232DE3" w:rsidP="000251FE">
      <w:pPr>
        <w:rPr>
          <w:noProof/>
        </w:rPr>
      </w:pPr>
    </w:p>
    <w:sectPr w:rsidR="00232DE3" w:rsidSect="005C0D0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6DBA" w14:textId="77777777" w:rsidR="00FB622C" w:rsidRDefault="00FB622C" w:rsidP="001D385D">
      <w:pPr>
        <w:spacing w:after="0"/>
      </w:pPr>
      <w:r>
        <w:separator/>
      </w:r>
    </w:p>
  </w:endnote>
  <w:endnote w:type="continuationSeparator" w:id="0">
    <w:p w14:paraId="40D872C6" w14:textId="77777777" w:rsidR="00FB622C" w:rsidRDefault="00FB622C" w:rsidP="001D385D">
      <w:pPr>
        <w:spacing w:after="0"/>
      </w:pPr>
      <w:r>
        <w:continuationSeparator/>
      </w:r>
    </w:p>
  </w:endnote>
  <w:endnote w:type="continuationNotice" w:id="1">
    <w:p w14:paraId="0C4E1790" w14:textId="77777777" w:rsidR="00FB622C" w:rsidRDefault="00FB6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D153" w14:textId="3C61E76A" w:rsidR="00766871" w:rsidRPr="00766871" w:rsidRDefault="00766871" w:rsidP="00766871">
    <w:pPr>
      <w:pStyle w:val="FooterCoverPage"/>
      <w:rPr>
        <w:rFonts w:ascii="Arial" w:hAnsi="Arial" w:cs="Arial"/>
        <w:b/>
        <w:sz w:val="48"/>
      </w:rPr>
    </w:pPr>
    <w:r w:rsidRPr="00766871">
      <w:rPr>
        <w:rFonts w:ascii="Arial" w:hAnsi="Arial" w:cs="Arial"/>
        <w:b/>
        <w:sz w:val="48"/>
      </w:rPr>
      <w:t>PT</w:t>
    </w:r>
    <w:r w:rsidRPr="00766871">
      <w:rPr>
        <w:rFonts w:ascii="Arial" w:hAnsi="Arial" w:cs="Arial"/>
        <w:b/>
        <w:sz w:val="48"/>
      </w:rPr>
      <w:tab/>
    </w:r>
    <w:r w:rsidRPr="00766871">
      <w:rPr>
        <w:rFonts w:ascii="Arial" w:hAnsi="Arial" w:cs="Arial"/>
        <w:b/>
        <w:sz w:val="48"/>
      </w:rPr>
      <w:tab/>
    </w:r>
    <w:r w:rsidRPr="00766871">
      <w:tab/>
    </w:r>
    <w:r w:rsidRPr="00766871">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3660" w14:textId="44DBAD79" w:rsidR="00766871" w:rsidRPr="00766871" w:rsidRDefault="00766871" w:rsidP="00766871">
    <w:pPr>
      <w:pStyle w:val="FooterCoverPage"/>
      <w:rPr>
        <w:rFonts w:ascii="Arial" w:hAnsi="Arial" w:cs="Arial"/>
        <w:b/>
        <w:sz w:val="48"/>
      </w:rPr>
    </w:pPr>
    <w:r w:rsidRPr="00766871">
      <w:rPr>
        <w:rFonts w:ascii="Arial" w:hAnsi="Arial" w:cs="Arial"/>
        <w:b/>
        <w:sz w:val="48"/>
      </w:rPr>
      <w:t>PT</w:t>
    </w:r>
    <w:r w:rsidRPr="00766871">
      <w:rPr>
        <w:rFonts w:ascii="Arial" w:hAnsi="Arial" w:cs="Arial"/>
        <w:b/>
        <w:sz w:val="48"/>
      </w:rPr>
      <w:tab/>
    </w:r>
    <w:r w:rsidRPr="00766871">
      <w:rPr>
        <w:rFonts w:ascii="Arial" w:hAnsi="Arial" w:cs="Arial"/>
        <w:b/>
        <w:sz w:val="48"/>
      </w:rPr>
      <w:tab/>
    </w:r>
    <w:r w:rsidRPr="00766871">
      <w:tab/>
    </w:r>
    <w:r w:rsidRPr="00766871">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BD3C" w14:textId="77777777" w:rsidR="00766871" w:rsidRPr="00766871" w:rsidRDefault="00766871" w:rsidP="0076687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44CA" w14:textId="77777777" w:rsidR="005C0D01" w:rsidRDefault="005C0D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A713" w14:textId="77777777" w:rsidR="005C0D01" w:rsidRDefault="005C0D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3AAC" w14:textId="77777777" w:rsidR="005C0D01" w:rsidRDefault="005C0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B1ED0" w14:textId="77777777" w:rsidR="00FB622C" w:rsidRDefault="00FB622C" w:rsidP="001D385D">
      <w:pPr>
        <w:spacing w:after="0"/>
      </w:pPr>
      <w:r>
        <w:separator/>
      </w:r>
    </w:p>
  </w:footnote>
  <w:footnote w:type="continuationSeparator" w:id="0">
    <w:p w14:paraId="4BE59ADC" w14:textId="77777777" w:rsidR="00FB622C" w:rsidRDefault="00FB622C" w:rsidP="001D385D">
      <w:pPr>
        <w:spacing w:after="0"/>
      </w:pPr>
      <w:r>
        <w:continuationSeparator/>
      </w:r>
    </w:p>
  </w:footnote>
  <w:footnote w:type="continuationNotice" w:id="1">
    <w:p w14:paraId="491772A4" w14:textId="77777777" w:rsidR="00FB622C" w:rsidRDefault="00FB622C">
      <w:pPr>
        <w:spacing w:after="0"/>
      </w:pPr>
    </w:p>
  </w:footnote>
  <w:footnote w:id="2">
    <w:p w14:paraId="3280C6E5" w14:textId="0A3348F2" w:rsidR="00890B82" w:rsidRPr="00890B82" w:rsidRDefault="00890B82">
      <w:pPr>
        <w:pStyle w:val="FootnoteText"/>
      </w:pPr>
      <w:r>
        <w:rPr>
          <w:rStyle w:val="FootnoteReference"/>
        </w:rPr>
        <w:footnoteRef/>
      </w:r>
      <w:r>
        <w:tab/>
        <w:t>Nesta secção, «a curto prazo» refere-se ao período subsequente à aplicação da diretiva revista até à preparação da primeira avaliação (ou seja, no prazo de cinco anos a contar da data de aplicação da nova legislação), ao passo que os efeitos «a médio prazo» são mensuráveis até 15 anos após a aplicação da diretiva revista.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4C8A" w14:textId="77777777" w:rsidR="00766871" w:rsidRPr="00766871" w:rsidRDefault="00766871" w:rsidP="0076687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5BAA" w14:textId="77777777" w:rsidR="00766871" w:rsidRPr="00766871" w:rsidRDefault="00766871" w:rsidP="0076687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ED92" w14:textId="77777777" w:rsidR="00766871" w:rsidRPr="00766871" w:rsidRDefault="00766871" w:rsidP="0076687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BD03" w14:textId="77777777" w:rsidR="005C0D01" w:rsidRDefault="005C0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C8B7" w14:textId="77777777" w:rsidR="005C0D01" w:rsidRDefault="005C0D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6BBF" w14:textId="77777777" w:rsidR="005C0D01" w:rsidRDefault="005C0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55A"/>
    <w:multiLevelType w:val="hybridMultilevel"/>
    <w:tmpl w:val="F014DEF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20350AA"/>
    <w:multiLevelType w:val="hybridMultilevel"/>
    <w:tmpl w:val="60284F34"/>
    <w:lvl w:ilvl="0" w:tplc="9962E5B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3F54"/>
    <w:multiLevelType w:val="hybridMultilevel"/>
    <w:tmpl w:val="8C38E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7697E23"/>
    <w:multiLevelType w:val="hybridMultilevel"/>
    <w:tmpl w:val="D7740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C330D"/>
    <w:multiLevelType w:val="hybridMultilevel"/>
    <w:tmpl w:val="5FD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C3FD5"/>
    <w:multiLevelType w:val="hybridMultilevel"/>
    <w:tmpl w:val="3BB62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573074"/>
    <w:multiLevelType w:val="hybridMultilevel"/>
    <w:tmpl w:val="0BF8774A"/>
    <w:lvl w:ilvl="0" w:tplc="04100001">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7" w15:restartNumberingAfterBreak="0">
    <w:nsid w:val="44E257C0"/>
    <w:multiLevelType w:val="hybridMultilevel"/>
    <w:tmpl w:val="0CBE383E"/>
    <w:lvl w:ilvl="0" w:tplc="04FCB9BE">
      <w:start w:val="1"/>
      <w:numFmt w:val="upp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A04F9"/>
    <w:multiLevelType w:val="hybridMultilevel"/>
    <w:tmpl w:val="3A46F3E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303B88"/>
    <w:multiLevelType w:val="hybridMultilevel"/>
    <w:tmpl w:val="1A5EFFD4"/>
    <w:lvl w:ilvl="0" w:tplc="080C0013">
      <w:start w:val="1"/>
      <w:numFmt w:val="upperRoman"/>
      <w:lvlText w:val="%1."/>
      <w:lvlJc w:val="right"/>
      <w:pPr>
        <w:ind w:left="842" w:hanging="360"/>
      </w:pPr>
    </w:lvl>
    <w:lvl w:ilvl="1" w:tplc="080C0019">
      <w:start w:val="1"/>
      <w:numFmt w:val="lowerLetter"/>
      <w:lvlText w:val="%2."/>
      <w:lvlJc w:val="left"/>
      <w:pPr>
        <w:ind w:left="1562" w:hanging="360"/>
      </w:pPr>
    </w:lvl>
    <w:lvl w:ilvl="2" w:tplc="080C001B">
      <w:start w:val="1"/>
      <w:numFmt w:val="lowerRoman"/>
      <w:lvlText w:val="%3."/>
      <w:lvlJc w:val="right"/>
      <w:pPr>
        <w:ind w:left="2282" w:hanging="180"/>
      </w:pPr>
    </w:lvl>
    <w:lvl w:ilvl="3" w:tplc="080C000F">
      <w:start w:val="1"/>
      <w:numFmt w:val="decimal"/>
      <w:lvlText w:val="%4."/>
      <w:lvlJc w:val="left"/>
      <w:pPr>
        <w:ind w:left="3002" w:hanging="360"/>
      </w:pPr>
    </w:lvl>
    <w:lvl w:ilvl="4" w:tplc="080C0019">
      <w:start w:val="1"/>
      <w:numFmt w:val="lowerLetter"/>
      <w:lvlText w:val="%5."/>
      <w:lvlJc w:val="left"/>
      <w:pPr>
        <w:ind w:left="3722" w:hanging="360"/>
      </w:pPr>
    </w:lvl>
    <w:lvl w:ilvl="5" w:tplc="080C001B">
      <w:start w:val="1"/>
      <w:numFmt w:val="lowerRoman"/>
      <w:lvlText w:val="%6."/>
      <w:lvlJc w:val="right"/>
      <w:pPr>
        <w:ind w:left="4442" w:hanging="180"/>
      </w:pPr>
    </w:lvl>
    <w:lvl w:ilvl="6" w:tplc="080C000F">
      <w:start w:val="1"/>
      <w:numFmt w:val="decimal"/>
      <w:lvlText w:val="%7."/>
      <w:lvlJc w:val="left"/>
      <w:pPr>
        <w:ind w:left="5162" w:hanging="360"/>
      </w:pPr>
    </w:lvl>
    <w:lvl w:ilvl="7" w:tplc="080C0019">
      <w:start w:val="1"/>
      <w:numFmt w:val="lowerLetter"/>
      <w:lvlText w:val="%8."/>
      <w:lvlJc w:val="left"/>
      <w:pPr>
        <w:ind w:left="5882" w:hanging="360"/>
      </w:pPr>
    </w:lvl>
    <w:lvl w:ilvl="8" w:tplc="080C001B">
      <w:start w:val="1"/>
      <w:numFmt w:val="lowerRoman"/>
      <w:lvlText w:val="%9."/>
      <w:lvlJc w:val="right"/>
      <w:pPr>
        <w:ind w:left="6602" w:hanging="180"/>
      </w:pPr>
    </w:lvl>
  </w:abstractNum>
  <w:abstractNum w:abstractNumId="10" w15:restartNumberingAfterBreak="0">
    <w:nsid w:val="57E40EA6"/>
    <w:multiLevelType w:val="hybridMultilevel"/>
    <w:tmpl w:val="58A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F2077"/>
    <w:multiLevelType w:val="hybridMultilevel"/>
    <w:tmpl w:val="66042BEA"/>
    <w:lvl w:ilvl="0" w:tplc="04100001">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12" w15:restartNumberingAfterBreak="0">
    <w:nsid w:val="7DF74B89"/>
    <w:multiLevelType w:val="hybridMultilevel"/>
    <w:tmpl w:val="F47CF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C5908"/>
    <w:multiLevelType w:val="hybridMultilevel"/>
    <w:tmpl w:val="8BA4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9"/>
  </w:num>
  <w:num w:numId="5">
    <w:abstractNumId w:val="5"/>
  </w:num>
  <w:num w:numId="6">
    <w:abstractNumId w:val="7"/>
  </w:num>
  <w:num w:numId="7">
    <w:abstractNumId w:val="4"/>
  </w:num>
  <w:num w:numId="8">
    <w:abstractNumId w:val="10"/>
  </w:num>
  <w:num w:numId="9">
    <w:abstractNumId w:val="1"/>
  </w:num>
  <w:num w:numId="10">
    <w:abstractNumId w:val="13"/>
  </w:num>
  <w:num w:numId="11">
    <w:abstractNumId w:val="0"/>
  </w:num>
  <w:num w:numId="12">
    <w:abstractNumId w:val="3"/>
  </w:num>
  <w:num w:numId="13">
    <w:abstractNumId w:val="2"/>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FigNum" w:val="1"/>
    <w:docVar w:name="LW_ACCOMPAGNANT.CP" w:val="que acompanha o documento"/>
    <w:docVar w:name="LW_CORRIGENDUM" w:val="&lt;UNUSED&gt;"/>
    <w:docVar w:name="LW_COVERPAGE_EXISTS" w:val="True"/>
    <w:docVar w:name="LW_COVERPAGE_GUID" w:val="3F1EB646-108C-4802-8E52-9C221997B4C0"/>
    <w:docVar w:name="LW_COVERPAGE_TYPE" w:val="1"/>
    <w:docVar w:name="LW_CROSSREFERENCE" w:val="{COM(2025) 580 final} - {SEC(2025) 560 final} - {SWD(2025) 560 final}"/>
    <w:docVar w:name="LW_DocType" w:val="NORMAL"/>
    <w:docVar w:name="LW_EMISSION" w:val="16.7.2025"/>
    <w:docVar w:name="LW_EMISSION_ISODATE" w:val="2025-07-16"/>
    <w:docVar w:name="LW_EMISSION_LOCATION" w:val="BRX"/>
    <w:docVar w:name="LW_EMISSION_PREFIX" w:val="Bruxelas, "/>
    <w:docVar w:name="LW_EMISSION_SUFFIX" w:val=" "/>
    <w:docVar w:name="LW_ID_DOCTYPE_NONLW" w:val="CP-027"/>
    <w:docVar w:name="LW_LANGUE" w:val="PT"/>
    <w:docVar w:name="LW_LEVEL_OF_SENSITIVITY" w:val="Standard treatment"/>
    <w:docVar w:name="LW_NOM.INST" w:val="COMISSÃO EUROPEIA"/>
    <w:docVar w:name="LW_NOM.INST_JOINTDOC" w:val="&lt;EMPTY&gt;"/>
    <w:docVar w:name="LW_OBJETACTEPRINCIPAL.CP" w:val="relativa à estrutura e taxas dos impostos especiais sobre o consumo de tabaco e produtos relacionados com o tabaco (reformulação)"/>
    <w:docVar w:name="LW_PART_NBR" w:val="1"/>
    <w:docVar w:name="LW_PART_NBR_TOTAL" w:val="1"/>
    <w:docVar w:name="LW_REF.INST.NEW" w:val="SWD"/>
    <w:docVar w:name="LW_REF.INST.NEW_ADOPTED" w:val="final"/>
    <w:docVar w:name="LW_REF.INST.NEW_TEXT" w:val="(2025) 5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u8230?]&lt;/FMT&gt;"/>
    <w:docVar w:name="LW_TYPE.DOC.CP" w:val="DOCUMENTO DE TRABALHO DOS SERVIÇOS DA COMISSÃO_x000b__x000b_RESUMO DO RELATÓRIO DA AVALIAÇÃO DE IMPACTO_x000b_"/>
    <w:docVar w:name="LW_TYPEACTEPRINCIPAL.CP" w:val="Proposta de Diretiva do Conselho"/>
    <w:docVar w:name="LwApiVersions" w:val="LW4CoDe 1.24.5.0; LW 9.0, Build 20240221"/>
  </w:docVars>
  <w:rsids>
    <w:rsidRoot w:val="007D4F0A"/>
    <w:rsid w:val="00001EF0"/>
    <w:rsid w:val="000033F4"/>
    <w:rsid w:val="00010028"/>
    <w:rsid w:val="000108DB"/>
    <w:rsid w:val="000161E2"/>
    <w:rsid w:val="000251FE"/>
    <w:rsid w:val="00026E2A"/>
    <w:rsid w:val="000434D4"/>
    <w:rsid w:val="00050F7A"/>
    <w:rsid w:val="00053BD3"/>
    <w:rsid w:val="000559EB"/>
    <w:rsid w:val="000629A7"/>
    <w:rsid w:val="00064AA3"/>
    <w:rsid w:val="000779EB"/>
    <w:rsid w:val="00077D62"/>
    <w:rsid w:val="00090F66"/>
    <w:rsid w:val="00092F7C"/>
    <w:rsid w:val="00095E58"/>
    <w:rsid w:val="000A12BF"/>
    <w:rsid w:val="000A5682"/>
    <w:rsid w:val="000B1F46"/>
    <w:rsid w:val="000C6F95"/>
    <w:rsid w:val="000C7142"/>
    <w:rsid w:val="000D3A8B"/>
    <w:rsid w:val="000F17AF"/>
    <w:rsid w:val="000F5907"/>
    <w:rsid w:val="00107CCD"/>
    <w:rsid w:val="001135D1"/>
    <w:rsid w:val="00117189"/>
    <w:rsid w:val="0012309C"/>
    <w:rsid w:val="001327D1"/>
    <w:rsid w:val="001331C4"/>
    <w:rsid w:val="00135456"/>
    <w:rsid w:val="00153A9B"/>
    <w:rsid w:val="001566A9"/>
    <w:rsid w:val="00156EC6"/>
    <w:rsid w:val="00172E0F"/>
    <w:rsid w:val="0018195E"/>
    <w:rsid w:val="00187C70"/>
    <w:rsid w:val="00196FEC"/>
    <w:rsid w:val="001A5B64"/>
    <w:rsid w:val="001A68B2"/>
    <w:rsid w:val="001B25D4"/>
    <w:rsid w:val="001C64FE"/>
    <w:rsid w:val="001D385D"/>
    <w:rsid w:val="001E154A"/>
    <w:rsid w:val="001E3C3F"/>
    <w:rsid w:val="001E4950"/>
    <w:rsid w:val="001F225B"/>
    <w:rsid w:val="00207BD6"/>
    <w:rsid w:val="0021611E"/>
    <w:rsid w:val="0021637E"/>
    <w:rsid w:val="00220084"/>
    <w:rsid w:val="00222FEF"/>
    <w:rsid w:val="00232DE3"/>
    <w:rsid w:val="0025104F"/>
    <w:rsid w:val="00255F22"/>
    <w:rsid w:val="00256D9A"/>
    <w:rsid w:val="00257879"/>
    <w:rsid w:val="00260D98"/>
    <w:rsid w:val="002806F0"/>
    <w:rsid w:val="002A7C17"/>
    <w:rsid w:val="002D0EDE"/>
    <w:rsid w:val="002F17BE"/>
    <w:rsid w:val="002F4873"/>
    <w:rsid w:val="002F4EBF"/>
    <w:rsid w:val="003003B8"/>
    <w:rsid w:val="00310B02"/>
    <w:rsid w:val="00312029"/>
    <w:rsid w:val="0033324E"/>
    <w:rsid w:val="0034367E"/>
    <w:rsid w:val="00362294"/>
    <w:rsid w:val="0037388B"/>
    <w:rsid w:val="003908D0"/>
    <w:rsid w:val="00390EC5"/>
    <w:rsid w:val="003A3318"/>
    <w:rsid w:val="003B156B"/>
    <w:rsid w:val="003B2E62"/>
    <w:rsid w:val="003D4EC0"/>
    <w:rsid w:val="003D60EB"/>
    <w:rsid w:val="003D6A00"/>
    <w:rsid w:val="003D7484"/>
    <w:rsid w:val="003F101F"/>
    <w:rsid w:val="00406997"/>
    <w:rsid w:val="00410A9F"/>
    <w:rsid w:val="004208E1"/>
    <w:rsid w:val="004212EA"/>
    <w:rsid w:val="004253B4"/>
    <w:rsid w:val="00433CCB"/>
    <w:rsid w:val="004425B7"/>
    <w:rsid w:val="00445E6F"/>
    <w:rsid w:val="00467593"/>
    <w:rsid w:val="004731B0"/>
    <w:rsid w:val="00481685"/>
    <w:rsid w:val="004904F0"/>
    <w:rsid w:val="004A64C9"/>
    <w:rsid w:val="004B3CF3"/>
    <w:rsid w:val="004C60AC"/>
    <w:rsid w:val="004D278C"/>
    <w:rsid w:val="004D3E64"/>
    <w:rsid w:val="004D50FA"/>
    <w:rsid w:val="004D7966"/>
    <w:rsid w:val="004F2470"/>
    <w:rsid w:val="004F5624"/>
    <w:rsid w:val="004F6BAD"/>
    <w:rsid w:val="0050725E"/>
    <w:rsid w:val="00527EDB"/>
    <w:rsid w:val="0053417C"/>
    <w:rsid w:val="0054642C"/>
    <w:rsid w:val="0055102F"/>
    <w:rsid w:val="005532E2"/>
    <w:rsid w:val="00564E94"/>
    <w:rsid w:val="005807B8"/>
    <w:rsid w:val="00590C71"/>
    <w:rsid w:val="00590FAB"/>
    <w:rsid w:val="00595E42"/>
    <w:rsid w:val="005A026C"/>
    <w:rsid w:val="005B3E82"/>
    <w:rsid w:val="005B636B"/>
    <w:rsid w:val="005C0D01"/>
    <w:rsid w:val="005C74C6"/>
    <w:rsid w:val="005D020B"/>
    <w:rsid w:val="005E2F99"/>
    <w:rsid w:val="00600074"/>
    <w:rsid w:val="00607D6C"/>
    <w:rsid w:val="00610577"/>
    <w:rsid w:val="00616AF4"/>
    <w:rsid w:val="00617CF3"/>
    <w:rsid w:val="00621AA6"/>
    <w:rsid w:val="00623356"/>
    <w:rsid w:val="00624D6C"/>
    <w:rsid w:val="00627DA4"/>
    <w:rsid w:val="00641FD9"/>
    <w:rsid w:val="00651D21"/>
    <w:rsid w:val="00652E7A"/>
    <w:rsid w:val="006903B2"/>
    <w:rsid w:val="006939BA"/>
    <w:rsid w:val="00696E09"/>
    <w:rsid w:val="006B1893"/>
    <w:rsid w:val="006C03BB"/>
    <w:rsid w:val="00701929"/>
    <w:rsid w:val="0070607B"/>
    <w:rsid w:val="00717147"/>
    <w:rsid w:val="0072787A"/>
    <w:rsid w:val="00731FD5"/>
    <w:rsid w:val="00733215"/>
    <w:rsid w:val="00750332"/>
    <w:rsid w:val="00753DA4"/>
    <w:rsid w:val="00766871"/>
    <w:rsid w:val="007678D7"/>
    <w:rsid w:val="0078577E"/>
    <w:rsid w:val="007857F1"/>
    <w:rsid w:val="00791363"/>
    <w:rsid w:val="00794517"/>
    <w:rsid w:val="007A0C2A"/>
    <w:rsid w:val="007D1EF2"/>
    <w:rsid w:val="007D38B5"/>
    <w:rsid w:val="007D4F0A"/>
    <w:rsid w:val="007E30EC"/>
    <w:rsid w:val="007E41FD"/>
    <w:rsid w:val="007E5A5E"/>
    <w:rsid w:val="008022C8"/>
    <w:rsid w:val="00810F7D"/>
    <w:rsid w:val="008136C3"/>
    <w:rsid w:val="00816A20"/>
    <w:rsid w:val="008251A4"/>
    <w:rsid w:val="0085271F"/>
    <w:rsid w:val="008709EE"/>
    <w:rsid w:val="0087255D"/>
    <w:rsid w:val="0087340A"/>
    <w:rsid w:val="00873BC4"/>
    <w:rsid w:val="00880798"/>
    <w:rsid w:val="00887554"/>
    <w:rsid w:val="00887BB5"/>
    <w:rsid w:val="00890771"/>
    <w:rsid w:val="00890B82"/>
    <w:rsid w:val="008B1EDB"/>
    <w:rsid w:val="008B34D0"/>
    <w:rsid w:val="008B513F"/>
    <w:rsid w:val="008B5726"/>
    <w:rsid w:val="008C41D5"/>
    <w:rsid w:val="008C64EE"/>
    <w:rsid w:val="008C6866"/>
    <w:rsid w:val="008D27A1"/>
    <w:rsid w:val="008F00D8"/>
    <w:rsid w:val="009032C5"/>
    <w:rsid w:val="00913927"/>
    <w:rsid w:val="0091426F"/>
    <w:rsid w:val="00920CA9"/>
    <w:rsid w:val="0092607A"/>
    <w:rsid w:val="00933763"/>
    <w:rsid w:val="00933C92"/>
    <w:rsid w:val="00934AA3"/>
    <w:rsid w:val="00941CCB"/>
    <w:rsid w:val="00945579"/>
    <w:rsid w:val="00956C6C"/>
    <w:rsid w:val="009670AF"/>
    <w:rsid w:val="00972FC6"/>
    <w:rsid w:val="009750A5"/>
    <w:rsid w:val="00986895"/>
    <w:rsid w:val="00993903"/>
    <w:rsid w:val="009974C0"/>
    <w:rsid w:val="009A4A35"/>
    <w:rsid w:val="009A6821"/>
    <w:rsid w:val="009B2FFF"/>
    <w:rsid w:val="009C2AD6"/>
    <w:rsid w:val="009D319B"/>
    <w:rsid w:val="009F60EB"/>
    <w:rsid w:val="00A06AEA"/>
    <w:rsid w:val="00A16B10"/>
    <w:rsid w:val="00A2103B"/>
    <w:rsid w:val="00A21B03"/>
    <w:rsid w:val="00A30AF8"/>
    <w:rsid w:val="00A34F90"/>
    <w:rsid w:val="00A50CA4"/>
    <w:rsid w:val="00A535B6"/>
    <w:rsid w:val="00A601CB"/>
    <w:rsid w:val="00A727C2"/>
    <w:rsid w:val="00A7799B"/>
    <w:rsid w:val="00A90744"/>
    <w:rsid w:val="00AA2063"/>
    <w:rsid w:val="00AA502D"/>
    <w:rsid w:val="00AC179F"/>
    <w:rsid w:val="00AD1905"/>
    <w:rsid w:val="00AD3508"/>
    <w:rsid w:val="00AD40D5"/>
    <w:rsid w:val="00AD666B"/>
    <w:rsid w:val="00AE72A9"/>
    <w:rsid w:val="00AE7EC5"/>
    <w:rsid w:val="00AF11DF"/>
    <w:rsid w:val="00AF4BC5"/>
    <w:rsid w:val="00B00CC9"/>
    <w:rsid w:val="00B02F47"/>
    <w:rsid w:val="00B076AE"/>
    <w:rsid w:val="00B137EA"/>
    <w:rsid w:val="00B138A7"/>
    <w:rsid w:val="00B25801"/>
    <w:rsid w:val="00B27ABA"/>
    <w:rsid w:val="00B37F6D"/>
    <w:rsid w:val="00B4639D"/>
    <w:rsid w:val="00B5152A"/>
    <w:rsid w:val="00B556AF"/>
    <w:rsid w:val="00B62E48"/>
    <w:rsid w:val="00B70699"/>
    <w:rsid w:val="00B70E53"/>
    <w:rsid w:val="00B7678D"/>
    <w:rsid w:val="00B8039E"/>
    <w:rsid w:val="00B808D7"/>
    <w:rsid w:val="00B862D2"/>
    <w:rsid w:val="00B94952"/>
    <w:rsid w:val="00BA1B20"/>
    <w:rsid w:val="00BA251F"/>
    <w:rsid w:val="00BB723E"/>
    <w:rsid w:val="00BC18B5"/>
    <w:rsid w:val="00BE3842"/>
    <w:rsid w:val="00C15195"/>
    <w:rsid w:val="00C22BAA"/>
    <w:rsid w:val="00C277E1"/>
    <w:rsid w:val="00C405C3"/>
    <w:rsid w:val="00C408AD"/>
    <w:rsid w:val="00C411BE"/>
    <w:rsid w:val="00C45AB6"/>
    <w:rsid w:val="00C576B3"/>
    <w:rsid w:val="00C6088A"/>
    <w:rsid w:val="00C60A08"/>
    <w:rsid w:val="00C60CF8"/>
    <w:rsid w:val="00C72E92"/>
    <w:rsid w:val="00C73A44"/>
    <w:rsid w:val="00C744D1"/>
    <w:rsid w:val="00C82514"/>
    <w:rsid w:val="00C86BE5"/>
    <w:rsid w:val="00C930F8"/>
    <w:rsid w:val="00C935E9"/>
    <w:rsid w:val="00C953E2"/>
    <w:rsid w:val="00CA17D8"/>
    <w:rsid w:val="00CA296E"/>
    <w:rsid w:val="00CA3CAE"/>
    <w:rsid w:val="00CB1F0D"/>
    <w:rsid w:val="00CB6327"/>
    <w:rsid w:val="00CC00A6"/>
    <w:rsid w:val="00CC1375"/>
    <w:rsid w:val="00CC1663"/>
    <w:rsid w:val="00CC5ECC"/>
    <w:rsid w:val="00CD0483"/>
    <w:rsid w:val="00CD4829"/>
    <w:rsid w:val="00CE38F0"/>
    <w:rsid w:val="00CE5A75"/>
    <w:rsid w:val="00CF0422"/>
    <w:rsid w:val="00CF1585"/>
    <w:rsid w:val="00CF28F4"/>
    <w:rsid w:val="00CF5A18"/>
    <w:rsid w:val="00D01B4D"/>
    <w:rsid w:val="00D02365"/>
    <w:rsid w:val="00D071B2"/>
    <w:rsid w:val="00D15F90"/>
    <w:rsid w:val="00D54833"/>
    <w:rsid w:val="00D559D6"/>
    <w:rsid w:val="00D70253"/>
    <w:rsid w:val="00D8097F"/>
    <w:rsid w:val="00D97E97"/>
    <w:rsid w:val="00DA72E2"/>
    <w:rsid w:val="00DB5D0B"/>
    <w:rsid w:val="00DD088A"/>
    <w:rsid w:val="00DF1D2D"/>
    <w:rsid w:val="00DF49A0"/>
    <w:rsid w:val="00E0022B"/>
    <w:rsid w:val="00E21449"/>
    <w:rsid w:val="00E23535"/>
    <w:rsid w:val="00E32DC0"/>
    <w:rsid w:val="00E40D92"/>
    <w:rsid w:val="00E44293"/>
    <w:rsid w:val="00E55B28"/>
    <w:rsid w:val="00E56744"/>
    <w:rsid w:val="00E6418F"/>
    <w:rsid w:val="00E66B7B"/>
    <w:rsid w:val="00E67F74"/>
    <w:rsid w:val="00E8018C"/>
    <w:rsid w:val="00E805B3"/>
    <w:rsid w:val="00E83931"/>
    <w:rsid w:val="00E9385C"/>
    <w:rsid w:val="00EA08E9"/>
    <w:rsid w:val="00EC268B"/>
    <w:rsid w:val="00EC69A7"/>
    <w:rsid w:val="00EC6D96"/>
    <w:rsid w:val="00ED00FD"/>
    <w:rsid w:val="00ED42F2"/>
    <w:rsid w:val="00ED614B"/>
    <w:rsid w:val="00EE0D50"/>
    <w:rsid w:val="00EF445E"/>
    <w:rsid w:val="00F04481"/>
    <w:rsid w:val="00F0743C"/>
    <w:rsid w:val="00F1115D"/>
    <w:rsid w:val="00F210CF"/>
    <w:rsid w:val="00F443A5"/>
    <w:rsid w:val="00F606B8"/>
    <w:rsid w:val="00F810A7"/>
    <w:rsid w:val="00F81FA0"/>
    <w:rsid w:val="00F82928"/>
    <w:rsid w:val="00F94509"/>
    <w:rsid w:val="00F963CE"/>
    <w:rsid w:val="00FB19E4"/>
    <w:rsid w:val="00FB622C"/>
    <w:rsid w:val="00FB78A6"/>
    <w:rsid w:val="00FC150A"/>
    <w:rsid w:val="00FC2E8A"/>
    <w:rsid w:val="00FC3E4D"/>
    <w:rsid w:val="00FC4121"/>
    <w:rsid w:val="00FD1364"/>
    <w:rsid w:val="00FD44F4"/>
    <w:rsid w:val="00FD51E0"/>
    <w:rsid w:val="00FE1A17"/>
    <w:rsid w:val="00FF30ED"/>
    <w:rsid w:val="00FF6C67"/>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92320E"/>
  <w15:chartTrackingRefBased/>
  <w15:docId w15:val="{052034C5-E573-4E33-8B1E-F012FD0E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0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55D"/>
    <w:rPr>
      <w:sz w:val="16"/>
      <w:szCs w:val="16"/>
    </w:rPr>
  </w:style>
  <w:style w:type="paragraph" w:styleId="CommentText">
    <w:name w:val="annotation text"/>
    <w:basedOn w:val="Normal"/>
    <w:link w:val="CommentTextChar"/>
    <w:uiPriority w:val="99"/>
    <w:unhideWhenUsed/>
    <w:rsid w:val="0087255D"/>
    <w:rPr>
      <w:sz w:val="20"/>
    </w:rPr>
  </w:style>
  <w:style w:type="character" w:customStyle="1" w:styleId="CommentTextChar">
    <w:name w:val="Comment Text Char"/>
    <w:basedOn w:val="DefaultParagraphFont"/>
    <w:link w:val="CommentText"/>
    <w:uiPriority w:val="99"/>
    <w:rsid w:val="00872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55D"/>
    <w:rPr>
      <w:b/>
      <w:bCs/>
    </w:rPr>
  </w:style>
  <w:style w:type="character" w:customStyle="1" w:styleId="CommentSubjectChar">
    <w:name w:val="Comment Subject Char"/>
    <w:basedOn w:val="CommentTextChar"/>
    <w:link w:val="CommentSubject"/>
    <w:uiPriority w:val="99"/>
    <w:semiHidden/>
    <w:rsid w:val="008725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25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D"/>
    <w:rPr>
      <w:rFonts w:ascii="Segoe UI" w:eastAsia="Times New Roman" w:hAnsi="Segoe UI" w:cs="Segoe UI"/>
      <w:sz w:val="18"/>
      <w:szCs w:val="18"/>
    </w:rPr>
  </w:style>
  <w:style w:type="character" w:styleId="Hyperlink">
    <w:name w:val="Hyperlink"/>
    <w:basedOn w:val="DefaultParagraphFont"/>
    <w:uiPriority w:val="99"/>
    <w:unhideWhenUsed/>
    <w:rsid w:val="001D385D"/>
    <w:rPr>
      <w:color w:val="0563C1" w:themeColor="hyperlink"/>
      <w:u w:val="single"/>
    </w:rPr>
  </w:style>
  <w:style w:type="character" w:customStyle="1" w:styleId="FootnoteTextChar">
    <w:name w:val="Footnote Text Char"/>
    <w:aliases w:val="footnote Char,Note de bas de page Car1 Car Char,Note de bas de page Car Car1 Car Char,Note de bas de page Car1 Car Car1 Car Char,Note de bas de page Car Car Car Car Car1 Car Char,Note de bas de page Car Car Car Car Char,fn Char"/>
    <w:basedOn w:val="DefaultParagraphFont"/>
    <w:link w:val="FootnoteText"/>
    <w:uiPriority w:val="99"/>
    <w:qFormat/>
    <w:locked/>
    <w:rsid w:val="001D385D"/>
    <w:rPr>
      <w:rFonts w:ascii="Times New Roman" w:hAnsi="Times New Roman" w:cs="Times New Roman"/>
      <w:sz w:val="20"/>
      <w:szCs w:val="20"/>
    </w:rPr>
  </w:style>
  <w:style w:type="paragraph" w:styleId="FootnoteText">
    <w:name w:val="footnote text"/>
    <w:aliases w:val="footnote,Note de bas de page Car1 Car,Note de bas de page Car Car1 Car,Note de bas de page Car1 Car Car1 Car,Note de bas de page Car Car Car Car Car1 Car,Note de bas de page Car Car Car Car,fn,Footnote Text Char Car,DTE-Voetnoottekst,Char"/>
    <w:basedOn w:val="Normal"/>
    <w:link w:val="FootnoteTextChar"/>
    <w:uiPriority w:val="99"/>
    <w:unhideWhenUsed/>
    <w:qFormat/>
    <w:rsid w:val="001D385D"/>
    <w:pPr>
      <w:spacing w:after="0"/>
    </w:pPr>
    <w:rPr>
      <w:rFonts w:eastAsiaTheme="minorHAnsi"/>
      <w:sz w:val="20"/>
    </w:rPr>
  </w:style>
  <w:style w:type="character" w:customStyle="1" w:styleId="FootnoteTextChar1">
    <w:name w:val="Footnote Text Char1"/>
    <w:basedOn w:val="DefaultParagraphFont"/>
    <w:uiPriority w:val="99"/>
    <w:semiHidden/>
    <w:rsid w:val="001D385D"/>
    <w:rPr>
      <w:rFonts w:ascii="Times New Roman" w:eastAsia="Times New Roman" w:hAnsi="Times New Roman" w:cs="Times New Roman"/>
      <w:sz w:val="20"/>
      <w:szCs w:val="20"/>
    </w:rPr>
  </w:style>
  <w:style w:type="character" w:styleId="FootnoteReference">
    <w:name w:val="footnote reference"/>
    <w:aliases w:val="stylish,Ref,de nota al pie,Footnote reference number,Footnote symbol,note TESI,Footnote Reference1,Times 10 Point,Exposant 3 Point,Footnote,Voetnootverwijzing,SUPERS,EN Footnote Reference,Ref1,de nota al pie1,Ref2,de nota al pie2,fr,f"/>
    <w:basedOn w:val="DefaultParagraphFont"/>
    <w:link w:val="FootnoteReferenceCharCarCharCharCarCharCarCharCarCharCarCharCharCarCarCharCharCharCharCharCarCharCarCharCharCarCharCar"/>
    <w:uiPriority w:val="99"/>
    <w:unhideWhenUsed/>
    <w:qFormat/>
    <w:rsid w:val="001D385D"/>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rsid w:val="001D385D"/>
    <w:pPr>
      <w:keepLines/>
      <w:spacing w:after="160" w:line="240" w:lineRule="exact"/>
    </w:pPr>
    <w:rPr>
      <w:rFonts w:asciiTheme="minorHAnsi" w:eastAsiaTheme="minorHAnsi" w:hAnsiTheme="minorHAnsi" w:cstheme="minorBidi"/>
      <w:sz w:val="22"/>
      <w:szCs w:val="22"/>
      <w:vertAlign w:val="superscript"/>
    </w:rPr>
  </w:style>
  <w:style w:type="paragraph" w:styleId="NormalWeb">
    <w:name w:val="Normal (Web)"/>
    <w:basedOn w:val="Normal"/>
    <w:uiPriority w:val="99"/>
    <w:semiHidden/>
    <w:unhideWhenUsed/>
    <w:rsid w:val="005532E2"/>
    <w:rPr>
      <w:szCs w:val="24"/>
    </w:rPr>
  </w:style>
  <w:style w:type="character" w:styleId="FollowedHyperlink">
    <w:name w:val="FollowedHyperlink"/>
    <w:basedOn w:val="DefaultParagraphFont"/>
    <w:uiPriority w:val="99"/>
    <w:semiHidden/>
    <w:unhideWhenUsed/>
    <w:rsid w:val="0054642C"/>
    <w:rPr>
      <w:color w:val="954F72" w:themeColor="followedHyperlink"/>
      <w:u w:val="single"/>
    </w:rPr>
  </w:style>
  <w:style w:type="paragraph" w:customStyle="1" w:styleId="Default">
    <w:name w:val="Default"/>
    <w:rsid w:val="001171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1,1st level - Bullet List Paragraph,List Paragraph1,Lettre d'introduction,Paragrafo elenco,Normal bullet 2,Medium Grid 1 - Accent 21,List Paragraph11,FooterText,Paragraphe de liste1,Bullet list,Bullet List Paragraph,Numbered List"/>
    <w:basedOn w:val="Normal"/>
    <w:link w:val="ListParagraphChar"/>
    <w:uiPriority w:val="34"/>
    <w:qFormat/>
    <w:rsid w:val="006B1893"/>
    <w:pPr>
      <w:spacing w:before="120" w:after="120"/>
      <w:ind w:left="720"/>
      <w:contextualSpacing/>
      <w:jc w:val="left"/>
    </w:pPr>
    <w:rPr>
      <w:rFonts w:eastAsiaTheme="minorHAnsi" w:cstheme="minorBidi"/>
      <w:szCs w:val="22"/>
    </w:rPr>
  </w:style>
  <w:style w:type="character" w:customStyle="1" w:styleId="ListParagraphChar">
    <w:name w:val="List Paragraph Char"/>
    <w:aliases w:val="List1 Char,1st level - Bullet List Paragraph Char,List Paragraph1 Char,Lettre d'introduction Char,Paragrafo elenco Char,Normal bullet 2 Char,Medium Grid 1 - Accent 21 Char,List Paragraph11 Char,FooterText Char,Bullet list Char"/>
    <w:basedOn w:val="DefaultParagraphFont"/>
    <w:link w:val="ListParagraph"/>
    <w:uiPriority w:val="34"/>
    <w:qFormat/>
    <w:rsid w:val="006B1893"/>
    <w:rPr>
      <w:rFonts w:ascii="Times New Roman" w:hAnsi="Times New Roman"/>
      <w:sz w:val="24"/>
    </w:rPr>
  </w:style>
  <w:style w:type="character" w:customStyle="1" w:styleId="Marker">
    <w:name w:val="Marker"/>
    <w:basedOn w:val="DefaultParagraphFont"/>
    <w:rsid w:val="005C0D01"/>
    <w:rPr>
      <w:color w:val="0000FF"/>
      <w:shd w:val="clear" w:color="auto" w:fill="auto"/>
    </w:rPr>
  </w:style>
  <w:style w:type="paragraph" w:customStyle="1" w:styleId="Pagedecouverture">
    <w:name w:val="Page de couverture"/>
    <w:basedOn w:val="Normal"/>
    <w:next w:val="Normal"/>
    <w:rsid w:val="005C0D01"/>
    <w:pPr>
      <w:spacing w:after="0"/>
    </w:pPr>
    <w:rPr>
      <w:rFonts w:eastAsiaTheme="minorHAnsi"/>
      <w:szCs w:val="22"/>
    </w:rPr>
  </w:style>
  <w:style w:type="paragraph" w:styleId="Header">
    <w:name w:val="header"/>
    <w:basedOn w:val="Normal"/>
    <w:link w:val="HeaderChar"/>
    <w:uiPriority w:val="99"/>
    <w:unhideWhenUsed/>
    <w:rsid w:val="005C0D01"/>
    <w:pPr>
      <w:tabs>
        <w:tab w:val="center" w:pos="4513"/>
        <w:tab w:val="right" w:pos="9026"/>
      </w:tabs>
      <w:spacing w:after="0"/>
    </w:pPr>
  </w:style>
  <w:style w:type="character" w:customStyle="1" w:styleId="HeaderChar">
    <w:name w:val="Header Char"/>
    <w:basedOn w:val="DefaultParagraphFont"/>
    <w:link w:val="Header"/>
    <w:uiPriority w:val="99"/>
    <w:rsid w:val="005C0D0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0D01"/>
    <w:pPr>
      <w:tabs>
        <w:tab w:val="center" w:pos="4513"/>
        <w:tab w:val="right" w:pos="9026"/>
      </w:tabs>
      <w:spacing w:after="0"/>
    </w:pPr>
  </w:style>
  <w:style w:type="character" w:customStyle="1" w:styleId="FooterChar">
    <w:name w:val="Footer Char"/>
    <w:basedOn w:val="DefaultParagraphFont"/>
    <w:link w:val="Footer"/>
    <w:uiPriority w:val="99"/>
    <w:rsid w:val="005C0D01"/>
    <w:rPr>
      <w:rFonts w:ascii="Times New Roman" w:eastAsia="Times New Roman" w:hAnsi="Times New Roman" w:cs="Times New Roman"/>
      <w:sz w:val="24"/>
      <w:szCs w:val="20"/>
    </w:rPr>
  </w:style>
  <w:style w:type="paragraph" w:customStyle="1" w:styleId="FooterCoverPage">
    <w:name w:val="Footer Cover Page"/>
    <w:basedOn w:val="Normal"/>
    <w:link w:val="FooterCoverPageChar"/>
    <w:rsid w:val="005C0D01"/>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5C0D01"/>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5C0D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5C0D01"/>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5C0D01"/>
    <w:pPr>
      <w:tabs>
        <w:tab w:val="center" w:pos="4535"/>
        <w:tab w:val="right" w:pos="9071"/>
      </w:tabs>
      <w:spacing w:after="120"/>
    </w:pPr>
  </w:style>
  <w:style w:type="character" w:customStyle="1" w:styleId="HeaderCoverPageChar">
    <w:name w:val="Header Cover Page Char"/>
    <w:basedOn w:val="DefaultParagraphFont"/>
    <w:link w:val="HeaderCoverPage"/>
    <w:rsid w:val="005C0D01"/>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5C0D01"/>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5C0D01"/>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5C0D01"/>
    <w:pPr>
      <w:spacing w:after="120"/>
      <w:jc w:val="right"/>
    </w:pPr>
    <w:rPr>
      <w:sz w:val="28"/>
    </w:rPr>
  </w:style>
  <w:style w:type="character" w:customStyle="1" w:styleId="HeaderSensitivityRightChar">
    <w:name w:val="Header Sensitivity Right Char"/>
    <w:basedOn w:val="DefaultParagraphFont"/>
    <w:link w:val="HeaderSensitivityRight"/>
    <w:rsid w:val="005C0D01"/>
    <w:rPr>
      <w:rFonts w:ascii="Times New Roman" w:eastAsia="Times New Roman" w:hAnsi="Times New Roman" w:cs="Times New Roman"/>
      <w:sz w:val="28"/>
      <w:szCs w:val="20"/>
    </w:rPr>
  </w:style>
  <w:style w:type="paragraph" w:customStyle="1" w:styleId="Text2">
    <w:name w:val="Text 2"/>
    <w:basedOn w:val="Normal"/>
    <w:uiPriority w:val="99"/>
    <w:rsid w:val="00CA3CAE"/>
    <w:pPr>
      <w:tabs>
        <w:tab w:val="left" w:pos="2302"/>
      </w:tabs>
      <w:ind w:left="1202"/>
      <w:jc w:val="left"/>
    </w:pPr>
  </w:style>
  <w:style w:type="paragraph" w:customStyle="1" w:styleId="Text1">
    <w:name w:val="Text 1"/>
    <w:basedOn w:val="Normal"/>
    <w:uiPriority w:val="99"/>
    <w:rsid w:val="00A2103B"/>
    <w:pPr>
      <w:ind w:left="482"/>
      <w:jc w:val="left"/>
    </w:pPr>
  </w:style>
  <w:style w:type="paragraph" w:styleId="Revision">
    <w:name w:val="Revision"/>
    <w:hidden/>
    <w:uiPriority w:val="99"/>
    <w:semiHidden/>
    <w:rsid w:val="0094557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145">
      <w:bodyDiv w:val="1"/>
      <w:marLeft w:val="0"/>
      <w:marRight w:val="0"/>
      <w:marTop w:val="0"/>
      <w:marBottom w:val="0"/>
      <w:divBdr>
        <w:top w:val="none" w:sz="0" w:space="0" w:color="auto"/>
        <w:left w:val="none" w:sz="0" w:space="0" w:color="auto"/>
        <w:bottom w:val="none" w:sz="0" w:space="0" w:color="auto"/>
        <w:right w:val="none" w:sz="0" w:space="0" w:color="auto"/>
      </w:divBdr>
    </w:div>
    <w:div w:id="392193438">
      <w:bodyDiv w:val="1"/>
      <w:marLeft w:val="0"/>
      <w:marRight w:val="0"/>
      <w:marTop w:val="0"/>
      <w:marBottom w:val="0"/>
      <w:divBdr>
        <w:top w:val="none" w:sz="0" w:space="0" w:color="auto"/>
        <w:left w:val="none" w:sz="0" w:space="0" w:color="auto"/>
        <w:bottom w:val="none" w:sz="0" w:space="0" w:color="auto"/>
        <w:right w:val="none" w:sz="0" w:space="0" w:color="auto"/>
      </w:divBdr>
    </w:div>
    <w:div w:id="397091018">
      <w:bodyDiv w:val="1"/>
      <w:marLeft w:val="0"/>
      <w:marRight w:val="0"/>
      <w:marTop w:val="0"/>
      <w:marBottom w:val="0"/>
      <w:divBdr>
        <w:top w:val="none" w:sz="0" w:space="0" w:color="auto"/>
        <w:left w:val="none" w:sz="0" w:space="0" w:color="auto"/>
        <w:bottom w:val="none" w:sz="0" w:space="0" w:color="auto"/>
        <w:right w:val="none" w:sz="0" w:space="0" w:color="auto"/>
      </w:divBdr>
    </w:div>
    <w:div w:id="704449491">
      <w:bodyDiv w:val="1"/>
      <w:marLeft w:val="0"/>
      <w:marRight w:val="0"/>
      <w:marTop w:val="0"/>
      <w:marBottom w:val="0"/>
      <w:divBdr>
        <w:top w:val="none" w:sz="0" w:space="0" w:color="auto"/>
        <w:left w:val="none" w:sz="0" w:space="0" w:color="auto"/>
        <w:bottom w:val="none" w:sz="0" w:space="0" w:color="auto"/>
        <w:right w:val="none" w:sz="0" w:space="0" w:color="auto"/>
      </w:divBdr>
    </w:div>
    <w:div w:id="1096243028">
      <w:bodyDiv w:val="1"/>
      <w:marLeft w:val="0"/>
      <w:marRight w:val="0"/>
      <w:marTop w:val="0"/>
      <w:marBottom w:val="0"/>
      <w:divBdr>
        <w:top w:val="none" w:sz="0" w:space="0" w:color="auto"/>
        <w:left w:val="none" w:sz="0" w:space="0" w:color="auto"/>
        <w:bottom w:val="none" w:sz="0" w:space="0" w:color="auto"/>
        <w:right w:val="none" w:sz="0" w:space="0" w:color="auto"/>
      </w:divBdr>
    </w:div>
    <w:div w:id="1248348824">
      <w:bodyDiv w:val="1"/>
      <w:marLeft w:val="0"/>
      <w:marRight w:val="0"/>
      <w:marTop w:val="0"/>
      <w:marBottom w:val="0"/>
      <w:divBdr>
        <w:top w:val="none" w:sz="0" w:space="0" w:color="auto"/>
        <w:left w:val="none" w:sz="0" w:space="0" w:color="auto"/>
        <w:bottom w:val="none" w:sz="0" w:space="0" w:color="auto"/>
        <w:right w:val="none" w:sz="0" w:space="0" w:color="auto"/>
      </w:divBdr>
    </w:div>
    <w:div w:id="1258631349">
      <w:bodyDiv w:val="1"/>
      <w:marLeft w:val="0"/>
      <w:marRight w:val="0"/>
      <w:marTop w:val="0"/>
      <w:marBottom w:val="0"/>
      <w:divBdr>
        <w:top w:val="none" w:sz="0" w:space="0" w:color="auto"/>
        <w:left w:val="none" w:sz="0" w:space="0" w:color="auto"/>
        <w:bottom w:val="none" w:sz="0" w:space="0" w:color="auto"/>
        <w:right w:val="none" w:sz="0" w:space="0" w:color="auto"/>
      </w:divBdr>
    </w:div>
    <w:div w:id="1325205414">
      <w:bodyDiv w:val="1"/>
      <w:marLeft w:val="0"/>
      <w:marRight w:val="0"/>
      <w:marTop w:val="0"/>
      <w:marBottom w:val="0"/>
      <w:divBdr>
        <w:top w:val="none" w:sz="0" w:space="0" w:color="auto"/>
        <w:left w:val="none" w:sz="0" w:space="0" w:color="auto"/>
        <w:bottom w:val="none" w:sz="0" w:space="0" w:color="auto"/>
        <w:right w:val="none" w:sz="0" w:space="0" w:color="auto"/>
      </w:divBdr>
    </w:div>
    <w:div w:id="1378705745">
      <w:bodyDiv w:val="1"/>
      <w:marLeft w:val="0"/>
      <w:marRight w:val="0"/>
      <w:marTop w:val="0"/>
      <w:marBottom w:val="0"/>
      <w:divBdr>
        <w:top w:val="none" w:sz="0" w:space="0" w:color="auto"/>
        <w:left w:val="none" w:sz="0" w:space="0" w:color="auto"/>
        <w:bottom w:val="none" w:sz="0" w:space="0" w:color="auto"/>
        <w:right w:val="none" w:sz="0" w:space="0" w:color="auto"/>
      </w:divBdr>
    </w:div>
    <w:div w:id="1612590207">
      <w:bodyDiv w:val="1"/>
      <w:marLeft w:val="0"/>
      <w:marRight w:val="0"/>
      <w:marTop w:val="0"/>
      <w:marBottom w:val="0"/>
      <w:divBdr>
        <w:top w:val="none" w:sz="0" w:space="0" w:color="auto"/>
        <w:left w:val="none" w:sz="0" w:space="0" w:color="auto"/>
        <w:bottom w:val="none" w:sz="0" w:space="0" w:color="auto"/>
        <w:right w:val="none" w:sz="0" w:space="0" w:color="auto"/>
      </w:divBdr>
    </w:div>
    <w:div w:id="1614627766">
      <w:bodyDiv w:val="1"/>
      <w:marLeft w:val="0"/>
      <w:marRight w:val="0"/>
      <w:marTop w:val="0"/>
      <w:marBottom w:val="0"/>
      <w:divBdr>
        <w:top w:val="none" w:sz="0" w:space="0" w:color="auto"/>
        <w:left w:val="none" w:sz="0" w:space="0" w:color="auto"/>
        <w:bottom w:val="none" w:sz="0" w:space="0" w:color="auto"/>
        <w:right w:val="none" w:sz="0" w:space="0" w:color="auto"/>
      </w:divBdr>
    </w:div>
    <w:div w:id="1811360166">
      <w:bodyDiv w:val="1"/>
      <w:marLeft w:val="0"/>
      <w:marRight w:val="0"/>
      <w:marTop w:val="0"/>
      <w:marBottom w:val="0"/>
      <w:divBdr>
        <w:top w:val="none" w:sz="0" w:space="0" w:color="auto"/>
        <w:left w:val="none" w:sz="0" w:space="0" w:color="auto"/>
        <w:bottom w:val="none" w:sz="0" w:space="0" w:color="auto"/>
        <w:right w:val="none" w:sz="0" w:space="0" w:color="auto"/>
      </w:divBdr>
    </w:div>
    <w:div w:id="19823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124CE2E9D724C90B9D71771966EB5" ma:contentTypeVersion="3" ma:contentTypeDescription="Create a new document." ma:contentTypeScope="" ma:versionID="d20e893ca40c59b23bf4570cc0b8c171">
  <xsd:schema xmlns:xsd="http://www.w3.org/2001/XMLSchema" xmlns:xs="http://www.w3.org/2001/XMLSchema" xmlns:p="http://schemas.microsoft.com/office/2006/metadata/properties" xmlns:ns2="b7b8b0f0-18f5-4523-b4b0-d653a3c47291" targetNamespace="http://schemas.microsoft.com/office/2006/metadata/properties" ma:root="true" ma:fieldsID="893b145c932eea2c3534cbe2f709931d" ns2:_="">
    <xsd:import namespace="b7b8b0f0-18f5-4523-b4b0-d653a3c47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8b0f0-18f5-4523-b4b0-d653a3c47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3FAD2-F695-426C-BFB7-22C5A6B49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8B378-88AD-4818-88DE-6480A97C9594}">
  <ds:schemaRefs>
    <ds:schemaRef ds:uri="http://schemas.microsoft.com/sharepoint/v3/contenttype/forms"/>
  </ds:schemaRefs>
</ds:datastoreItem>
</file>

<file path=customXml/itemProps3.xml><?xml version="1.0" encoding="utf-8"?>
<ds:datastoreItem xmlns:ds="http://schemas.openxmlformats.org/officeDocument/2006/customXml" ds:itemID="{77983CC1-433D-49B8-B68F-0F6302B6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8b0f0-18f5-4523-b4b0-d653a3c47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2C6E8-6027-4370-9EC9-59EC192D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11</cp:revision>
  <cp:lastPrinted>2022-06-22T15:48:00Z</cp:lastPrinted>
  <dcterms:created xsi:type="dcterms:W3CDTF">2025-07-11T11:05:00Z</dcterms:created>
  <dcterms:modified xsi:type="dcterms:W3CDTF">2025-09-05T15:13:00Z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9.1, Build 20240808</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2025-05-27T11:58:41Z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17cfe0e0-0120-453d-a4b8-1ee36cbe26d7</vt:lpwstr>
  </property>
  <property fmtid="{D5CDD505-2E9C-101B-9397-08002B2CF9AE}" pid="15" name="MSIP_Label_6bd9ddd1-4d20-43f6-abfa-fc3c07406f94_ContentBits">
    <vt:lpwstr>0</vt:lpwstr>
  </property>
  <property fmtid="{D5CDD505-2E9C-101B-9397-08002B2CF9AE}" pid="16" name="ContentTypeId">
    <vt:lpwstr>0x0101008ED124CE2E9D724C90B9D71771966EB5</vt:lpwstr>
  </property>
  <property fmtid="{D5CDD505-2E9C-101B-9397-08002B2CF9AE}" pid="17" name="MediaServiceImageTags">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