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FA5D4" w14:textId="55AE103A" w:rsidR="009A70DD" w:rsidRPr="00D65484" w:rsidRDefault="00273B65" w:rsidP="00273B65">
      <w:pPr>
        <w:pStyle w:val="Pagedecouverture"/>
        <w:rPr>
          <w:noProof/>
        </w:rPr>
      </w:pPr>
      <w:r>
        <w:rPr>
          <w:noProof/>
        </w:rPr>
        <w:pict w14:anchorId="70B7B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3E7FE152-037C-450E-9BA0-60E3CC536AF4" style="width:455.25pt;height:401.25pt">
            <v:imagedata r:id="rId8" o:title=""/>
          </v:shape>
        </w:pict>
      </w:r>
    </w:p>
    <w:p w14:paraId="3E422D3F" w14:textId="77777777" w:rsidR="00045DF4" w:rsidRPr="00D65484" w:rsidRDefault="00045DF4" w:rsidP="00045DF4">
      <w:pPr>
        <w:pStyle w:val="Pagedecouverture"/>
        <w:rPr>
          <w:noProof/>
        </w:rPr>
        <w:sectPr w:rsidR="00045DF4" w:rsidRPr="00D65484" w:rsidSect="00273B65">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0"/>
          <w:cols w:space="720"/>
          <w:docGrid w:linePitch="360"/>
        </w:sectPr>
      </w:pPr>
    </w:p>
    <w:p w14:paraId="387B118F" w14:textId="119563D8" w:rsidR="00D530BF" w:rsidRPr="00D65484" w:rsidRDefault="00D530BF" w:rsidP="00D530BF">
      <w:pPr>
        <w:pStyle w:val="Annexetitre"/>
        <w:rPr>
          <w:rStyle w:val="Marker"/>
          <w:noProof/>
        </w:rPr>
      </w:pPr>
      <w:bookmarkStart w:id="0" w:name="_Hlk205721931"/>
      <w:bookmarkStart w:id="1" w:name="_GoBack"/>
      <w:bookmarkEnd w:id="1"/>
      <w:r w:rsidRPr="00D65484">
        <w:rPr>
          <w:noProof/>
        </w:rPr>
        <w:lastRenderedPageBreak/>
        <w:t>ANNEXE</w:t>
      </w:r>
    </w:p>
    <w:p w14:paraId="5BEAE859" w14:textId="77777777" w:rsidR="00977B24" w:rsidRPr="00D65484" w:rsidRDefault="009A70DD" w:rsidP="009E239A">
      <w:pPr>
        <w:jc w:val="center"/>
        <w:rPr>
          <w:b/>
          <w:noProof/>
        </w:rPr>
      </w:pPr>
      <w:r w:rsidRPr="00D65484">
        <w:rPr>
          <w:b/>
          <w:noProof/>
        </w:rPr>
        <w:t xml:space="preserve">Décision nº 3/2025 du comité mixte </w:t>
      </w:r>
      <w:r w:rsidRPr="00D65484">
        <w:rPr>
          <w:b/>
          <w:noProof/>
        </w:rPr>
        <w:br/>
        <w:t xml:space="preserve">institué par l’accord entre l'Union européenne et l'Ukraine sur le transport de marchandises par route </w:t>
      </w:r>
    </w:p>
    <w:p w14:paraId="3E3354B9" w14:textId="2A8B27C0" w:rsidR="00977B24" w:rsidRPr="00D65484" w:rsidRDefault="00977B24" w:rsidP="009E239A">
      <w:pPr>
        <w:jc w:val="center"/>
        <w:rPr>
          <w:b/>
          <w:noProof/>
        </w:rPr>
      </w:pPr>
      <w:r w:rsidRPr="00D65484">
        <w:rPr>
          <w:b/>
          <w:noProof/>
        </w:rPr>
        <w:t>du ...</w:t>
      </w:r>
    </w:p>
    <w:p w14:paraId="644D8F79" w14:textId="160DD1F6" w:rsidR="00977B24" w:rsidRPr="00D65484" w:rsidRDefault="009E239A" w:rsidP="00977B24">
      <w:pPr>
        <w:jc w:val="center"/>
        <w:rPr>
          <w:b/>
          <w:noProof/>
        </w:rPr>
      </w:pPr>
      <w:r w:rsidRPr="00D65484">
        <w:rPr>
          <w:b/>
          <w:noProof/>
        </w:rPr>
        <w:t>en ce qui concerne la reconduction de l’accord</w:t>
      </w:r>
    </w:p>
    <w:bookmarkEnd w:id="0"/>
    <w:p w14:paraId="1E36395D" w14:textId="77777777" w:rsidR="009E239A" w:rsidRPr="00D65484" w:rsidRDefault="009E239A" w:rsidP="00A93D3D">
      <w:pPr>
        <w:jc w:val="center"/>
        <w:rPr>
          <w:rFonts w:eastAsia="Times New Roman"/>
          <w:b/>
          <w:noProof/>
          <w:color w:val="000000"/>
        </w:rPr>
      </w:pPr>
    </w:p>
    <w:p w14:paraId="21435DF5" w14:textId="77777777" w:rsidR="009A70DD" w:rsidRPr="00D65484" w:rsidRDefault="009A70DD" w:rsidP="009E239A">
      <w:pPr>
        <w:rPr>
          <w:noProof/>
          <w:szCs w:val="24"/>
        </w:rPr>
      </w:pPr>
      <w:r w:rsidRPr="00D65484">
        <w:rPr>
          <w:noProof/>
        </w:rPr>
        <w:t>LE COMITÉ MIXTE,</w:t>
      </w:r>
    </w:p>
    <w:p w14:paraId="30784A2F" w14:textId="109A4039" w:rsidR="009A70DD" w:rsidRPr="00D65484" w:rsidRDefault="009A70DD" w:rsidP="009A70DD">
      <w:pPr>
        <w:rPr>
          <w:noProof/>
          <w:szCs w:val="24"/>
        </w:rPr>
      </w:pPr>
      <w:r w:rsidRPr="00D65484">
        <w:rPr>
          <w:noProof/>
        </w:rPr>
        <w:t>vu l’accord entre l’Union européenne et l’Ukraine sur le transport de marchandises par route</w:t>
      </w:r>
      <w:r w:rsidR="009D7561" w:rsidRPr="00D65484">
        <w:rPr>
          <w:rStyle w:val="FootnoteReference"/>
          <w:noProof/>
          <w:szCs w:val="24"/>
        </w:rPr>
        <w:footnoteReference w:id="1"/>
      </w:r>
      <w:r w:rsidRPr="00D65484">
        <w:rPr>
          <w:noProof/>
        </w:rPr>
        <w:t xml:space="preserve"> signé le 29 juin 2022, et notamment son article 7, paragraphe 2,</w:t>
      </w:r>
    </w:p>
    <w:p w14:paraId="11C2C02C" w14:textId="77777777" w:rsidR="009A70DD" w:rsidRPr="00D65484" w:rsidRDefault="009A70DD" w:rsidP="009A70DD">
      <w:pPr>
        <w:rPr>
          <w:noProof/>
          <w:szCs w:val="24"/>
        </w:rPr>
      </w:pPr>
      <w:r w:rsidRPr="00D65484">
        <w:rPr>
          <w:noProof/>
        </w:rPr>
        <w:t>considérant ce qui suit:</w:t>
      </w:r>
    </w:p>
    <w:p w14:paraId="47CADE86" w14:textId="4FEC24F7" w:rsidR="0040265C" w:rsidRPr="00D65484" w:rsidRDefault="0040265C" w:rsidP="002B2333">
      <w:pPr>
        <w:pStyle w:val="Point0number"/>
        <w:numPr>
          <w:ilvl w:val="0"/>
          <w:numId w:val="10"/>
        </w:numPr>
        <w:rPr>
          <w:noProof/>
        </w:rPr>
      </w:pPr>
      <w:r w:rsidRPr="00D65484">
        <w:rPr>
          <w:noProof/>
        </w:rPr>
        <w:t>Conformément à la décision 2/2023 du comité mixte du 16 mars 2023</w:t>
      </w:r>
      <w:r w:rsidRPr="00D65484">
        <w:rPr>
          <w:rStyle w:val="FootnoteReference"/>
          <w:noProof/>
        </w:rPr>
        <w:footnoteReference w:id="2"/>
      </w:r>
      <w:r w:rsidRPr="00D65484">
        <w:rPr>
          <w:noProof/>
        </w:rPr>
        <w:t>, l’accord entre l’Union européenne et l’Ukraine sur le transport de marchandises par route (ci-après dénommé «l’accord») a été prorogé jusqu’au 30 juin 2024. Par l’accord modificatif signé le 20 juin 2024, l’accord a été modifié et prorogé jusqu’au 30 juin 2025, avec reconduction tacite pour une nouvelle période de six mois</w:t>
      </w:r>
      <w:r w:rsidRPr="00D65484">
        <w:rPr>
          <w:rStyle w:val="FootnoteReference"/>
          <w:noProof/>
        </w:rPr>
        <w:footnoteReference w:id="3"/>
      </w:r>
      <w:r w:rsidRPr="00D65484">
        <w:rPr>
          <w:noProof/>
        </w:rPr>
        <w:t>. Il est applicable jusqu’au 31 décembre 2025.</w:t>
      </w:r>
    </w:p>
    <w:p w14:paraId="4A724271" w14:textId="4201529B" w:rsidR="0022707C" w:rsidRPr="00D65484" w:rsidRDefault="00EA005B" w:rsidP="00D708FE">
      <w:pPr>
        <w:pStyle w:val="Point0number"/>
        <w:rPr>
          <w:noProof/>
        </w:rPr>
      </w:pPr>
      <w:r w:rsidRPr="00D65484">
        <w:rPr>
          <w:noProof/>
        </w:rPr>
        <w:t>Conformément à l’article 7, paragraphe 2, de l’accord, le comité mixte se réunit au plus tard trois mois avant l’expiration de l’accord afin d’évaluer et de décider de la nécessité de reconduire l’accord ainsi que de prendre une décision sur cette reconduction, y compris sur sa durée.</w:t>
      </w:r>
    </w:p>
    <w:p w14:paraId="705691ED" w14:textId="08DBB356" w:rsidR="005B1614" w:rsidRPr="00D65484" w:rsidRDefault="005B1614" w:rsidP="00CB2C70">
      <w:pPr>
        <w:pStyle w:val="Point0number"/>
        <w:rPr>
          <w:noProof/>
        </w:rPr>
      </w:pPr>
      <w:r w:rsidRPr="00D65484">
        <w:rPr>
          <w:noProof/>
        </w:rPr>
        <w:t>L’Union européenne et l’Ukraine continuent de bénéficier des effets positifs de l’accord, qui facilite le transport routier de marchandises entre et via l’Ukraine et l’Union européenne. L’accord est devenu un soutien essentiel au bon fonctionnement des corridors de solidarité.</w:t>
      </w:r>
    </w:p>
    <w:p w14:paraId="7020D7F2" w14:textId="1E8D31D8" w:rsidR="0022707C" w:rsidRPr="00D65484" w:rsidRDefault="0022707C" w:rsidP="00D708FE">
      <w:pPr>
        <w:pStyle w:val="Point0number"/>
        <w:rPr>
          <w:noProof/>
        </w:rPr>
      </w:pPr>
      <w:r w:rsidRPr="00D65484">
        <w:rPr>
          <w:noProof/>
        </w:rPr>
        <w:t xml:space="preserve">Il convient de considérer que la reconduction de l’accord contribuera aussi à la reconstruction de l’Ukraine une fois terminée la guerre d’agression menée par la Russie contre ce pays.  </w:t>
      </w:r>
    </w:p>
    <w:p w14:paraId="6AEE32BE" w14:textId="224C7110" w:rsidR="00A07726" w:rsidRPr="00D65484" w:rsidRDefault="00A07726" w:rsidP="00CA4224">
      <w:pPr>
        <w:pStyle w:val="Point0number"/>
        <w:rPr>
          <w:noProof/>
          <w:color w:val="444444"/>
        </w:rPr>
      </w:pPr>
      <w:r w:rsidRPr="00D65484">
        <w:rPr>
          <w:noProof/>
        </w:rPr>
        <w:t xml:space="preserve"> Il y a donc lieu de reconduire l’accord jusqu’au 31 mars 2027.</w:t>
      </w:r>
    </w:p>
    <w:p w14:paraId="4C5B2A93" w14:textId="330E3BE6" w:rsidR="006775E7" w:rsidRPr="00D65484" w:rsidRDefault="006775E7" w:rsidP="006775E7">
      <w:pPr>
        <w:pStyle w:val="Point0number"/>
        <w:rPr>
          <w:noProof/>
        </w:rPr>
      </w:pPr>
      <w:bookmarkStart w:id="2" w:name="_Hlk204862251"/>
      <w:bookmarkStart w:id="3" w:name="_Hlk204865009"/>
      <w:r w:rsidRPr="00D65484">
        <w:rPr>
          <w:noProof/>
        </w:rPr>
        <w:t xml:space="preserve">Compte tenu des préoccupations et des incertitudes quant à une éventuelle incidence négative de l’accord sur certains États membres, la Commission européenne lancera une étude sur l’incidence de l’accord dans le secteur du transport routier, au niveau de l’UE et au niveau national, qui devra être prête avant l’expiration de l’accord, le 31 mars 2027.  </w:t>
      </w:r>
    </w:p>
    <w:p w14:paraId="5F4376E5" w14:textId="44B533D1" w:rsidR="00E7082D" w:rsidRPr="00D65484" w:rsidRDefault="00926326" w:rsidP="00E7082D">
      <w:pPr>
        <w:pStyle w:val="Point0number"/>
        <w:rPr>
          <w:rFonts w:eastAsia="Times New Roman"/>
          <w:noProof/>
          <w:szCs w:val="24"/>
        </w:rPr>
      </w:pPr>
      <w:r w:rsidRPr="00D65484">
        <w:rPr>
          <w:noProof/>
        </w:rPr>
        <w:t>Toute nouvelle prolongation devrait être subordonnée à des progrès satisfaisants dans l’alignement de la législation ukrainienne sur l’acquis de l’UE dans le domaine du transport routier de marchandises avant l’expiration de l’accord le 31 mars 2027. Cela devrait faciliter le bon fonctionnement du transport routier de marchandises dans le cadre du présent accord et s’inscrire dans le contexte des négociations d’adhésion en cours, qui ont débuté le 14 décembre 2023</w:t>
      </w:r>
      <w:r w:rsidR="00D15068" w:rsidRPr="00D65484">
        <w:rPr>
          <w:rStyle w:val="FootnoteReference"/>
          <w:noProof/>
        </w:rPr>
        <w:footnoteReference w:id="4"/>
      </w:r>
      <w:r w:rsidRPr="00D65484">
        <w:rPr>
          <w:noProof/>
        </w:rPr>
        <w:t xml:space="preserve">,   </w:t>
      </w:r>
    </w:p>
    <w:bookmarkEnd w:id="2"/>
    <w:bookmarkEnd w:id="3"/>
    <w:p w14:paraId="763688C1" w14:textId="77777777" w:rsidR="009A70DD" w:rsidRPr="00D65484" w:rsidRDefault="009A70DD" w:rsidP="009A70DD">
      <w:pPr>
        <w:pStyle w:val="Formuledadoption"/>
        <w:ind w:left="240"/>
        <w:rPr>
          <w:noProof/>
          <w:szCs w:val="24"/>
        </w:rPr>
      </w:pPr>
      <w:r w:rsidRPr="00D65484">
        <w:rPr>
          <w:noProof/>
        </w:rPr>
        <w:t>A ADOPTÉ LA PRÉSENTE DÉCISION:</w:t>
      </w:r>
    </w:p>
    <w:p w14:paraId="25293AB1" w14:textId="77777777" w:rsidR="009A70DD" w:rsidRPr="00D65484" w:rsidRDefault="009A70DD" w:rsidP="00D530BF">
      <w:pPr>
        <w:pStyle w:val="Titrearticle"/>
        <w:rPr>
          <w:noProof/>
        </w:rPr>
      </w:pPr>
      <w:r w:rsidRPr="00D65484">
        <w:rPr>
          <w:noProof/>
        </w:rPr>
        <w:t>Article premier</w:t>
      </w:r>
    </w:p>
    <w:p w14:paraId="39BD6567" w14:textId="77777777" w:rsidR="009A70DD" w:rsidRPr="00D65484" w:rsidRDefault="00402AA6" w:rsidP="00D530BF">
      <w:pPr>
        <w:keepNext/>
        <w:jc w:val="center"/>
        <w:rPr>
          <w:noProof/>
          <w:szCs w:val="24"/>
        </w:rPr>
      </w:pPr>
      <w:r w:rsidRPr="00D65484">
        <w:rPr>
          <w:noProof/>
        </w:rPr>
        <w:t>Reconduction de l’accord</w:t>
      </w:r>
    </w:p>
    <w:p w14:paraId="31E7F6BD" w14:textId="2B1D6100" w:rsidR="00402AA6" w:rsidRPr="00D65484" w:rsidRDefault="00402AA6" w:rsidP="002B2333">
      <w:pPr>
        <w:pStyle w:val="NumPar1"/>
        <w:numPr>
          <w:ilvl w:val="0"/>
          <w:numId w:val="9"/>
        </w:numPr>
        <w:rPr>
          <w:noProof/>
        </w:rPr>
      </w:pPr>
      <w:r w:rsidRPr="00D65484">
        <w:rPr>
          <w:noProof/>
        </w:rPr>
        <w:t>L’accord entre l’Union européenne et l’Ukraine sur le transport de marchandises par route est reconduit jusqu’au 31 mars 2027.</w:t>
      </w:r>
    </w:p>
    <w:p w14:paraId="152A0F00" w14:textId="5F727433" w:rsidR="00AB11A8" w:rsidRPr="00D65484" w:rsidRDefault="006775E7" w:rsidP="00D530BF">
      <w:pPr>
        <w:pStyle w:val="NumPar1"/>
        <w:rPr>
          <w:noProof/>
        </w:rPr>
      </w:pPr>
      <w:r w:rsidRPr="00D65484">
        <w:rPr>
          <w:noProof/>
        </w:rPr>
        <w:t>Toute nouvelle prolongation devrait être subordonnée à des progrès satisfaisants dans l’alignement de la législation ukrainienne sur l’acquis de l’UE dans le domaine du transport routier de marchandises, comme stipulé dans l’appendice à la présente décision.</w:t>
      </w:r>
    </w:p>
    <w:p w14:paraId="7ED14073" w14:textId="6A178E3F" w:rsidR="008D63A0" w:rsidRPr="00D65484" w:rsidRDefault="009E239A" w:rsidP="00D530BF">
      <w:pPr>
        <w:pStyle w:val="Titrearticle"/>
        <w:rPr>
          <w:noProof/>
        </w:rPr>
      </w:pPr>
      <w:r w:rsidRPr="00D65484">
        <w:rPr>
          <w:noProof/>
        </w:rPr>
        <w:t>Article 2</w:t>
      </w:r>
    </w:p>
    <w:p w14:paraId="73515395" w14:textId="77777777" w:rsidR="00402AA6" w:rsidRPr="00D65484" w:rsidRDefault="00402AA6" w:rsidP="00402AA6">
      <w:pPr>
        <w:jc w:val="center"/>
        <w:rPr>
          <w:i/>
          <w:noProof/>
          <w:szCs w:val="24"/>
        </w:rPr>
      </w:pPr>
      <w:r w:rsidRPr="00D65484">
        <w:rPr>
          <w:noProof/>
        </w:rPr>
        <w:t>Entrée en vigueur</w:t>
      </w:r>
    </w:p>
    <w:p w14:paraId="1200672E" w14:textId="77777777" w:rsidR="00402AA6" w:rsidRPr="00D65484" w:rsidRDefault="00402AA6" w:rsidP="003C1086">
      <w:pPr>
        <w:rPr>
          <w:noProof/>
          <w:color w:val="000000" w:themeColor="text1"/>
          <w:szCs w:val="24"/>
        </w:rPr>
      </w:pPr>
      <w:r w:rsidRPr="00D65484">
        <w:rPr>
          <w:noProof/>
        </w:rPr>
        <w:t>La présente décision entre en vigueur le jour de son adoption.</w:t>
      </w:r>
    </w:p>
    <w:p w14:paraId="20B69EC4" w14:textId="77777777" w:rsidR="009A70DD" w:rsidRPr="00D65484" w:rsidRDefault="009A70DD" w:rsidP="009A70DD">
      <w:pPr>
        <w:pStyle w:val="Fait"/>
        <w:rPr>
          <w:noProof/>
          <w:szCs w:val="24"/>
        </w:rPr>
      </w:pPr>
    </w:p>
    <w:p w14:paraId="18F59980" w14:textId="77777777" w:rsidR="009A70DD" w:rsidRPr="00D65484" w:rsidRDefault="009A70DD" w:rsidP="009A70DD">
      <w:pPr>
        <w:pStyle w:val="Institutionquisigne"/>
        <w:ind w:left="3600"/>
        <w:rPr>
          <w:noProof/>
          <w:szCs w:val="24"/>
        </w:rPr>
      </w:pPr>
      <w:r w:rsidRPr="00D65484">
        <w:rPr>
          <w:noProof/>
        </w:rPr>
        <w:t>Par le comité mixte</w:t>
      </w:r>
    </w:p>
    <w:p w14:paraId="30029720" w14:textId="77777777" w:rsidR="00D530BF" w:rsidRPr="00D65484" w:rsidRDefault="009A70DD" w:rsidP="009A70DD">
      <w:pPr>
        <w:pStyle w:val="Personnequisigne"/>
        <w:rPr>
          <w:noProof/>
        </w:rPr>
      </w:pPr>
      <w:r w:rsidRPr="00D65484">
        <w:rPr>
          <w:noProof/>
        </w:rPr>
        <w:tab/>
        <w:t>Les coprésidents</w:t>
      </w:r>
    </w:p>
    <w:p w14:paraId="00AD60D5" w14:textId="77777777" w:rsidR="00F2540D" w:rsidRPr="00D65484" w:rsidRDefault="00F2540D">
      <w:pPr>
        <w:spacing w:before="0" w:after="200" w:line="276" w:lineRule="auto"/>
        <w:jc w:val="left"/>
        <w:rPr>
          <w:iCs/>
          <w:noProof/>
        </w:rPr>
        <w:sectPr w:rsidR="00F2540D" w:rsidRPr="00D65484" w:rsidSect="00273B65">
          <w:headerReference w:type="even" r:id="rId15"/>
          <w:footerReference w:type="even" r:id="rId16"/>
          <w:footerReference w:type="default" r:id="rId17"/>
          <w:headerReference w:type="first" r:id="rId18"/>
          <w:footerReference w:type="first" r:id="rId19"/>
          <w:pgSz w:w="11907" w:h="16839"/>
          <w:pgMar w:top="1134" w:right="1417" w:bottom="1134" w:left="1417" w:header="709" w:footer="709" w:gutter="0"/>
          <w:cols w:space="720"/>
          <w:docGrid w:linePitch="360"/>
        </w:sectPr>
      </w:pPr>
    </w:p>
    <w:p w14:paraId="16688A19" w14:textId="77777777" w:rsidR="00F2540D" w:rsidRPr="00D65484" w:rsidRDefault="00F2540D" w:rsidP="00F2540D">
      <w:pPr>
        <w:jc w:val="center"/>
        <w:rPr>
          <w:b/>
          <w:noProof/>
        </w:rPr>
      </w:pPr>
      <w:r w:rsidRPr="00D65484">
        <w:rPr>
          <w:b/>
          <w:noProof/>
        </w:rPr>
        <w:t xml:space="preserve">Appendice à la décision nº 3/2025 du comité mixte </w:t>
      </w:r>
      <w:r w:rsidRPr="00D65484">
        <w:rPr>
          <w:b/>
          <w:noProof/>
        </w:rPr>
        <w:br/>
        <w:t xml:space="preserve">institué par l’accord entre l'Union européenne et l'Ukraine sur le transport de marchandises par route </w:t>
      </w:r>
    </w:p>
    <w:p w14:paraId="438695D5" w14:textId="77777777" w:rsidR="00F2540D" w:rsidRPr="00D65484" w:rsidRDefault="00F2540D" w:rsidP="00F2540D">
      <w:pPr>
        <w:jc w:val="center"/>
        <w:rPr>
          <w:b/>
          <w:noProof/>
        </w:rPr>
      </w:pPr>
      <w:r w:rsidRPr="00D65484">
        <w:rPr>
          <w:b/>
          <w:noProof/>
        </w:rPr>
        <w:t>du ...</w:t>
      </w:r>
    </w:p>
    <w:p w14:paraId="1D2EECED" w14:textId="77777777" w:rsidR="00F2540D" w:rsidRPr="00D65484" w:rsidRDefault="00F2540D" w:rsidP="00F2540D">
      <w:pPr>
        <w:jc w:val="center"/>
        <w:rPr>
          <w:b/>
          <w:noProof/>
        </w:rPr>
      </w:pPr>
      <w:r w:rsidRPr="00D65484">
        <w:rPr>
          <w:b/>
          <w:noProof/>
        </w:rPr>
        <w:t>en ce qui concerne la reconduction de l’accord</w:t>
      </w:r>
    </w:p>
    <w:p w14:paraId="2C44087B" w14:textId="77777777" w:rsidR="00F2540D" w:rsidRPr="00D65484" w:rsidRDefault="00F2540D" w:rsidP="00F2540D">
      <w:pPr>
        <w:rPr>
          <w:noProof/>
        </w:rPr>
      </w:pPr>
    </w:p>
    <w:tbl>
      <w:tblPr>
        <w:tblStyle w:val="TableGrid"/>
        <w:tblW w:w="12616" w:type="dxa"/>
        <w:jc w:val="center"/>
        <w:tblLook w:val="04A0" w:firstRow="1" w:lastRow="0" w:firstColumn="1" w:lastColumn="0" w:noHBand="0" w:noVBand="1"/>
      </w:tblPr>
      <w:tblGrid>
        <w:gridCol w:w="2072"/>
        <w:gridCol w:w="2753"/>
        <w:gridCol w:w="1362"/>
        <w:gridCol w:w="2228"/>
        <w:gridCol w:w="4201"/>
      </w:tblGrid>
      <w:tr w:rsidR="00F2540D" w:rsidRPr="00D65484" w14:paraId="0759ACB3" w14:textId="77777777" w:rsidTr="00D603E7">
        <w:trPr>
          <w:tblHeader/>
          <w:jc w:val="center"/>
        </w:trPr>
        <w:tc>
          <w:tcPr>
            <w:tcW w:w="2199" w:type="dxa"/>
          </w:tcPr>
          <w:p w14:paraId="49061BFE" w14:textId="77777777" w:rsidR="00F2540D" w:rsidRPr="00D65484" w:rsidRDefault="00F2540D" w:rsidP="009F79EB">
            <w:pPr>
              <w:jc w:val="left"/>
              <w:rPr>
                <w:b/>
                <w:bCs/>
                <w:i/>
                <w:iCs/>
                <w:noProof/>
                <w:sz w:val="22"/>
                <w:szCs w:val="20"/>
              </w:rPr>
            </w:pPr>
            <w:r w:rsidRPr="00D65484">
              <w:rPr>
                <w:b/>
                <w:i/>
                <w:noProof/>
                <w:sz w:val="22"/>
              </w:rPr>
              <w:t>L’acquis de l’UE doit être transposé par l’UA</w:t>
            </w:r>
          </w:p>
        </w:tc>
        <w:tc>
          <w:tcPr>
            <w:tcW w:w="1584" w:type="dxa"/>
          </w:tcPr>
          <w:p w14:paraId="0A6CB9CA" w14:textId="77777777" w:rsidR="00F2540D" w:rsidRPr="00D65484" w:rsidRDefault="00F2540D" w:rsidP="009F79EB">
            <w:pPr>
              <w:jc w:val="left"/>
              <w:rPr>
                <w:b/>
                <w:bCs/>
                <w:noProof/>
                <w:sz w:val="22"/>
                <w:szCs w:val="20"/>
              </w:rPr>
            </w:pPr>
            <w:r w:rsidRPr="00D65484">
              <w:rPr>
                <w:b/>
                <w:noProof/>
                <w:sz w:val="22"/>
              </w:rPr>
              <w:t>Base juridique de l’UE</w:t>
            </w:r>
          </w:p>
        </w:tc>
        <w:tc>
          <w:tcPr>
            <w:tcW w:w="1365" w:type="dxa"/>
          </w:tcPr>
          <w:p w14:paraId="08203E0C" w14:textId="3777931A" w:rsidR="00F2540D" w:rsidRPr="00D65484" w:rsidRDefault="00F2540D" w:rsidP="009F79EB">
            <w:pPr>
              <w:jc w:val="left"/>
              <w:rPr>
                <w:b/>
                <w:bCs/>
                <w:noProof/>
                <w:sz w:val="22"/>
                <w:szCs w:val="20"/>
              </w:rPr>
            </w:pPr>
            <w:r w:rsidRPr="00D65484">
              <w:rPr>
                <w:b/>
                <w:noProof/>
                <w:sz w:val="22"/>
              </w:rPr>
              <w:t>Délai pour évaluer si l’UA a enregistré des progrès satisfaisants</w:t>
            </w:r>
          </w:p>
        </w:tc>
        <w:tc>
          <w:tcPr>
            <w:tcW w:w="2502" w:type="dxa"/>
          </w:tcPr>
          <w:p w14:paraId="57F906A8" w14:textId="77777777" w:rsidR="00F2540D" w:rsidRPr="00D65484" w:rsidRDefault="00F2540D" w:rsidP="009F79EB">
            <w:pPr>
              <w:jc w:val="left"/>
              <w:rPr>
                <w:b/>
                <w:bCs/>
                <w:noProof/>
                <w:sz w:val="22"/>
                <w:szCs w:val="20"/>
              </w:rPr>
            </w:pPr>
            <w:r w:rsidRPr="00D65484">
              <w:rPr>
                <w:b/>
                <w:noProof/>
                <w:sz w:val="22"/>
              </w:rPr>
              <w:t xml:space="preserve">Mise en œuvre juridique </w:t>
            </w:r>
          </w:p>
        </w:tc>
        <w:tc>
          <w:tcPr>
            <w:tcW w:w="4966" w:type="dxa"/>
          </w:tcPr>
          <w:p w14:paraId="078152FF" w14:textId="77777777" w:rsidR="00F2540D" w:rsidRPr="00D65484" w:rsidRDefault="00F2540D" w:rsidP="009F79EB">
            <w:pPr>
              <w:jc w:val="left"/>
              <w:rPr>
                <w:b/>
                <w:bCs/>
                <w:noProof/>
                <w:sz w:val="22"/>
                <w:szCs w:val="20"/>
              </w:rPr>
            </w:pPr>
            <w:r w:rsidRPr="00D65484">
              <w:rPr>
                <w:b/>
                <w:noProof/>
                <w:sz w:val="22"/>
              </w:rPr>
              <w:t>Remarques</w:t>
            </w:r>
          </w:p>
        </w:tc>
      </w:tr>
      <w:tr w:rsidR="00F2540D" w:rsidRPr="00D65484" w14:paraId="7527BBF8" w14:textId="77777777" w:rsidTr="00F2540D">
        <w:trPr>
          <w:jc w:val="center"/>
        </w:trPr>
        <w:tc>
          <w:tcPr>
            <w:tcW w:w="2199" w:type="dxa"/>
          </w:tcPr>
          <w:p w14:paraId="1642FB03" w14:textId="77777777" w:rsidR="00F2540D" w:rsidRPr="00D65484" w:rsidRDefault="00F2540D" w:rsidP="009F79EB">
            <w:pPr>
              <w:jc w:val="left"/>
              <w:rPr>
                <w:noProof/>
                <w:sz w:val="22"/>
                <w:szCs w:val="20"/>
              </w:rPr>
            </w:pPr>
            <w:r w:rsidRPr="00D65484">
              <w:rPr>
                <w:noProof/>
                <w:sz w:val="22"/>
              </w:rPr>
              <w:t>Établissement d’un registre électronique national des entreprises de transport routier conformes aux spécifications de l’UE</w:t>
            </w:r>
          </w:p>
        </w:tc>
        <w:tc>
          <w:tcPr>
            <w:tcW w:w="1584" w:type="dxa"/>
          </w:tcPr>
          <w:p w14:paraId="22A46D78" w14:textId="77777777" w:rsidR="00F2540D" w:rsidRPr="00D65484" w:rsidRDefault="00F2540D" w:rsidP="009F79EB">
            <w:pPr>
              <w:jc w:val="left"/>
              <w:rPr>
                <w:noProof/>
                <w:sz w:val="22"/>
                <w:szCs w:val="20"/>
              </w:rPr>
            </w:pPr>
            <w:r w:rsidRPr="00D65484">
              <w:rPr>
                <w:noProof/>
                <w:sz w:val="22"/>
              </w:rPr>
              <w:t>Article 16 du règlement (UE) 1071/2009</w:t>
            </w:r>
          </w:p>
          <w:p w14:paraId="19086418" w14:textId="77777777" w:rsidR="00F2540D" w:rsidRPr="00D65484" w:rsidRDefault="00F2540D" w:rsidP="009F79EB">
            <w:pPr>
              <w:jc w:val="left"/>
              <w:rPr>
                <w:noProof/>
                <w:sz w:val="22"/>
                <w:szCs w:val="20"/>
              </w:rPr>
            </w:pPr>
          </w:p>
          <w:p w14:paraId="71F4BBD7" w14:textId="77777777" w:rsidR="00F2540D" w:rsidRPr="00D65484" w:rsidRDefault="00F2540D" w:rsidP="009F79EB">
            <w:pPr>
              <w:jc w:val="left"/>
              <w:rPr>
                <w:noProof/>
                <w:sz w:val="22"/>
                <w:szCs w:val="20"/>
              </w:rPr>
            </w:pPr>
            <w:r w:rsidRPr="00D65484">
              <w:rPr>
                <w:noProof/>
                <w:sz w:val="22"/>
              </w:rPr>
              <w:t>Décision 2009/992/UE de la Commission</w:t>
            </w:r>
          </w:p>
        </w:tc>
        <w:tc>
          <w:tcPr>
            <w:tcW w:w="1365" w:type="dxa"/>
          </w:tcPr>
          <w:p w14:paraId="54D7201D" w14:textId="630B27BB" w:rsidR="00F2540D" w:rsidRPr="00D65484" w:rsidRDefault="003F7FE1" w:rsidP="009F79EB">
            <w:pPr>
              <w:jc w:val="left"/>
              <w:rPr>
                <w:noProof/>
                <w:sz w:val="22"/>
                <w:highlight w:val="green"/>
              </w:rPr>
            </w:pPr>
            <w:r w:rsidRPr="00D65484">
              <w:rPr>
                <w:noProof/>
                <w:sz w:val="22"/>
              </w:rPr>
              <w:t>30.11.2026</w:t>
            </w:r>
          </w:p>
        </w:tc>
        <w:tc>
          <w:tcPr>
            <w:tcW w:w="2502" w:type="dxa"/>
          </w:tcPr>
          <w:p w14:paraId="5BF7DFDC" w14:textId="77777777" w:rsidR="00F2540D" w:rsidRPr="00D65484" w:rsidRDefault="00F2540D" w:rsidP="009F79EB">
            <w:pPr>
              <w:jc w:val="left"/>
              <w:rPr>
                <w:noProof/>
                <w:sz w:val="22"/>
                <w:szCs w:val="20"/>
              </w:rPr>
            </w:pPr>
            <w:r w:rsidRPr="00D65484">
              <w:rPr>
                <w:noProof/>
                <w:sz w:val="22"/>
              </w:rPr>
              <w:t>Législation de l’UA</w:t>
            </w:r>
          </w:p>
          <w:p w14:paraId="4F53E744" w14:textId="77777777" w:rsidR="00F2540D" w:rsidRPr="00D65484" w:rsidRDefault="00F2540D" w:rsidP="009F79EB">
            <w:pPr>
              <w:jc w:val="left"/>
              <w:rPr>
                <w:noProof/>
                <w:sz w:val="22"/>
              </w:rPr>
            </w:pPr>
            <w:r w:rsidRPr="00D65484">
              <w:rPr>
                <w:noProof/>
                <w:sz w:val="22"/>
              </w:rPr>
              <w:t>Éventuelle décision du comité mixte sur les infractions majeures</w:t>
            </w:r>
          </w:p>
        </w:tc>
        <w:tc>
          <w:tcPr>
            <w:tcW w:w="4966" w:type="dxa"/>
          </w:tcPr>
          <w:p w14:paraId="60DC0E91" w14:textId="77777777" w:rsidR="00F2540D" w:rsidRPr="00D65484" w:rsidRDefault="00F2540D" w:rsidP="00D603E7">
            <w:pPr>
              <w:pStyle w:val="ListParagraph"/>
              <w:spacing w:after="0"/>
              <w:ind w:left="0"/>
              <w:rPr>
                <w:rFonts w:ascii="Times New Roman" w:hAnsi="Times New Roman" w:cs="Times New Roman"/>
                <w:noProof/>
              </w:rPr>
            </w:pPr>
          </w:p>
        </w:tc>
      </w:tr>
      <w:tr w:rsidR="00F2540D" w:rsidRPr="00D65484" w14:paraId="2A55AA7F" w14:textId="77777777" w:rsidTr="00F2540D">
        <w:trPr>
          <w:jc w:val="center"/>
        </w:trPr>
        <w:tc>
          <w:tcPr>
            <w:tcW w:w="2199" w:type="dxa"/>
          </w:tcPr>
          <w:p w14:paraId="10631D7F" w14:textId="77777777" w:rsidR="00F2540D" w:rsidRPr="00D65484" w:rsidRDefault="00F2540D" w:rsidP="009F79EB">
            <w:pPr>
              <w:jc w:val="left"/>
              <w:rPr>
                <w:noProof/>
                <w:sz w:val="22"/>
                <w:szCs w:val="20"/>
              </w:rPr>
            </w:pPr>
            <w:r w:rsidRPr="00D65484">
              <w:rPr>
                <w:noProof/>
                <w:sz w:val="22"/>
              </w:rPr>
              <w:t>Conditions relatives à l’exigence d’établissement</w:t>
            </w:r>
          </w:p>
        </w:tc>
        <w:tc>
          <w:tcPr>
            <w:tcW w:w="1584" w:type="dxa"/>
          </w:tcPr>
          <w:p w14:paraId="456F431D" w14:textId="77777777" w:rsidR="00F2540D" w:rsidRPr="00D65484" w:rsidRDefault="00F2540D" w:rsidP="009F79EB">
            <w:pPr>
              <w:jc w:val="left"/>
              <w:rPr>
                <w:noProof/>
                <w:sz w:val="22"/>
                <w:szCs w:val="20"/>
              </w:rPr>
            </w:pPr>
            <w:r w:rsidRPr="00D65484">
              <w:rPr>
                <w:noProof/>
                <w:sz w:val="22"/>
              </w:rPr>
              <w:t>Article 5 du règlement (UE) 1071/2009</w:t>
            </w:r>
          </w:p>
        </w:tc>
        <w:tc>
          <w:tcPr>
            <w:tcW w:w="1365" w:type="dxa"/>
          </w:tcPr>
          <w:p w14:paraId="586E8F4B" w14:textId="059A2FA2" w:rsidR="00F2540D" w:rsidRPr="00D65484" w:rsidRDefault="003F7FE1" w:rsidP="009F79EB">
            <w:pPr>
              <w:jc w:val="left"/>
              <w:rPr>
                <w:noProof/>
                <w:sz w:val="22"/>
                <w:szCs w:val="20"/>
              </w:rPr>
            </w:pPr>
            <w:r w:rsidRPr="00D65484">
              <w:rPr>
                <w:noProof/>
                <w:sz w:val="22"/>
              </w:rPr>
              <w:t>30.11.2026</w:t>
            </w:r>
          </w:p>
        </w:tc>
        <w:tc>
          <w:tcPr>
            <w:tcW w:w="2502" w:type="dxa"/>
          </w:tcPr>
          <w:p w14:paraId="247C0F55" w14:textId="77777777" w:rsidR="00F2540D" w:rsidRPr="00D65484" w:rsidRDefault="00F2540D" w:rsidP="009F79EB">
            <w:pPr>
              <w:jc w:val="left"/>
              <w:rPr>
                <w:noProof/>
                <w:sz w:val="22"/>
                <w:szCs w:val="20"/>
              </w:rPr>
            </w:pPr>
            <w:r w:rsidRPr="00D65484">
              <w:rPr>
                <w:noProof/>
                <w:sz w:val="22"/>
              </w:rPr>
              <w:t>Législation de l’UA</w:t>
            </w:r>
          </w:p>
        </w:tc>
        <w:tc>
          <w:tcPr>
            <w:tcW w:w="4966" w:type="dxa"/>
          </w:tcPr>
          <w:p w14:paraId="4664F69C" w14:textId="77777777" w:rsidR="00F2540D" w:rsidRPr="00D65484" w:rsidRDefault="00F2540D" w:rsidP="00D603E7">
            <w:pPr>
              <w:pStyle w:val="ListParagraph"/>
              <w:spacing w:after="0"/>
              <w:ind w:left="0"/>
              <w:rPr>
                <w:rFonts w:ascii="Times New Roman" w:hAnsi="Times New Roman" w:cs="Times New Roman"/>
                <w:noProof/>
              </w:rPr>
            </w:pPr>
          </w:p>
        </w:tc>
      </w:tr>
      <w:tr w:rsidR="00F2540D" w:rsidRPr="00D65484" w14:paraId="7E38F3D3" w14:textId="77777777" w:rsidTr="00F2540D">
        <w:trPr>
          <w:jc w:val="center"/>
        </w:trPr>
        <w:tc>
          <w:tcPr>
            <w:tcW w:w="2199" w:type="dxa"/>
          </w:tcPr>
          <w:p w14:paraId="337A8C39" w14:textId="77777777" w:rsidR="00F2540D" w:rsidRPr="00D65484" w:rsidRDefault="00F2540D" w:rsidP="009F79EB">
            <w:pPr>
              <w:jc w:val="left"/>
              <w:rPr>
                <w:noProof/>
                <w:sz w:val="22"/>
                <w:szCs w:val="20"/>
              </w:rPr>
            </w:pPr>
            <w:r w:rsidRPr="00D65484">
              <w:rPr>
                <w:noProof/>
                <w:sz w:val="22"/>
              </w:rPr>
              <w:t xml:space="preserve">Véhicules neufs immatriculés en Ukraine et exploités dans le cadre de l’accord devant être équipés d’un tachygraphe intelligent v2 </w:t>
            </w:r>
          </w:p>
          <w:p w14:paraId="7883BED2" w14:textId="77777777" w:rsidR="00F2540D" w:rsidRPr="00D65484" w:rsidRDefault="00F2540D" w:rsidP="009F79EB">
            <w:pPr>
              <w:jc w:val="left"/>
              <w:rPr>
                <w:noProof/>
                <w:sz w:val="22"/>
                <w:szCs w:val="20"/>
              </w:rPr>
            </w:pPr>
          </w:p>
        </w:tc>
        <w:tc>
          <w:tcPr>
            <w:tcW w:w="1584" w:type="dxa"/>
          </w:tcPr>
          <w:p w14:paraId="713C6F34" w14:textId="77777777" w:rsidR="00F2540D" w:rsidRPr="00D65484" w:rsidRDefault="00F2540D" w:rsidP="009F79EB">
            <w:pPr>
              <w:jc w:val="left"/>
              <w:rPr>
                <w:noProof/>
                <w:sz w:val="22"/>
                <w:szCs w:val="20"/>
              </w:rPr>
            </w:pPr>
            <w:r w:rsidRPr="00D65484">
              <w:rPr>
                <w:noProof/>
                <w:sz w:val="22"/>
              </w:rPr>
              <w:t>Article 8, paragraphe 1, du règlement (UE) nº 165/2014</w:t>
            </w:r>
          </w:p>
        </w:tc>
        <w:tc>
          <w:tcPr>
            <w:tcW w:w="1365" w:type="dxa"/>
          </w:tcPr>
          <w:p w14:paraId="368313E7" w14:textId="0E7E0B8C" w:rsidR="00F2540D" w:rsidRPr="00D65484" w:rsidRDefault="003F7FE1" w:rsidP="009F79EB">
            <w:pPr>
              <w:jc w:val="left"/>
              <w:rPr>
                <w:noProof/>
                <w:sz w:val="22"/>
                <w:szCs w:val="20"/>
              </w:rPr>
            </w:pPr>
            <w:r w:rsidRPr="00D65484">
              <w:rPr>
                <w:noProof/>
                <w:sz w:val="22"/>
              </w:rPr>
              <w:t>30.11.2026</w:t>
            </w:r>
          </w:p>
        </w:tc>
        <w:tc>
          <w:tcPr>
            <w:tcW w:w="2502" w:type="dxa"/>
          </w:tcPr>
          <w:p w14:paraId="5D9F620D" w14:textId="77777777" w:rsidR="00F2540D" w:rsidRPr="00D65484" w:rsidRDefault="00F2540D" w:rsidP="009F79EB">
            <w:pPr>
              <w:jc w:val="left"/>
              <w:rPr>
                <w:noProof/>
                <w:sz w:val="22"/>
                <w:szCs w:val="20"/>
              </w:rPr>
            </w:pPr>
            <w:r w:rsidRPr="00D65484">
              <w:rPr>
                <w:noProof/>
                <w:sz w:val="22"/>
              </w:rPr>
              <w:t>Législation de l’UA</w:t>
            </w:r>
          </w:p>
          <w:p w14:paraId="46818475" w14:textId="77777777" w:rsidR="00F2540D" w:rsidRPr="00D65484" w:rsidRDefault="00F2540D" w:rsidP="009F79EB">
            <w:pPr>
              <w:jc w:val="left"/>
              <w:rPr>
                <w:noProof/>
                <w:sz w:val="22"/>
                <w:szCs w:val="20"/>
              </w:rPr>
            </w:pPr>
          </w:p>
          <w:p w14:paraId="71C36061" w14:textId="77777777" w:rsidR="00F2540D" w:rsidRPr="00D65484" w:rsidRDefault="00F2540D" w:rsidP="009F79EB">
            <w:pPr>
              <w:jc w:val="left"/>
              <w:rPr>
                <w:noProof/>
                <w:sz w:val="22"/>
                <w:szCs w:val="20"/>
              </w:rPr>
            </w:pPr>
          </w:p>
          <w:p w14:paraId="6F556E4F" w14:textId="77777777" w:rsidR="00F2540D" w:rsidRPr="00D65484" w:rsidRDefault="00F2540D" w:rsidP="009F79EB">
            <w:pPr>
              <w:jc w:val="left"/>
              <w:rPr>
                <w:noProof/>
                <w:sz w:val="22"/>
                <w:szCs w:val="20"/>
              </w:rPr>
            </w:pPr>
          </w:p>
          <w:p w14:paraId="3B75BD51" w14:textId="77777777" w:rsidR="00F2540D" w:rsidRPr="00D65484" w:rsidRDefault="00F2540D" w:rsidP="009F79EB">
            <w:pPr>
              <w:jc w:val="left"/>
              <w:rPr>
                <w:noProof/>
                <w:sz w:val="22"/>
                <w:szCs w:val="20"/>
              </w:rPr>
            </w:pPr>
            <w:r w:rsidRPr="00D65484">
              <w:rPr>
                <w:noProof/>
                <w:sz w:val="22"/>
              </w:rPr>
              <w:t>Éventuelle décision du comité mixte</w:t>
            </w:r>
          </w:p>
        </w:tc>
        <w:tc>
          <w:tcPr>
            <w:tcW w:w="4966" w:type="dxa"/>
          </w:tcPr>
          <w:p w14:paraId="2EECA691" w14:textId="77777777" w:rsidR="00F2540D" w:rsidRPr="00D65484" w:rsidRDefault="00F2540D" w:rsidP="00D603E7">
            <w:pPr>
              <w:pStyle w:val="ListParagraph"/>
              <w:spacing w:after="0"/>
              <w:ind w:left="0"/>
              <w:rPr>
                <w:rFonts w:ascii="Times New Roman" w:hAnsi="Times New Roman" w:cs="Times New Roman"/>
                <w:noProof/>
                <w:szCs w:val="20"/>
              </w:rPr>
            </w:pPr>
            <w:r w:rsidRPr="00D65484">
              <w:rPr>
                <w:rFonts w:ascii="Times New Roman" w:hAnsi="Times New Roman"/>
                <w:noProof/>
              </w:rPr>
              <w:t xml:space="preserve">La décision 2/2025 du comité mixte transpose déjà la majeure partie de l’acquis relatif au tachygraphe. </w:t>
            </w:r>
          </w:p>
          <w:p w14:paraId="47BECFDC" w14:textId="77777777" w:rsidR="00F2540D" w:rsidRPr="00D65484" w:rsidRDefault="00F2540D" w:rsidP="00D603E7">
            <w:pPr>
              <w:pStyle w:val="ListParagraph"/>
              <w:spacing w:after="0"/>
              <w:ind w:left="0"/>
              <w:rPr>
                <w:rFonts w:ascii="Times New Roman" w:hAnsi="Times New Roman" w:cs="Times New Roman"/>
                <w:noProof/>
                <w:szCs w:val="20"/>
              </w:rPr>
            </w:pPr>
          </w:p>
        </w:tc>
      </w:tr>
      <w:tr w:rsidR="00F2540D" w:rsidRPr="00D65484" w14:paraId="27E67302" w14:textId="77777777" w:rsidTr="00F2540D">
        <w:trPr>
          <w:jc w:val="center"/>
        </w:trPr>
        <w:tc>
          <w:tcPr>
            <w:tcW w:w="2199" w:type="dxa"/>
          </w:tcPr>
          <w:p w14:paraId="69EEDBBD" w14:textId="77777777" w:rsidR="00F2540D" w:rsidRPr="00D65484" w:rsidRDefault="00F2540D" w:rsidP="009F79EB">
            <w:pPr>
              <w:jc w:val="left"/>
              <w:rPr>
                <w:noProof/>
                <w:sz w:val="22"/>
                <w:szCs w:val="20"/>
              </w:rPr>
            </w:pPr>
            <w:r w:rsidRPr="00D65484">
              <w:rPr>
                <w:noProof/>
                <w:sz w:val="22"/>
              </w:rPr>
              <w:t xml:space="preserve">Mise à niveau du tachygraphe intelligent v2 sur 20 % de la flotte ukrainienne opérant dans le cadre de l’accord et non soumise à l’exigence précédente </w:t>
            </w:r>
          </w:p>
        </w:tc>
        <w:tc>
          <w:tcPr>
            <w:tcW w:w="1584" w:type="dxa"/>
          </w:tcPr>
          <w:p w14:paraId="0B70C5B1" w14:textId="77777777" w:rsidR="00F2540D" w:rsidRPr="00D65484" w:rsidRDefault="00F2540D" w:rsidP="009F79EB">
            <w:pPr>
              <w:jc w:val="left"/>
              <w:rPr>
                <w:noProof/>
                <w:sz w:val="22"/>
                <w:szCs w:val="20"/>
              </w:rPr>
            </w:pPr>
            <w:r w:rsidRPr="00D65484">
              <w:rPr>
                <w:noProof/>
                <w:sz w:val="22"/>
              </w:rPr>
              <w:t>Article 3, paragraphes 4 et 4 </w:t>
            </w:r>
            <w:r w:rsidRPr="00D65484">
              <w:rPr>
                <w:i/>
                <w:iCs/>
                <w:noProof/>
                <w:sz w:val="22"/>
              </w:rPr>
              <w:t>bis</w:t>
            </w:r>
            <w:r w:rsidRPr="00D65484">
              <w:rPr>
                <w:noProof/>
                <w:sz w:val="22"/>
              </w:rPr>
              <w:t>, du règlement (CE) 165/2014</w:t>
            </w:r>
          </w:p>
        </w:tc>
        <w:tc>
          <w:tcPr>
            <w:tcW w:w="1365" w:type="dxa"/>
          </w:tcPr>
          <w:p w14:paraId="005CDD96" w14:textId="1766882F" w:rsidR="00F2540D" w:rsidRPr="00D65484" w:rsidRDefault="003F7FE1" w:rsidP="009F79EB">
            <w:pPr>
              <w:jc w:val="left"/>
              <w:rPr>
                <w:noProof/>
                <w:sz w:val="22"/>
                <w:highlight w:val="yellow"/>
              </w:rPr>
            </w:pPr>
            <w:r w:rsidRPr="00D65484">
              <w:rPr>
                <w:noProof/>
                <w:sz w:val="22"/>
              </w:rPr>
              <w:t>30.11.2026</w:t>
            </w:r>
          </w:p>
        </w:tc>
        <w:tc>
          <w:tcPr>
            <w:tcW w:w="2502" w:type="dxa"/>
          </w:tcPr>
          <w:p w14:paraId="05AD8582" w14:textId="77777777" w:rsidR="00F2540D" w:rsidRPr="00D65484" w:rsidRDefault="00F2540D" w:rsidP="009F79EB">
            <w:pPr>
              <w:jc w:val="left"/>
              <w:rPr>
                <w:noProof/>
                <w:sz w:val="22"/>
                <w:szCs w:val="20"/>
              </w:rPr>
            </w:pPr>
            <w:r w:rsidRPr="00D65484">
              <w:rPr>
                <w:noProof/>
                <w:sz w:val="22"/>
              </w:rPr>
              <w:t>Législation de l’UA</w:t>
            </w:r>
          </w:p>
        </w:tc>
        <w:tc>
          <w:tcPr>
            <w:tcW w:w="4966" w:type="dxa"/>
          </w:tcPr>
          <w:p w14:paraId="6CE780AD" w14:textId="77777777" w:rsidR="00F2540D" w:rsidRPr="00D65484" w:rsidRDefault="00F2540D" w:rsidP="00D603E7">
            <w:pPr>
              <w:pStyle w:val="ListParagraph"/>
              <w:spacing w:after="0"/>
              <w:ind w:left="0"/>
              <w:rPr>
                <w:rFonts w:ascii="Times New Roman" w:hAnsi="Times New Roman" w:cs="Times New Roman"/>
                <w:noProof/>
                <w:szCs w:val="20"/>
              </w:rPr>
            </w:pPr>
            <w:r w:rsidRPr="00D65484">
              <w:rPr>
                <w:rFonts w:ascii="Times New Roman" w:hAnsi="Times New Roman"/>
                <w:noProof/>
              </w:rPr>
              <w:t xml:space="preserve">La décision 2/2025 du comité mixte transpose déjà la majeure partie de l’acquis relatif au tachygraphe. </w:t>
            </w:r>
          </w:p>
          <w:p w14:paraId="08405AC2" w14:textId="77777777" w:rsidR="00F2540D" w:rsidRPr="00D65484" w:rsidRDefault="00F2540D" w:rsidP="00D603E7">
            <w:pPr>
              <w:pStyle w:val="ListParagraph"/>
              <w:ind w:left="0"/>
              <w:rPr>
                <w:rFonts w:ascii="Times New Roman" w:hAnsi="Times New Roman" w:cs="Times New Roman"/>
                <w:noProof/>
              </w:rPr>
            </w:pPr>
          </w:p>
        </w:tc>
      </w:tr>
      <w:tr w:rsidR="00F2540D" w:rsidRPr="00D65484" w14:paraId="7312D638" w14:textId="77777777" w:rsidTr="00F2540D">
        <w:trPr>
          <w:trHeight w:val="735"/>
          <w:jc w:val="center"/>
        </w:trPr>
        <w:tc>
          <w:tcPr>
            <w:tcW w:w="2199" w:type="dxa"/>
          </w:tcPr>
          <w:p w14:paraId="4ED6E5D9" w14:textId="77777777" w:rsidR="00F2540D" w:rsidRPr="00D65484" w:rsidRDefault="00F2540D" w:rsidP="009F79EB">
            <w:pPr>
              <w:jc w:val="left"/>
              <w:rPr>
                <w:noProof/>
                <w:sz w:val="22"/>
              </w:rPr>
            </w:pPr>
            <w:r w:rsidRPr="00D65484">
              <w:rPr>
                <w:noProof/>
                <w:sz w:val="22"/>
              </w:rPr>
              <w:t>Alignement sur les dispositions de l’UE concernant les durées de conduite, les pauses et les temps de repos</w:t>
            </w:r>
          </w:p>
        </w:tc>
        <w:tc>
          <w:tcPr>
            <w:tcW w:w="1584" w:type="dxa"/>
          </w:tcPr>
          <w:p w14:paraId="253C92AC" w14:textId="77777777" w:rsidR="00F2540D" w:rsidRPr="00D65484" w:rsidRDefault="00F2540D" w:rsidP="009F79EB">
            <w:pPr>
              <w:jc w:val="left"/>
              <w:rPr>
                <w:rFonts w:eastAsia="Times New Roman"/>
                <w:noProof/>
                <w:sz w:val="22"/>
              </w:rPr>
            </w:pPr>
            <w:r w:rsidRPr="00D65484">
              <w:rPr>
                <w:noProof/>
                <w:sz w:val="22"/>
              </w:rPr>
              <w:t xml:space="preserve">Voir articles 6, 7, 8 et 9 du règlement (CE) nº 561/2006, tel que modifié par le règlement (UE) 2020/1054     </w:t>
            </w:r>
          </w:p>
        </w:tc>
        <w:tc>
          <w:tcPr>
            <w:tcW w:w="1365" w:type="dxa"/>
          </w:tcPr>
          <w:p w14:paraId="1FD385FC" w14:textId="7FD60C9D" w:rsidR="00F2540D" w:rsidRPr="00D65484" w:rsidRDefault="003F7FE1" w:rsidP="009F79EB">
            <w:pPr>
              <w:jc w:val="left"/>
              <w:rPr>
                <w:noProof/>
                <w:sz w:val="22"/>
              </w:rPr>
            </w:pPr>
            <w:r w:rsidRPr="00D65484">
              <w:rPr>
                <w:noProof/>
                <w:sz w:val="22"/>
              </w:rPr>
              <w:t>30.11.2026</w:t>
            </w:r>
          </w:p>
        </w:tc>
        <w:tc>
          <w:tcPr>
            <w:tcW w:w="2502" w:type="dxa"/>
          </w:tcPr>
          <w:p w14:paraId="10C7E28D" w14:textId="77777777" w:rsidR="00F2540D" w:rsidRPr="00D65484" w:rsidRDefault="00F2540D" w:rsidP="009F79EB">
            <w:pPr>
              <w:jc w:val="left"/>
              <w:rPr>
                <w:noProof/>
                <w:sz w:val="22"/>
              </w:rPr>
            </w:pPr>
            <w:r w:rsidRPr="00D65484">
              <w:rPr>
                <w:noProof/>
                <w:sz w:val="22"/>
              </w:rPr>
              <w:t>Législation de l’UA</w:t>
            </w:r>
          </w:p>
          <w:p w14:paraId="5F4AF212" w14:textId="77777777" w:rsidR="00F2540D" w:rsidRPr="00D65484" w:rsidRDefault="00F2540D" w:rsidP="009F79EB">
            <w:pPr>
              <w:jc w:val="left"/>
              <w:rPr>
                <w:noProof/>
                <w:sz w:val="22"/>
              </w:rPr>
            </w:pPr>
          </w:p>
          <w:p w14:paraId="593574E1" w14:textId="77777777" w:rsidR="00F2540D" w:rsidRPr="00D65484" w:rsidRDefault="00F2540D" w:rsidP="009F79EB">
            <w:pPr>
              <w:jc w:val="left"/>
              <w:rPr>
                <w:noProof/>
                <w:sz w:val="22"/>
              </w:rPr>
            </w:pPr>
          </w:p>
        </w:tc>
        <w:tc>
          <w:tcPr>
            <w:tcW w:w="4966" w:type="dxa"/>
          </w:tcPr>
          <w:p w14:paraId="72D1BB7E" w14:textId="77777777" w:rsidR="00F2540D" w:rsidRPr="00D65484" w:rsidRDefault="00F2540D" w:rsidP="00D603E7">
            <w:pPr>
              <w:pStyle w:val="ListParagraph"/>
              <w:spacing w:after="0"/>
              <w:ind w:left="0"/>
              <w:rPr>
                <w:rFonts w:ascii="Times New Roman" w:eastAsia="Times New Roman" w:hAnsi="Times New Roman" w:cs="Times New Roman"/>
                <w:noProof/>
              </w:rPr>
            </w:pPr>
            <w:r w:rsidRPr="00D65484">
              <w:rPr>
                <w:rFonts w:ascii="Times New Roman" w:hAnsi="Times New Roman"/>
                <w:noProof/>
              </w:rPr>
              <w:t xml:space="preserve">Cela n’inclut pas la connexion au module social de l’IMI. </w:t>
            </w:r>
          </w:p>
        </w:tc>
      </w:tr>
      <w:tr w:rsidR="00F2540D" w:rsidRPr="00D65484" w14:paraId="1439DA9A" w14:textId="77777777" w:rsidTr="00F2540D">
        <w:trPr>
          <w:jc w:val="center"/>
        </w:trPr>
        <w:tc>
          <w:tcPr>
            <w:tcW w:w="2199" w:type="dxa"/>
          </w:tcPr>
          <w:p w14:paraId="34B10F84" w14:textId="77777777" w:rsidR="00F2540D" w:rsidRPr="00D65484" w:rsidRDefault="00F2540D" w:rsidP="009F79EB">
            <w:pPr>
              <w:jc w:val="left"/>
              <w:rPr>
                <w:noProof/>
                <w:sz w:val="22"/>
              </w:rPr>
            </w:pPr>
            <w:r w:rsidRPr="00D65484">
              <w:rPr>
                <w:noProof/>
                <w:sz w:val="22"/>
              </w:rPr>
              <w:t xml:space="preserve">Alignement sur les dispositions de l’UE en matière de temps de travail </w:t>
            </w:r>
          </w:p>
          <w:p w14:paraId="07AD0775" w14:textId="77777777" w:rsidR="00F2540D" w:rsidRPr="00D65484" w:rsidRDefault="00F2540D" w:rsidP="009F79EB">
            <w:pPr>
              <w:spacing w:line="259" w:lineRule="auto"/>
              <w:jc w:val="left"/>
              <w:rPr>
                <w:noProof/>
                <w:sz w:val="22"/>
              </w:rPr>
            </w:pPr>
          </w:p>
        </w:tc>
        <w:tc>
          <w:tcPr>
            <w:tcW w:w="1584" w:type="dxa"/>
          </w:tcPr>
          <w:p w14:paraId="1403D871" w14:textId="77777777" w:rsidR="00F2540D" w:rsidRPr="00D65484" w:rsidRDefault="00F2540D" w:rsidP="009F79EB">
            <w:pPr>
              <w:jc w:val="left"/>
              <w:rPr>
                <w:noProof/>
              </w:rPr>
            </w:pPr>
            <w:r w:rsidRPr="00D65484">
              <w:rPr>
                <w:noProof/>
                <w:sz w:val="22"/>
              </w:rPr>
              <w:t xml:space="preserve">Directive 2002/15/CE  </w:t>
            </w:r>
          </w:p>
        </w:tc>
        <w:tc>
          <w:tcPr>
            <w:tcW w:w="1365" w:type="dxa"/>
          </w:tcPr>
          <w:p w14:paraId="110E777A" w14:textId="15558CE8" w:rsidR="00F2540D" w:rsidRPr="00D65484" w:rsidRDefault="003F7FE1" w:rsidP="009F79EB">
            <w:pPr>
              <w:jc w:val="left"/>
              <w:rPr>
                <w:noProof/>
                <w:sz w:val="22"/>
              </w:rPr>
            </w:pPr>
            <w:r w:rsidRPr="00D65484">
              <w:rPr>
                <w:noProof/>
                <w:sz w:val="22"/>
              </w:rPr>
              <w:t>30.11.2026</w:t>
            </w:r>
          </w:p>
        </w:tc>
        <w:tc>
          <w:tcPr>
            <w:tcW w:w="2502" w:type="dxa"/>
          </w:tcPr>
          <w:p w14:paraId="730A35E5" w14:textId="77777777" w:rsidR="00F2540D" w:rsidRPr="00D65484" w:rsidRDefault="00F2540D" w:rsidP="009F79EB">
            <w:pPr>
              <w:jc w:val="left"/>
              <w:rPr>
                <w:noProof/>
                <w:sz w:val="22"/>
              </w:rPr>
            </w:pPr>
            <w:r w:rsidRPr="00D65484">
              <w:rPr>
                <w:noProof/>
                <w:sz w:val="22"/>
              </w:rPr>
              <w:t>Législation de l’UA</w:t>
            </w:r>
          </w:p>
          <w:p w14:paraId="69C28355" w14:textId="77777777" w:rsidR="00F2540D" w:rsidRPr="00D65484" w:rsidRDefault="00F2540D" w:rsidP="009F79EB">
            <w:pPr>
              <w:jc w:val="left"/>
              <w:rPr>
                <w:noProof/>
                <w:sz w:val="22"/>
              </w:rPr>
            </w:pPr>
          </w:p>
          <w:p w14:paraId="66353881" w14:textId="77777777" w:rsidR="00F2540D" w:rsidRPr="00D65484" w:rsidRDefault="00F2540D" w:rsidP="009F79EB">
            <w:pPr>
              <w:jc w:val="left"/>
              <w:rPr>
                <w:noProof/>
                <w:sz w:val="22"/>
              </w:rPr>
            </w:pPr>
          </w:p>
        </w:tc>
        <w:tc>
          <w:tcPr>
            <w:tcW w:w="4966" w:type="dxa"/>
          </w:tcPr>
          <w:p w14:paraId="22C5AAE5" w14:textId="77777777" w:rsidR="00F2540D" w:rsidRPr="00D65484" w:rsidRDefault="00F2540D" w:rsidP="00D603E7">
            <w:pPr>
              <w:pStyle w:val="ListParagraph"/>
              <w:spacing w:after="0"/>
              <w:ind w:left="0"/>
              <w:rPr>
                <w:rFonts w:ascii="Times New Roman" w:eastAsia="Times New Roman" w:hAnsi="Times New Roman" w:cs="Times New Roman"/>
                <w:noProof/>
              </w:rPr>
            </w:pPr>
            <w:r w:rsidRPr="00D65484">
              <w:rPr>
                <w:rFonts w:ascii="Times New Roman" w:hAnsi="Times New Roman"/>
                <w:noProof/>
              </w:rPr>
              <w:t xml:space="preserve">Cela n’inclut pas la connexion au module social de l’IMI. </w:t>
            </w:r>
          </w:p>
        </w:tc>
      </w:tr>
    </w:tbl>
    <w:p w14:paraId="0A83FD65" w14:textId="77777777" w:rsidR="00F2540D" w:rsidRPr="00D65484" w:rsidRDefault="00F2540D" w:rsidP="00F2540D">
      <w:pPr>
        <w:rPr>
          <w:noProof/>
        </w:rPr>
      </w:pPr>
    </w:p>
    <w:p w14:paraId="049CCF0E" w14:textId="77777777" w:rsidR="00F2540D" w:rsidRPr="00D65484" w:rsidRDefault="00F2540D" w:rsidP="00F2540D">
      <w:pPr>
        <w:rPr>
          <w:noProof/>
        </w:rPr>
      </w:pPr>
    </w:p>
    <w:p w14:paraId="7D51D158" w14:textId="320DCEC7" w:rsidR="00F2540D" w:rsidRPr="00D65484" w:rsidRDefault="00F2540D">
      <w:pPr>
        <w:spacing w:before="0" w:after="200" w:line="276" w:lineRule="auto"/>
        <w:jc w:val="left"/>
        <w:rPr>
          <w:iCs/>
          <w:noProof/>
        </w:rPr>
      </w:pPr>
    </w:p>
    <w:sectPr w:rsidR="00F2540D" w:rsidRPr="00D65484" w:rsidSect="00273B65">
      <w:headerReference w:type="default" r:id="rId20"/>
      <w:footerReference w:type="default" r:id="rId21"/>
      <w:pgSz w:w="16839" w:h="11907" w:orient="landscape"/>
      <w:pgMar w:top="1417" w:right="1134" w:bottom="141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53211" w14:textId="77777777" w:rsidR="00F314F9" w:rsidRDefault="00F314F9" w:rsidP="009A70DD">
      <w:pPr>
        <w:spacing w:before="0" w:after="0"/>
      </w:pPr>
      <w:r>
        <w:separator/>
      </w:r>
    </w:p>
  </w:endnote>
  <w:endnote w:type="continuationSeparator" w:id="0">
    <w:p w14:paraId="4C1A8C57" w14:textId="77777777" w:rsidR="00F314F9" w:rsidRDefault="00F314F9" w:rsidP="009A70D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6849" w14:textId="40F8EED9" w:rsidR="00273B65" w:rsidRPr="00273B65" w:rsidRDefault="00273B65" w:rsidP="00273B65">
    <w:pPr>
      <w:pStyle w:val="Footer"/>
      <w:rPr>
        <w:rFonts w:ascii="Arial" w:hAnsi="Arial" w:cs="Arial"/>
        <w:b/>
        <w:sz w:val="48"/>
      </w:rPr>
    </w:pPr>
    <w:r w:rsidRPr="00273B65">
      <w:rPr>
        <w:rFonts w:ascii="Arial" w:hAnsi="Arial" w:cs="Arial"/>
        <w:b/>
        <w:sz w:val="48"/>
      </w:rPr>
      <w:t>FR</w:t>
    </w:r>
    <w:r w:rsidRPr="00273B65">
      <w:rPr>
        <w:rFonts w:ascii="Arial" w:hAnsi="Arial" w:cs="Arial"/>
        <w:b/>
        <w:sz w:val="48"/>
      </w:rPr>
      <w:tab/>
    </w:r>
    <w:r w:rsidRPr="00273B65">
      <w:rPr>
        <w:rFonts w:ascii="Arial" w:hAnsi="Arial" w:cs="Arial"/>
        <w:b/>
        <w:sz w:val="48"/>
      </w:rPr>
      <w:tab/>
    </w:r>
    <w:r w:rsidRPr="00273B65">
      <w:tab/>
    </w:r>
    <w:r w:rsidRPr="00273B65">
      <w:rPr>
        <w:rFonts w:ascii="Arial" w:hAnsi="Arial" w:cs="Arial"/>
        <w:b/>
        <w:sz w:val="48"/>
      </w:rPr>
      <w:t>FR</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31D39" w14:textId="1EEC0E98" w:rsidR="00273B65" w:rsidRPr="00273B65" w:rsidRDefault="00273B65" w:rsidP="00273B65">
    <w:pPr>
      <w:pStyle w:val="Footer"/>
      <w:rPr>
        <w:rFonts w:ascii="Arial" w:hAnsi="Arial" w:cs="Arial"/>
        <w:b/>
        <w:sz w:val="48"/>
      </w:rPr>
    </w:pPr>
    <w:r w:rsidRPr="00273B65">
      <w:rPr>
        <w:rFonts w:ascii="Arial" w:hAnsi="Arial" w:cs="Arial"/>
        <w:b/>
        <w:sz w:val="48"/>
      </w:rPr>
      <w:t>FR</w:t>
    </w:r>
    <w:r w:rsidRPr="00273B65">
      <w:rPr>
        <w:rFonts w:ascii="Arial" w:hAnsi="Arial" w:cs="Arial"/>
        <w:b/>
        <w:sz w:val="48"/>
      </w:rPr>
      <w:tab/>
    </w:r>
    <w:r w:rsidRPr="00273B65">
      <w:rPr>
        <w:rFonts w:ascii="Arial" w:hAnsi="Arial" w:cs="Arial"/>
        <w:b/>
        <w:sz w:val="48"/>
      </w:rPr>
      <w:tab/>
    </w:r>
    <w:r w:rsidRPr="00273B65">
      <w:tab/>
    </w:r>
    <w:r w:rsidRPr="00273B65">
      <w:rPr>
        <w:rFonts w:ascii="Arial" w:hAnsi="Arial" w:cs="Arial"/>
        <w:b/>
        <w:sz w:val="48"/>
      </w:rPr>
      <w:t>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96C8" w14:textId="77777777" w:rsidR="00273B65" w:rsidRPr="00273B65" w:rsidRDefault="00273B65" w:rsidP="00273B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680FD" w14:textId="77777777" w:rsidR="00273B65" w:rsidRDefault="00273B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C50C9" w14:textId="07CDBC4A" w:rsidR="00273B65" w:rsidRPr="00273B65" w:rsidRDefault="00273B65" w:rsidP="00273B65">
    <w:pPr>
      <w:pStyle w:val="Footer"/>
      <w:rPr>
        <w:rFonts w:ascii="Arial" w:hAnsi="Arial" w:cs="Arial"/>
        <w:b/>
        <w:sz w:val="48"/>
      </w:rPr>
    </w:pPr>
    <w:r w:rsidRPr="00273B65">
      <w:rPr>
        <w:rFonts w:ascii="Arial" w:hAnsi="Arial" w:cs="Arial"/>
        <w:b/>
        <w:sz w:val="48"/>
      </w:rPr>
      <w:t>FR</w:t>
    </w:r>
    <w:r w:rsidRPr="00273B65">
      <w:rPr>
        <w:rFonts w:ascii="Arial" w:hAnsi="Arial" w:cs="Arial"/>
        <w:b/>
        <w:sz w:val="48"/>
      </w:rPr>
      <w:tab/>
    </w:r>
    <w:r>
      <w:fldChar w:fldCharType="begin"/>
    </w:r>
    <w:r>
      <w:instrText xml:space="preserve"> PAGE  \* MERGEFORMAT </w:instrText>
    </w:r>
    <w:r>
      <w:fldChar w:fldCharType="separate"/>
    </w:r>
    <w:r>
      <w:rPr>
        <w:noProof/>
      </w:rPr>
      <w:t>2</w:t>
    </w:r>
    <w:r>
      <w:fldChar w:fldCharType="end"/>
    </w:r>
    <w:r>
      <w:tab/>
    </w:r>
    <w:r w:rsidRPr="00273B65">
      <w:tab/>
    </w:r>
    <w:r w:rsidRPr="00273B65">
      <w:rPr>
        <w:rFonts w:ascii="Arial" w:hAnsi="Arial" w:cs="Arial"/>
        <w:b/>
        <w:sz w:val="48"/>
      </w:rPr>
      <w:t>FR</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3E51D" w14:textId="77777777" w:rsidR="00273B65" w:rsidRDefault="00273B65" w:rsidP="00273B65">
    <w:pPr>
      <w:pStyle w:val="FooterLandscap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EB157" w14:textId="45657E32" w:rsidR="00273B65" w:rsidRPr="00273B65" w:rsidRDefault="00273B65" w:rsidP="00273B65">
    <w:pPr>
      <w:pStyle w:val="FooterLandscape"/>
      <w:rPr>
        <w:rFonts w:ascii="Arial" w:hAnsi="Arial" w:cs="Arial"/>
        <w:b/>
        <w:sz w:val="48"/>
      </w:rPr>
    </w:pPr>
    <w:r w:rsidRPr="00273B65">
      <w:rPr>
        <w:rFonts w:ascii="Arial" w:hAnsi="Arial" w:cs="Arial"/>
        <w:b/>
        <w:sz w:val="48"/>
      </w:rPr>
      <w:t>FR</w:t>
    </w:r>
    <w:r w:rsidRPr="00273B65">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273B65">
      <w:tab/>
    </w:r>
    <w:r w:rsidRPr="00273B65">
      <w:rPr>
        <w:rFonts w:ascii="Arial" w:hAnsi="Arial" w:cs="Arial"/>
        <w:b/>
        <w:sz w:val="48"/>
      </w:rPr>
      <w:t>FR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256C8" w14:textId="77777777" w:rsidR="00F314F9" w:rsidRDefault="00F314F9" w:rsidP="009A70DD">
      <w:pPr>
        <w:spacing w:before="0" w:after="0"/>
      </w:pPr>
      <w:r>
        <w:separator/>
      </w:r>
    </w:p>
  </w:footnote>
  <w:footnote w:type="continuationSeparator" w:id="0">
    <w:p w14:paraId="5BB0E0B3" w14:textId="77777777" w:rsidR="00F314F9" w:rsidRDefault="00F314F9" w:rsidP="009A70DD">
      <w:pPr>
        <w:spacing w:before="0" w:after="0"/>
      </w:pPr>
      <w:r>
        <w:continuationSeparator/>
      </w:r>
    </w:p>
  </w:footnote>
  <w:footnote w:id="1">
    <w:p w14:paraId="4BEC5B1F" w14:textId="12806525" w:rsidR="009D7561" w:rsidRPr="00D65484" w:rsidRDefault="009D7561" w:rsidP="009D7561">
      <w:pPr>
        <w:pStyle w:val="FootnoteText"/>
        <w:rPr>
          <w:lang w:val="fr-BE"/>
        </w:rPr>
      </w:pPr>
      <w:r>
        <w:rPr>
          <w:rStyle w:val="FootnoteReference"/>
        </w:rPr>
        <w:footnoteRef/>
      </w:r>
      <w:r w:rsidRPr="00D65484">
        <w:rPr>
          <w:lang w:val="fr-BE"/>
        </w:rPr>
        <w:tab/>
        <w:t xml:space="preserve">JO L 179 du 6.7.2022, p. 4, ELI: </w:t>
      </w:r>
      <w:hyperlink r:id="rId1" w:tooltip="URI ELI pour l’accès au document." w:history="1">
        <w:r w:rsidRPr="00D65484">
          <w:rPr>
            <w:rStyle w:val="Hyperlink"/>
            <w:lang w:val="fr-BE"/>
          </w:rPr>
          <w:t>http://data.europa.eu/eli/agree_internation/2022/1158/oj</w:t>
        </w:r>
      </w:hyperlink>
      <w:r w:rsidRPr="00D65484">
        <w:rPr>
          <w:lang w:val="fr-BE"/>
        </w:rPr>
        <w:t>).</w:t>
      </w:r>
    </w:p>
  </w:footnote>
  <w:footnote w:id="2">
    <w:p w14:paraId="2A5D35DD" w14:textId="79DC919A" w:rsidR="0040265C" w:rsidRPr="00D65484" w:rsidRDefault="0040265C" w:rsidP="0040265C">
      <w:pPr>
        <w:pStyle w:val="FootnoteText"/>
        <w:rPr>
          <w:lang w:val="fr-BE"/>
        </w:rPr>
      </w:pPr>
      <w:r>
        <w:rPr>
          <w:rStyle w:val="FootnoteReference"/>
        </w:rPr>
        <w:footnoteRef/>
      </w:r>
      <w:r w:rsidRPr="00D65484">
        <w:rPr>
          <w:lang w:val="fr-BE"/>
        </w:rPr>
        <w:tab/>
        <w:t>JO L 123 du 8.5.2023, p. 36, ELI: </w:t>
      </w:r>
      <w:hyperlink r:id="rId2" w:history="1">
        <w:r w:rsidRPr="00D65484">
          <w:rPr>
            <w:rStyle w:val="Hyperlink"/>
            <w:lang w:val="fr-BE"/>
          </w:rPr>
          <w:t>https://eur-lex.europa.eu/eli/dec/2023/929/oj</w:t>
        </w:r>
      </w:hyperlink>
      <w:r w:rsidRPr="00D65484">
        <w:rPr>
          <w:lang w:val="fr-BE"/>
        </w:rPr>
        <w:t>.</w:t>
      </w:r>
    </w:p>
  </w:footnote>
  <w:footnote w:id="3">
    <w:p w14:paraId="7F4EF628" w14:textId="072F973E" w:rsidR="0040265C" w:rsidRPr="0088391A" w:rsidRDefault="0040265C" w:rsidP="0040265C">
      <w:pPr>
        <w:pStyle w:val="FootnoteText"/>
        <w:rPr>
          <w:lang w:val="en-US"/>
        </w:rPr>
      </w:pPr>
      <w:r>
        <w:rPr>
          <w:rStyle w:val="FootnoteReference"/>
        </w:rPr>
        <w:footnoteRef/>
      </w:r>
      <w:r w:rsidRPr="0088391A">
        <w:rPr>
          <w:lang w:val="en-US"/>
        </w:rPr>
        <w:tab/>
        <w:t>JO L, 2024/1878, 2.7.2024, ELI: </w:t>
      </w:r>
      <w:hyperlink r:id="rId3" w:history="1">
        <w:r w:rsidRPr="0088391A">
          <w:rPr>
            <w:rStyle w:val="Hyperlink"/>
            <w:lang w:val="en-US"/>
          </w:rPr>
          <w:t>http://data.europa.eu/eli/agree_internation/2024/1878/oj</w:t>
        </w:r>
      </w:hyperlink>
      <w:r w:rsidRPr="0088391A">
        <w:rPr>
          <w:lang w:val="en-US"/>
        </w:rPr>
        <w:t>).</w:t>
      </w:r>
    </w:p>
  </w:footnote>
  <w:footnote w:id="4">
    <w:p w14:paraId="06353B3F" w14:textId="6F3DFEA0" w:rsidR="00D15068" w:rsidRPr="00CA4224" w:rsidRDefault="00D15068" w:rsidP="004F7443">
      <w:pPr>
        <w:pStyle w:val="FootnoteText"/>
      </w:pPr>
      <w:r>
        <w:rPr>
          <w:rStyle w:val="FootnoteReference"/>
        </w:rPr>
        <w:footnoteRef/>
      </w:r>
      <w:r>
        <w:tab/>
        <w:t>document EUCO 20/23.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B3EB9" w14:textId="77777777" w:rsidR="00273B65" w:rsidRPr="00273B65" w:rsidRDefault="00273B65" w:rsidP="00273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854C5" w14:textId="77777777" w:rsidR="00273B65" w:rsidRPr="00273B65" w:rsidRDefault="00273B65" w:rsidP="00273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AFF66" w14:textId="77777777" w:rsidR="00273B65" w:rsidRPr="00273B65" w:rsidRDefault="00273B65" w:rsidP="00273B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0117E" w14:textId="77777777" w:rsidR="00273B65" w:rsidRDefault="00273B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38F82" w14:textId="77777777" w:rsidR="00273B65" w:rsidRDefault="00273B65" w:rsidP="00273B65">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B97B7" w14:textId="77777777" w:rsidR="00273B65" w:rsidRPr="00273B65" w:rsidRDefault="00273B65" w:rsidP="00273B65">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524A3B2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9FBEE64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06A958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733C5C5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5CEFBF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0AC175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83E7964"/>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5CA2324"/>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2"/>
  </w:num>
  <w:num w:numId="13">
    <w:abstractNumId w:val="21"/>
  </w:num>
  <w:num w:numId="14">
    <w:abstractNumId w:val="11"/>
  </w:num>
  <w:num w:numId="15">
    <w:abstractNumId w:val="13"/>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isplayBackgroundShape/>
  <w:hideSpellingErrors/>
  <w:hideGrammaticalErrors/>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BE" w:vendorID="64" w:dllVersion="0" w:nlCheck="1" w:checkStyle="0"/>
  <w:activeWritingStyle w:appName="MSWord" w:lang="pl-PL" w:vendorID="64" w:dllVersion="0" w:nlCheck="1" w:checkStyle="0"/>
  <w:activeWritingStyle w:appName="MSWord" w:lang="es-ES" w:vendorID="64" w:dllVersion="0" w:nlCheck="1" w:checkStyle="0"/>
  <w:activeWritingStyle w:appName="MSWord" w:lang="fr-FR" w:vendorID="64" w:dllVersion="0" w:nlCheck="1" w:checkStyle="0"/>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5-09-15 11:48:50"/>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de la proposition de"/>
    <w:docVar w:name="LW_ACCOMPAGNANT.CP" w:val="de la proposition de"/>
    <w:docVar w:name="LW_ANNEX_NBR_FIRST" w:val="1"/>
    <w:docVar w:name="LW_ANNEX_NBR_LAST" w:val="1"/>
    <w:docVar w:name="LW_ANNEX_UNIQUE" w:val="1"/>
    <w:docVar w:name="LW_CORRIGENDUM" w:val="&lt;UNUSED&gt;"/>
    <w:docVar w:name="LW_COVERPAGE_EXISTS" w:val="True"/>
    <w:docVar w:name="LW_COVERPAGE_GUID" w:val="3E7FE152-037C-450E-9BA0-60E3CC536AF4"/>
    <w:docVar w:name="LW_COVERPAGE_TYPE" w:val="1"/>
    <w:docVar w:name="LW_CROSSREFERENCE" w:val="&lt;UNUSED&gt;"/>
    <w:docVar w:name="LW_DocType" w:val="ANNEX"/>
    <w:docVar w:name="LW_EMISSION" w:val="1.9.2025"/>
    <w:docVar w:name="LW_EMISSION_ISODATE" w:val="2025-09-01"/>
    <w:docVar w:name="LW_EMISSION_LOCATION" w:val="BRX"/>
    <w:docVar w:name="LW_EMISSION_PREFIX" w:val="Bruxelles, le "/>
    <w:docVar w:name="LW_EMISSION_SUFFIX" w:val=" "/>
    <w:docVar w:name="LW_ID_DOCSTRUCTURE" w:val="COM/ANNEX"/>
    <w:docVar w:name="LW_ID_DOCTYPE" w:val="SG-017"/>
    <w:docVar w:name="LW_LANGUE" w:val="FR"/>
    <w:docVar w:name="LW_LEVEL_OF_SENSITIVITY" w:val="Standard treatment"/>
    <w:docVar w:name="LW_NOM.INST" w:val="COMMISSION EUROPÉENNE"/>
    <w:docVar w:name="LW_NOM.INST_JOINTDOC" w:val="&lt;EMPTY&gt;"/>
    <w:docVar w:name="LW_OBJETACTEPRINCIPAL" w:val="établissant la position à prendre au nom de l\u8217?Union européenne au sein du comité mixte institué par l\u8217?accord entre l\u8217?Union européenne et l\u8217?Ukraine sur le transport de marchandises par route, en ce qui concerne la reconduction de l\u8217?accord"/>
    <w:docVar w:name="LW_OBJETACTEPRINCIPAL.CP" w:val="établissant la position à prendre au nom de l\u8217?Union européenne au sein du comité mixte institué par l\u8217?accord entre l\u8217?Union européenne et l\u8217?Ukraine sur le transport de marchandises par route, en ce qui concerne la reconduction de l\u8217?accord"/>
    <w:docVar w:name="LW_PART_NBR" w:val="1"/>
    <w:docVar w:name="LW_PART_NBR_TOTAL" w:val="1"/>
    <w:docVar w:name="LW_REF.INST.NEW" w:val="COM"/>
    <w:docVar w:name="LW_REF.INST.NEW_ADOPTED" w:val="final"/>
    <w:docVar w:name="LW_REF.INST.NEW_TEXT" w:val="(2025) 47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ES"/>
    <w:docVar w:name="LW_TYPE.DOC.CP" w:val="ANNEXES"/>
    <w:docVar w:name="LW_TYPEACTEPRINCIPAL" w:val="DÉCISION DU CONSEIL"/>
    <w:docVar w:name="LW_TYPEACTEPRINCIPAL.CP" w:val="DÉCISION DU CONSEIL"/>
    <w:docVar w:name="LwApiVersions" w:val="LW4CoDe 1.24.5.0; LW 9.0, Build 20240221"/>
  </w:docVars>
  <w:rsids>
    <w:rsidRoot w:val="009A70DD"/>
    <w:rsid w:val="00003541"/>
    <w:rsid w:val="000119E5"/>
    <w:rsid w:val="000268C0"/>
    <w:rsid w:val="00045DF4"/>
    <w:rsid w:val="00046E10"/>
    <w:rsid w:val="00065DAA"/>
    <w:rsid w:val="00073496"/>
    <w:rsid w:val="000C1EB5"/>
    <w:rsid w:val="000C7309"/>
    <w:rsid w:val="000D1F2D"/>
    <w:rsid w:val="000D7B44"/>
    <w:rsid w:val="000D7DE5"/>
    <w:rsid w:val="000E15D3"/>
    <w:rsid w:val="000E684D"/>
    <w:rsid w:val="000F11FD"/>
    <w:rsid w:val="000F3272"/>
    <w:rsid w:val="00131A12"/>
    <w:rsid w:val="00132780"/>
    <w:rsid w:val="00140129"/>
    <w:rsid w:val="00150BBB"/>
    <w:rsid w:val="00152894"/>
    <w:rsid w:val="00152C82"/>
    <w:rsid w:val="001608C0"/>
    <w:rsid w:val="0016174B"/>
    <w:rsid w:val="00171C7C"/>
    <w:rsid w:val="00174EEE"/>
    <w:rsid w:val="00181775"/>
    <w:rsid w:val="0018196D"/>
    <w:rsid w:val="00191C18"/>
    <w:rsid w:val="0019548F"/>
    <w:rsid w:val="001A4804"/>
    <w:rsid w:val="001B27B0"/>
    <w:rsid w:val="001B6C66"/>
    <w:rsid w:val="001C5BC8"/>
    <w:rsid w:val="001D3E4F"/>
    <w:rsid w:val="001F02EF"/>
    <w:rsid w:val="001F0CFF"/>
    <w:rsid w:val="002012CF"/>
    <w:rsid w:val="00223D95"/>
    <w:rsid w:val="0022478A"/>
    <w:rsid w:val="00225F25"/>
    <w:rsid w:val="0022707C"/>
    <w:rsid w:val="002273B1"/>
    <w:rsid w:val="00230FA5"/>
    <w:rsid w:val="00235A29"/>
    <w:rsid w:val="0024082B"/>
    <w:rsid w:val="00241BF4"/>
    <w:rsid w:val="002505AE"/>
    <w:rsid w:val="00261AC3"/>
    <w:rsid w:val="00265A56"/>
    <w:rsid w:val="00267706"/>
    <w:rsid w:val="00270F21"/>
    <w:rsid w:val="00273B65"/>
    <w:rsid w:val="002742C9"/>
    <w:rsid w:val="00277B4C"/>
    <w:rsid w:val="0029368D"/>
    <w:rsid w:val="002A3156"/>
    <w:rsid w:val="002B1E69"/>
    <w:rsid w:val="002B2333"/>
    <w:rsid w:val="002F2A95"/>
    <w:rsid w:val="002F7D0A"/>
    <w:rsid w:val="00302079"/>
    <w:rsid w:val="00305D3D"/>
    <w:rsid w:val="0030728E"/>
    <w:rsid w:val="003142A9"/>
    <w:rsid w:val="003215F5"/>
    <w:rsid w:val="00322E27"/>
    <w:rsid w:val="0032339E"/>
    <w:rsid w:val="00323AA1"/>
    <w:rsid w:val="00323F43"/>
    <w:rsid w:val="003249F8"/>
    <w:rsid w:val="00331B64"/>
    <w:rsid w:val="00341588"/>
    <w:rsid w:val="00342BD3"/>
    <w:rsid w:val="00346260"/>
    <w:rsid w:val="00347A4C"/>
    <w:rsid w:val="00352A14"/>
    <w:rsid w:val="003570CD"/>
    <w:rsid w:val="00360032"/>
    <w:rsid w:val="003873E2"/>
    <w:rsid w:val="00396E80"/>
    <w:rsid w:val="003A39DA"/>
    <w:rsid w:val="003A46A7"/>
    <w:rsid w:val="003B217D"/>
    <w:rsid w:val="003C1086"/>
    <w:rsid w:val="003D528D"/>
    <w:rsid w:val="003E258A"/>
    <w:rsid w:val="003E5681"/>
    <w:rsid w:val="003F7FE1"/>
    <w:rsid w:val="0040265C"/>
    <w:rsid w:val="00402AA6"/>
    <w:rsid w:val="00406FDE"/>
    <w:rsid w:val="00412440"/>
    <w:rsid w:val="00412F52"/>
    <w:rsid w:val="0041406B"/>
    <w:rsid w:val="004222E7"/>
    <w:rsid w:val="00437478"/>
    <w:rsid w:val="00454339"/>
    <w:rsid w:val="00454D4A"/>
    <w:rsid w:val="00460894"/>
    <w:rsid w:val="00460D8D"/>
    <w:rsid w:val="00463486"/>
    <w:rsid w:val="00471B30"/>
    <w:rsid w:val="00475FDB"/>
    <w:rsid w:val="0049595E"/>
    <w:rsid w:val="004A166D"/>
    <w:rsid w:val="004B50B0"/>
    <w:rsid w:val="004B6C5D"/>
    <w:rsid w:val="004C1C5B"/>
    <w:rsid w:val="004C223A"/>
    <w:rsid w:val="004C2BD2"/>
    <w:rsid w:val="004C6C8D"/>
    <w:rsid w:val="004F5DA1"/>
    <w:rsid w:val="004F7443"/>
    <w:rsid w:val="0050242F"/>
    <w:rsid w:val="005025C4"/>
    <w:rsid w:val="00502E7C"/>
    <w:rsid w:val="00504115"/>
    <w:rsid w:val="00505A80"/>
    <w:rsid w:val="0050658F"/>
    <w:rsid w:val="00523889"/>
    <w:rsid w:val="005263B9"/>
    <w:rsid w:val="00533F7C"/>
    <w:rsid w:val="005365AB"/>
    <w:rsid w:val="00543A28"/>
    <w:rsid w:val="00555A44"/>
    <w:rsid w:val="00556831"/>
    <w:rsid w:val="005643B2"/>
    <w:rsid w:val="005878B2"/>
    <w:rsid w:val="00594BC2"/>
    <w:rsid w:val="005A19DE"/>
    <w:rsid w:val="005B1614"/>
    <w:rsid w:val="005B7743"/>
    <w:rsid w:val="005C49CE"/>
    <w:rsid w:val="005D74E3"/>
    <w:rsid w:val="005E77A1"/>
    <w:rsid w:val="005F741E"/>
    <w:rsid w:val="0060521F"/>
    <w:rsid w:val="006108FD"/>
    <w:rsid w:val="00627867"/>
    <w:rsid w:val="00640796"/>
    <w:rsid w:val="0064252A"/>
    <w:rsid w:val="00642F74"/>
    <w:rsid w:val="00645896"/>
    <w:rsid w:val="00654288"/>
    <w:rsid w:val="0067032F"/>
    <w:rsid w:val="0067590F"/>
    <w:rsid w:val="006775E7"/>
    <w:rsid w:val="00681655"/>
    <w:rsid w:val="006835D2"/>
    <w:rsid w:val="00690219"/>
    <w:rsid w:val="006968F9"/>
    <w:rsid w:val="006A30D8"/>
    <w:rsid w:val="006C0433"/>
    <w:rsid w:val="006C11D4"/>
    <w:rsid w:val="006C21B6"/>
    <w:rsid w:val="006C5CEF"/>
    <w:rsid w:val="006D6EF9"/>
    <w:rsid w:val="006E7C78"/>
    <w:rsid w:val="006F0D26"/>
    <w:rsid w:val="006F3C12"/>
    <w:rsid w:val="006F49C9"/>
    <w:rsid w:val="007161F0"/>
    <w:rsid w:val="007169B6"/>
    <w:rsid w:val="00734E13"/>
    <w:rsid w:val="00736A12"/>
    <w:rsid w:val="00736F76"/>
    <w:rsid w:val="0074216E"/>
    <w:rsid w:val="00742E59"/>
    <w:rsid w:val="00776334"/>
    <w:rsid w:val="0078415E"/>
    <w:rsid w:val="007879F3"/>
    <w:rsid w:val="00787B6C"/>
    <w:rsid w:val="007A4151"/>
    <w:rsid w:val="007B0B8B"/>
    <w:rsid w:val="007C0100"/>
    <w:rsid w:val="007C5E2E"/>
    <w:rsid w:val="007F17A7"/>
    <w:rsid w:val="007F43E0"/>
    <w:rsid w:val="007F5218"/>
    <w:rsid w:val="007F55DF"/>
    <w:rsid w:val="00811DBA"/>
    <w:rsid w:val="00820388"/>
    <w:rsid w:val="00824438"/>
    <w:rsid w:val="008342FB"/>
    <w:rsid w:val="008375CC"/>
    <w:rsid w:val="00837CA8"/>
    <w:rsid w:val="00846F40"/>
    <w:rsid w:val="00851DA3"/>
    <w:rsid w:val="0086063A"/>
    <w:rsid w:val="008759EF"/>
    <w:rsid w:val="0088237C"/>
    <w:rsid w:val="00882750"/>
    <w:rsid w:val="0088391A"/>
    <w:rsid w:val="00887777"/>
    <w:rsid w:val="00891F09"/>
    <w:rsid w:val="008A2201"/>
    <w:rsid w:val="008C45BB"/>
    <w:rsid w:val="008D57F9"/>
    <w:rsid w:val="008D63A0"/>
    <w:rsid w:val="008E6A06"/>
    <w:rsid w:val="00901898"/>
    <w:rsid w:val="00904D5E"/>
    <w:rsid w:val="00922D65"/>
    <w:rsid w:val="009233B9"/>
    <w:rsid w:val="00926326"/>
    <w:rsid w:val="00932087"/>
    <w:rsid w:val="009362F1"/>
    <w:rsid w:val="0094343B"/>
    <w:rsid w:val="00947DD8"/>
    <w:rsid w:val="00955B40"/>
    <w:rsid w:val="009649AF"/>
    <w:rsid w:val="00967035"/>
    <w:rsid w:val="00977B24"/>
    <w:rsid w:val="00981CF7"/>
    <w:rsid w:val="00983339"/>
    <w:rsid w:val="009838E9"/>
    <w:rsid w:val="0099358B"/>
    <w:rsid w:val="009A70DD"/>
    <w:rsid w:val="009A733F"/>
    <w:rsid w:val="009A749B"/>
    <w:rsid w:val="009B31D5"/>
    <w:rsid w:val="009B680F"/>
    <w:rsid w:val="009C70A9"/>
    <w:rsid w:val="009D0F0A"/>
    <w:rsid w:val="009D7561"/>
    <w:rsid w:val="009E239A"/>
    <w:rsid w:val="009F18BC"/>
    <w:rsid w:val="009F57DE"/>
    <w:rsid w:val="009F6901"/>
    <w:rsid w:val="00A05694"/>
    <w:rsid w:val="00A0708A"/>
    <w:rsid w:val="00A07726"/>
    <w:rsid w:val="00A154B1"/>
    <w:rsid w:val="00A21805"/>
    <w:rsid w:val="00A251EF"/>
    <w:rsid w:val="00A27C09"/>
    <w:rsid w:val="00A3482F"/>
    <w:rsid w:val="00A409F6"/>
    <w:rsid w:val="00A61736"/>
    <w:rsid w:val="00A635C0"/>
    <w:rsid w:val="00A64D99"/>
    <w:rsid w:val="00A6780E"/>
    <w:rsid w:val="00A8261E"/>
    <w:rsid w:val="00A93D3D"/>
    <w:rsid w:val="00A96859"/>
    <w:rsid w:val="00A96F3F"/>
    <w:rsid w:val="00AB11A8"/>
    <w:rsid w:val="00AC2C05"/>
    <w:rsid w:val="00AC5A43"/>
    <w:rsid w:val="00AD2F94"/>
    <w:rsid w:val="00AE4A85"/>
    <w:rsid w:val="00AE5793"/>
    <w:rsid w:val="00AF674A"/>
    <w:rsid w:val="00B00E14"/>
    <w:rsid w:val="00B11A07"/>
    <w:rsid w:val="00B12697"/>
    <w:rsid w:val="00B2365F"/>
    <w:rsid w:val="00B36859"/>
    <w:rsid w:val="00B55584"/>
    <w:rsid w:val="00B56B1F"/>
    <w:rsid w:val="00B57184"/>
    <w:rsid w:val="00B57E2F"/>
    <w:rsid w:val="00B62194"/>
    <w:rsid w:val="00B6314C"/>
    <w:rsid w:val="00B76E95"/>
    <w:rsid w:val="00B959D2"/>
    <w:rsid w:val="00B967D3"/>
    <w:rsid w:val="00BB4748"/>
    <w:rsid w:val="00BC2A60"/>
    <w:rsid w:val="00BC3514"/>
    <w:rsid w:val="00BC50C1"/>
    <w:rsid w:val="00BC50F6"/>
    <w:rsid w:val="00BD4B2B"/>
    <w:rsid w:val="00BD664E"/>
    <w:rsid w:val="00BE1B7C"/>
    <w:rsid w:val="00BE4217"/>
    <w:rsid w:val="00BE4E55"/>
    <w:rsid w:val="00BF2401"/>
    <w:rsid w:val="00BF38FB"/>
    <w:rsid w:val="00C027FF"/>
    <w:rsid w:val="00C11740"/>
    <w:rsid w:val="00C220B6"/>
    <w:rsid w:val="00C27E5E"/>
    <w:rsid w:val="00C30234"/>
    <w:rsid w:val="00C35E91"/>
    <w:rsid w:val="00C37403"/>
    <w:rsid w:val="00C37C3F"/>
    <w:rsid w:val="00C40797"/>
    <w:rsid w:val="00C44277"/>
    <w:rsid w:val="00C4623E"/>
    <w:rsid w:val="00C66843"/>
    <w:rsid w:val="00C70358"/>
    <w:rsid w:val="00C70FB9"/>
    <w:rsid w:val="00C928BF"/>
    <w:rsid w:val="00C92B8C"/>
    <w:rsid w:val="00C948E3"/>
    <w:rsid w:val="00CA4224"/>
    <w:rsid w:val="00CA7643"/>
    <w:rsid w:val="00CB3712"/>
    <w:rsid w:val="00CB55BE"/>
    <w:rsid w:val="00CC167A"/>
    <w:rsid w:val="00CC265B"/>
    <w:rsid w:val="00CC292B"/>
    <w:rsid w:val="00CC498B"/>
    <w:rsid w:val="00CE0F91"/>
    <w:rsid w:val="00CE213C"/>
    <w:rsid w:val="00CE4BB1"/>
    <w:rsid w:val="00CE55AA"/>
    <w:rsid w:val="00CF1D74"/>
    <w:rsid w:val="00CF596D"/>
    <w:rsid w:val="00D05251"/>
    <w:rsid w:val="00D05456"/>
    <w:rsid w:val="00D05A78"/>
    <w:rsid w:val="00D12D83"/>
    <w:rsid w:val="00D15068"/>
    <w:rsid w:val="00D238DC"/>
    <w:rsid w:val="00D308DD"/>
    <w:rsid w:val="00D45487"/>
    <w:rsid w:val="00D530BF"/>
    <w:rsid w:val="00D54D89"/>
    <w:rsid w:val="00D603E7"/>
    <w:rsid w:val="00D62B71"/>
    <w:rsid w:val="00D65484"/>
    <w:rsid w:val="00D66DD8"/>
    <w:rsid w:val="00D708FE"/>
    <w:rsid w:val="00D81FFF"/>
    <w:rsid w:val="00D8312A"/>
    <w:rsid w:val="00D92B89"/>
    <w:rsid w:val="00D95B87"/>
    <w:rsid w:val="00DA1C89"/>
    <w:rsid w:val="00DA3609"/>
    <w:rsid w:val="00DA6A71"/>
    <w:rsid w:val="00DC6111"/>
    <w:rsid w:val="00DC66C0"/>
    <w:rsid w:val="00DC7F45"/>
    <w:rsid w:val="00DD2181"/>
    <w:rsid w:val="00DD279B"/>
    <w:rsid w:val="00DD3108"/>
    <w:rsid w:val="00DD618A"/>
    <w:rsid w:val="00DE0BC6"/>
    <w:rsid w:val="00DF68E6"/>
    <w:rsid w:val="00E07D86"/>
    <w:rsid w:val="00E1126A"/>
    <w:rsid w:val="00E179CA"/>
    <w:rsid w:val="00E17C22"/>
    <w:rsid w:val="00E31365"/>
    <w:rsid w:val="00E356BB"/>
    <w:rsid w:val="00E3724F"/>
    <w:rsid w:val="00E37520"/>
    <w:rsid w:val="00E40D7F"/>
    <w:rsid w:val="00E57076"/>
    <w:rsid w:val="00E62D4F"/>
    <w:rsid w:val="00E7082D"/>
    <w:rsid w:val="00E71C05"/>
    <w:rsid w:val="00E75711"/>
    <w:rsid w:val="00E80387"/>
    <w:rsid w:val="00E8226B"/>
    <w:rsid w:val="00E91D11"/>
    <w:rsid w:val="00EA005B"/>
    <w:rsid w:val="00EB4DBF"/>
    <w:rsid w:val="00EC05DA"/>
    <w:rsid w:val="00EC79FF"/>
    <w:rsid w:val="00ED226A"/>
    <w:rsid w:val="00EE614C"/>
    <w:rsid w:val="00F0644B"/>
    <w:rsid w:val="00F10C0A"/>
    <w:rsid w:val="00F11464"/>
    <w:rsid w:val="00F16646"/>
    <w:rsid w:val="00F17FF9"/>
    <w:rsid w:val="00F211BB"/>
    <w:rsid w:val="00F2540D"/>
    <w:rsid w:val="00F314F9"/>
    <w:rsid w:val="00F3407F"/>
    <w:rsid w:val="00F34A83"/>
    <w:rsid w:val="00F37A87"/>
    <w:rsid w:val="00F37FB7"/>
    <w:rsid w:val="00F425D2"/>
    <w:rsid w:val="00F43B76"/>
    <w:rsid w:val="00F56D16"/>
    <w:rsid w:val="00F62DCA"/>
    <w:rsid w:val="00F65C8B"/>
    <w:rsid w:val="00F75FAB"/>
    <w:rsid w:val="00F915EB"/>
    <w:rsid w:val="00F930BF"/>
    <w:rsid w:val="00FA355C"/>
    <w:rsid w:val="00FA67DB"/>
    <w:rsid w:val="00FD56A1"/>
    <w:rsid w:val="00FE3A16"/>
    <w:rsid w:val="00FE3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2B5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fr-FR"/>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70DD"/>
    <w:pPr>
      <w:spacing w:before="0" w:after="160" w:line="259" w:lineRule="auto"/>
      <w:ind w:left="720"/>
      <w:contextualSpacing/>
      <w:jc w:val="left"/>
    </w:pPr>
    <w:rPr>
      <w:rFonts w:asciiTheme="minorHAnsi" w:hAnsiTheme="minorHAnsi" w:cstheme="minorBidi"/>
      <w:sz w:val="22"/>
    </w:rPr>
  </w:style>
  <w:style w:type="paragraph" w:customStyle="1" w:styleId="Titreobjet">
    <w:name w:val="Titre objet"/>
    <w:basedOn w:val="Normal"/>
    <w:next w:val="Normal"/>
    <w:rsid w:val="009A70DD"/>
    <w:pPr>
      <w:spacing w:before="360" w:after="360" w:line="360" w:lineRule="auto"/>
      <w:jc w:val="center"/>
    </w:pPr>
    <w:rPr>
      <w:b/>
    </w:rPr>
  </w:style>
  <w:style w:type="character" w:styleId="Emphasis">
    <w:name w:val="Emphasis"/>
    <w:basedOn w:val="DefaultParagraphFont"/>
    <w:uiPriority w:val="20"/>
    <w:qFormat/>
    <w:rsid w:val="009A70DD"/>
    <w:rPr>
      <w:i/>
      <w:iCs/>
    </w:rPr>
  </w:style>
  <w:style w:type="paragraph" w:styleId="Title">
    <w:name w:val="Title"/>
    <w:basedOn w:val="Normal"/>
    <w:next w:val="Normal"/>
    <w:link w:val="TitleChar"/>
    <w:uiPriority w:val="10"/>
    <w:qFormat/>
    <w:rsid w:val="009A70DD"/>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70DD"/>
    <w:rPr>
      <w:rFonts w:asciiTheme="majorHAnsi" w:eastAsiaTheme="majorEastAsia" w:hAnsiTheme="majorHAnsi" w:cstheme="majorBidi"/>
      <w:spacing w:val="-10"/>
      <w:kern w:val="28"/>
      <w:sz w:val="56"/>
      <w:szCs w:val="56"/>
      <w:lang w:val="fr-FR"/>
    </w:rPr>
  </w:style>
  <w:style w:type="paragraph" w:styleId="Caption">
    <w:name w:val="caption"/>
    <w:basedOn w:val="Normal"/>
    <w:next w:val="Normal"/>
    <w:uiPriority w:val="35"/>
    <w:semiHidden/>
    <w:unhideWhenUsed/>
    <w:qFormat/>
    <w:rsid w:val="00C37403"/>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C37403"/>
    <w:pPr>
      <w:spacing w:after="0"/>
    </w:pPr>
  </w:style>
  <w:style w:type="paragraph" w:styleId="ListBullet">
    <w:name w:val="List Bullet"/>
    <w:basedOn w:val="Normal"/>
    <w:uiPriority w:val="99"/>
    <w:semiHidden/>
    <w:unhideWhenUsed/>
    <w:rsid w:val="00C37403"/>
    <w:pPr>
      <w:numPr>
        <w:numId w:val="1"/>
      </w:numPr>
      <w:contextualSpacing/>
    </w:pPr>
  </w:style>
  <w:style w:type="paragraph" w:styleId="ListBullet2">
    <w:name w:val="List Bullet 2"/>
    <w:basedOn w:val="Normal"/>
    <w:uiPriority w:val="99"/>
    <w:semiHidden/>
    <w:unhideWhenUsed/>
    <w:rsid w:val="00C37403"/>
    <w:pPr>
      <w:numPr>
        <w:numId w:val="2"/>
      </w:numPr>
      <w:contextualSpacing/>
    </w:pPr>
  </w:style>
  <w:style w:type="paragraph" w:styleId="ListBullet3">
    <w:name w:val="List Bullet 3"/>
    <w:basedOn w:val="Normal"/>
    <w:uiPriority w:val="99"/>
    <w:semiHidden/>
    <w:unhideWhenUsed/>
    <w:rsid w:val="00C37403"/>
    <w:pPr>
      <w:numPr>
        <w:numId w:val="3"/>
      </w:numPr>
      <w:contextualSpacing/>
    </w:pPr>
  </w:style>
  <w:style w:type="paragraph" w:styleId="ListBullet4">
    <w:name w:val="List Bullet 4"/>
    <w:basedOn w:val="Normal"/>
    <w:uiPriority w:val="99"/>
    <w:semiHidden/>
    <w:unhideWhenUsed/>
    <w:rsid w:val="00C37403"/>
    <w:pPr>
      <w:numPr>
        <w:numId w:val="4"/>
      </w:numPr>
      <w:contextualSpacing/>
    </w:pPr>
  </w:style>
  <w:style w:type="paragraph" w:styleId="ListNumber">
    <w:name w:val="List Number"/>
    <w:basedOn w:val="Normal"/>
    <w:uiPriority w:val="99"/>
    <w:semiHidden/>
    <w:unhideWhenUsed/>
    <w:rsid w:val="00C37403"/>
    <w:pPr>
      <w:numPr>
        <w:numId w:val="5"/>
      </w:numPr>
      <w:contextualSpacing/>
    </w:pPr>
  </w:style>
  <w:style w:type="paragraph" w:styleId="ListNumber2">
    <w:name w:val="List Number 2"/>
    <w:basedOn w:val="Normal"/>
    <w:uiPriority w:val="99"/>
    <w:semiHidden/>
    <w:unhideWhenUsed/>
    <w:rsid w:val="00C37403"/>
    <w:pPr>
      <w:numPr>
        <w:numId w:val="6"/>
      </w:numPr>
      <w:contextualSpacing/>
    </w:pPr>
  </w:style>
  <w:style w:type="paragraph" w:styleId="ListNumber3">
    <w:name w:val="List Number 3"/>
    <w:basedOn w:val="Normal"/>
    <w:uiPriority w:val="99"/>
    <w:semiHidden/>
    <w:unhideWhenUsed/>
    <w:rsid w:val="00C37403"/>
    <w:pPr>
      <w:numPr>
        <w:numId w:val="7"/>
      </w:numPr>
      <w:contextualSpacing/>
    </w:pPr>
  </w:style>
  <w:style w:type="paragraph" w:styleId="ListNumber4">
    <w:name w:val="List Number 4"/>
    <w:basedOn w:val="Normal"/>
    <w:uiPriority w:val="99"/>
    <w:semiHidden/>
    <w:unhideWhenUsed/>
    <w:rsid w:val="00C37403"/>
    <w:pPr>
      <w:numPr>
        <w:numId w:val="8"/>
      </w:numPr>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7035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358"/>
    <w:rPr>
      <w:rFonts w:ascii="Segoe UI" w:hAnsi="Segoe UI" w:cs="Segoe UI"/>
      <w:sz w:val="18"/>
      <w:szCs w:val="18"/>
      <w:lang w:val="fr-FR"/>
    </w:rPr>
  </w:style>
  <w:style w:type="paragraph" w:styleId="CommentSubject">
    <w:name w:val="annotation subject"/>
    <w:basedOn w:val="CommentText"/>
    <w:next w:val="CommentText"/>
    <w:link w:val="CommentSubjectChar"/>
    <w:uiPriority w:val="99"/>
    <w:semiHidden/>
    <w:unhideWhenUsed/>
    <w:rsid w:val="00AF674A"/>
    <w:rPr>
      <w:b/>
      <w:bCs/>
    </w:rPr>
  </w:style>
  <w:style w:type="character" w:customStyle="1" w:styleId="CommentSubjectChar">
    <w:name w:val="Comment Subject Char"/>
    <w:basedOn w:val="CommentTextChar"/>
    <w:link w:val="CommentSubject"/>
    <w:uiPriority w:val="99"/>
    <w:semiHidden/>
    <w:rsid w:val="00AF674A"/>
    <w:rPr>
      <w:rFonts w:ascii="Times New Roman" w:hAnsi="Times New Roman" w:cs="Times New Roman"/>
      <w:b/>
      <w:bCs/>
      <w:sz w:val="20"/>
      <w:szCs w:val="20"/>
      <w:lang w:val="fr-FR"/>
    </w:rPr>
  </w:style>
  <w:style w:type="character" w:styleId="Hyperlink">
    <w:name w:val="Hyperlink"/>
    <w:basedOn w:val="DefaultParagraphFont"/>
    <w:uiPriority w:val="99"/>
    <w:unhideWhenUsed/>
    <w:rsid w:val="00AF674A"/>
    <w:rPr>
      <w:color w:val="0000FF" w:themeColor="hyperlink"/>
      <w:u w:val="single"/>
    </w:rPr>
  </w:style>
  <w:style w:type="character" w:customStyle="1" w:styleId="num">
    <w:name w:val="num"/>
    <w:basedOn w:val="DefaultParagraphFont"/>
    <w:rsid w:val="0022707C"/>
  </w:style>
  <w:style w:type="paragraph" w:customStyle="1" w:styleId="Lignefinal">
    <w:name w:val="Ligne final"/>
    <w:basedOn w:val="Normal"/>
    <w:next w:val="Normal"/>
    <w:rsid w:val="00811DBA"/>
    <w:pPr>
      <w:pBdr>
        <w:bottom w:val="single" w:sz="4" w:space="0" w:color="000000"/>
      </w:pBdr>
      <w:spacing w:before="360" w:line="360" w:lineRule="auto"/>
      <w:ind w:left="3400" w:right="3400"/>
      <w:jc w:val="center"/>
    </w:pPr>
    <w:rPr>
      <w:b/>
    </w:rPr>
  </w:style>
  <w:style w:type="paragraph" w:styleId="Revision">
    <w:name w:val="Revision"/>
    <w:hidden/>
    <w:uiPriority w:val="99"/>
    <w:semiHidden/>
    <w:rsid w:val="00594BC2"/>
    <w:pPr>
      <w:spacing w:after="0" w:line="240" w:lineRule="auto"/>
    </w:pPr>
    <w:rPr>
      <w:rFonts w:ascii="Times New Roman" w:hAnsi="Times New Roman" w:cs="Times New Roman"/>
      <w:sz w:val="24"/>
    </w:rPr>
  </w:style>
  <w:style w:type="paragraph" w:customStyle="1" w:styleId="Normal1">
    <w:name w:val="Normal1"/>
    <w:basedOn w:val="Normal"/>
    <w:rsid w:val="00736A12"/>
    <w:pPr>
      <w:spacing w:before="100" w:beforeAutospacing="1" w:after="100" w:afterAutospacing="1"/>
      <w:jc w:val="left"/>
    </w:pPr>
    <w:rPr>
      <w:rFonts w:eastAsia="Times New Roman"/>
      <w:szCs w:val="24"/>
    </w:rPr>
  </w:style>
  <w:style w:type="character" w:customStyle="1" w:styleId="UnresolvedMention">
    <w:name w:val="Unresolved Mention"/>
    <w:basedOn w:val="DefaultParagraphFont"/>
    <w:uiPriority w:val="99"/>
    <w:semiHidden/>
    <w:unhideWhenUsed/>
    <w:rsid w:val="00977B24"/>
    <w:rPr>
      <w:color w:val="605E5C"/>
      <w:shd w:val="clear" w:color="auto" w:fill="E1DFDD"/>
    </w:rPr>
  </w:style>
  <w:style w:type="character" w:styleId="FollowedHyperlink">
    <w:name w:val="FollowedHyperlink"/>
    <w:basedOn w:val="DefaultParagraphFont"/>
    <w:uiPriority w:val="99"/>
    <w:semiHidden/>
    <w:unhideWhenUsed/>
    <w:rsid w:val="00B56B1F"/>
    <w:rPr>
      <w:color w:val="800080" w:themeColor="followedHyperlink"/>
      <w:u w:val="single"/>
    </w:rPr>
  </w:style>
  <w:style w:type="table" w:styleId="TableGrid">
    <w:name w:val="Table Grid"/>
    <w:basedOn w:val="TableNormal"/>
    <w:uiPriority w:val="39"/>
    <w:rsid w:val="00F2540D"/>
    <w:pPr>
      <w:spacing w:after="0" w:line="240" w:lineRule="auto"/>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273B65"/>
    <w:rPr>
      <w:rFonts w:ascii="Times New Roman" w:hAnsi="Times New Roman" w:cs="Times New Roman"/>
      <w:sz w:val="24"/>
      <w:lang w:val="fr-FR"/>
    </w:rPr>
  </w:style>
  <w:style w:type="character" w:customStyle="1" w:styleId="FooterChar">
    <w:name w:val="Footer Char"/>
    <w:basedOn w:val="DefaultParagraphFont"/>
    <w:link w:val="Footer"/>
    <w:uiPriority w:val="99"/>
    <w:rsid w:val="00273B65"/>
    <w:rPr>
      <w:rFonts w:ascii="Times New Roman" w:hAnsi="Times New Roman" w:cs="Times New Roman"/>
      <w:sz w:val="24"/>
      <w:lang w:val="fr-F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fr-FR"/>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fr-FR"/>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fr-FR"/>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fr-FR"/>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fr-FR"/>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fr-FR"/>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fr-FR"/>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273B65"/>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273B65"/>
    <w:pPr>
      <w:spacing w:before="0"/>
      <w:jc w:val="right"/>
    </w:pPr>
    <w:rPr>
      <w:sz w:val="28"/>
    </w:rPr>
  </w:style>
  <w:style w:type="paragraph" w:customStyle="1" w:styleId="FooterSensitivity">
    <w:name w:val="Footer Sensitivity"/>
    <w:basedOn w:val="Normal"/>
    <w:rsid w:val="00273B65"/>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273B65"/>
    <w:pPr>
      <w:tabs>
        <w:tab w:val="center" w:pos="4535"/>
        <w:tab w:val="right" w:pos="9071"/>
      </w:tabs>
      <w:spacing w:before="0"/>
    </w:pPr>
  </w:style>
  <w:style w:type="paragraph" w:customStyle="1" w:styleId="HeaderLandscape">
    <w:name w:val="HeaderLandscape"/>
    <w:basedOn w:val="Normal"/>
    <w:rsid w:val="00273B65"/>
    <w:pPr>
      <w:tabs>
        <w:tab w:val="center" w:pos="7285"/>
        <w:tab w:val="right" w:pos="14003"/>
      </w:tabs>
      <w:spacing w:before="0"/>
    </w:pPr>
  </w:style>
  <w:style w:type="paragraph" w:styleId="Footer">
    <w:name w:val="footer"/>
    <w:basedOn w:val="Normal"/>
    <w:link w:val="FooterChar"/>
    <w:uiPriority w:val="99"/>
    <w:unhideWhenUsed/>
    <w:rsid w:val="00273B65"/>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273B65"/>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01192">
      <w:bodyDiv w:val="1"/>
      <w:marLeft w:val="0"/>
      <w:marRight w:val="0"/>
      <w:marTop w:val="0"/>
      <w:marBottom w:val="0"/>
      <w:divBdr>
        <w:top w:val="none" w:sz="0" w:space="0" w:color="auto"/>
        <w:left w:val="none" w:sz="0" w:space="0" w:color="auto"/>
        <w:bottom w:val="none" w:sz="0" w:space="0" w:color="auto"/>
        <w:right w:val="none" w:sz="0" w:space="0" w:color="auto"/>
      </w:divBdr>
      <w:divsChild>
        <w:div w:id="1158424786">
          <w:marLeft w:val="0"/>
          <w:marRight w:val="0"/>
          <w:marTop w:val="0"/>
          <w:marBottom w:val="0"/>
          <w:divBdr>
            <w:top w:val="none" w:sz="0" w:space="0" w:color="auto"/>
            <w:left w:val="none" w:sz="0" w:space="0" w:color="auto"/>
            <w:bottom w:val="none" w:sz="0" w:space="0" w:color="auto"/>
            <w:right w:val="none" w:sz="0" w:space="0" w:color="auto"/>
          </w:divBdr>
        </w:div>
      </w:divsChild>
    </w:div>
    <w:div w:id="326859220">
      <w:bodyDiv w:val="1"/>
      <w:marLeft w:val="0"/>
      <w:marRight w:val="0"/>
      <w:marTop w:val="0"/>
      <w:marBottom w:val="0"/>
      <w:divBdr>
        <w:top w:val="none" w:sz="0" w:space="0" w:color="auto"/>
        <w:left w:val="none" w:sz="0" w:space="0" w:color="auto"/>
        <w:bottom w:val="none" w:sz="0" w:space="0" w:color="auto"/>
        <w:right w:val="none" w:sz="0" w:space="0" w:color="auto"/>
      </w:divBdr>
    </w:div>
    <w:div w:id="605767945">
      <w:bodyDiv w:val="1"/>
      <w:marLeft w:val="0"/>
      <w:marRight w:val="0"/>
      <w:marTop w:val="0"/>
      <w:marBottom w:val="0"/>
      <w:divBdr>
        <w:top w:val="none" w:sz="0" w:space="0" w:color="auto"/>
        <w:left w:val="none" w:sz="0" w:space="0" w:color="auto"/>
        <w:bottom w:val="none" w:sz="0" w:space="0" w:color="auto"/>
        <w:right w:val="none" w:sz="0" w:space="0" w:color="auto"/>
      </w:divBdr>
    </w:div>
    <w:div w:id="952245699">
      <w:bodyDiv w:val="1"/>
      <w:marLeft w:val="0"/>
      <w:marRight w:val="0"/>
      <w:marTop w:val="0"/>
      <w:marBottom w:val="0"/>
      <w:divBdr>
        <w:top w:val="none" w:sz="0" w:space="0" w:color="auto"/>
        <w:left w:val="none" w:sz="0" w:space="0" w:color="auto"/>
        <w:bottom w:val="none" w:sz="0" w:space="0" w:color="auto"/>
        <w:right w:val="none" w:sz="0" w:space="0" w:color="auto"/>
      </w:divBdr>
    </w:div>
    <w:div w:id="1519200352">
      <w:bodyDiv w:val="1"/>
      <w:marLeft w:val="0"/>
      <w:marRight w:val="0"/>
      <w:marTop w:val="0"/>
      <w:marBottom w:val="0"/>
      <w:divBdr>
        <w:top w:val="none" w:sz="0" w:space="0" w:color="auto"/>
        <w:left w:val="none" w:sz="0" w:space="0" w:color="auto"/>
        <w:bottom w:val="none" w:sz="0" w:space="0" w:color="auto"/>
        <w:right w:val="none" w:sz="0" w:space="0" w:color="auto"/>
      </w:divBdr>
    </w:div>
    <w:div w:id="1677414603">
      <w:bodyDiv w:val="1"/>
      <w:marLeft w:val="0"/>
      <w:marRight w:val="0"/>
      <w:marTop w:val="0"/>
      <w:marBottom w:val="0"/>
      <w:divBdr>
        <w:top w:val="none" w:sz="0" w:space="0" w:color="auto"/>
        <w:left w:val="none" w:sz="0" w:space="0" w:color="auto"/>
        <w:bottom w:val="none" w:sz="0" w:space="0" w:color="auto"/>
        <w:right w:val="none" w:sz="0" w:space="0" w:color="auto"/>
      </w:divBdr>
    </w:div>
    <w:div w:id="1792893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nation/2024/1878/oj" TargetMode="External"/><Relationship Id="rId2" Type="http://schemas.openxmlformats.org/officeDocument/2006/relationships/hyperlink" Target="http://data.europa.eu/eli/dec/2023/929/oj" TargetMode="External"/><Relationship Id="rId1" Type="http://schemas.openxmlformats.org/officeDocument/2006/relationships/hyperlink" Target="http://data.europa.eu/eli/agree_internation/2022/1158/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6829D-2A62-4F09-99A2-AD3A38DBC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0</TotalTime>
  <Pages>6</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2025-08-26T16:22:00Z</dcterms:created>
  <dcterms:modified xsi:type="dcterms:W3CDTF">2025-09-15T09:48:00Z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2025-07-31T15:00:18Z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3892d367-a073-4fa9-ba26-d308982c77b9</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Category">
    <vt:lpwstr>COM/ANNEX</vt:lpwstr>
  </property>
  <property fmtid="{D5CDD505-2E9C-101B-9397-08002B2CF9AE}" pid="12" name="Last edited using">
    <vt:lpwstr>LW 9.1, Build 20240808</vt:lpwstr>
  </property>
  <property fmtid="{D5CDD505-2E9C-101B-9397-08002B2CF9AE}" pid="13" name="First annex">
    <vt:lpwstr>1</vt:lpwstr>
  </property>
  <property fmtid="{D5CDD505-2E9C-101B-9397-08002B2CF9AE}" pid="14" name="Last annex">
    <vt:lpwstr>1</vt:lpwstr>
  </property>
  <property fmtid="{D5CDD505-2E9C-101B-9397-08002B2CF9AE}" pid="15" name="Unique annex">
    <vt:lpwstr>1</vt:lpwstr>
  </property>
  <property fmtid="{D5CDD505-2E9C-101B-9397-08002B2CF9AE}" pid="16" name="Part">
    <vt:lpwstr>1</vt:lpwstr>
  </property>
  <property fmtid="{D5CDD505-2E9C-101B-9397-08002B2CF9AE}" pid="17" name="Total parts">
    <vt:lpwstr>1</vt:lpwstr>
  </property>
  <property fmtid="{D5CDD505-2E9C-101B-9397-08002B2CF9AE}" pid="18" name="LWTemplateID">
    <vt:lpwstr>SG-017</vt:lpwstr>
  </property>
  <property fmtid="{D5CDD505-2E9C-101B-9397-08002B2CF9AE}" pid="19" name="DQCStatus">
    <vt:lpwstr>Green (DQC version 03)</vt:lpwstr>
  </property>
</Properties>
</file>