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4E1EF" w14:textId="0B9EA1F4" w:rsidR="00607B30" w:rsidRDefault="00026B2A" w:rsidP="00026B2A">
      <w:pPr>
        <w:pStyle w:val="Pagedecouverture"/>
        <w:rPr>
          <w:noProof/>
        </w:rPr>
      </w:pPr>
      <w:bookmarkStart w:id="0" w:name="_Toc139985012"/>
      <w:bookmarkStart w:id="1" w:name="_Hlk166182883"/>
      <w:bookmarkStart w:id="2" w:name="LW_BM_COVERPAGE"/>
      <w:r>
        <w:rPr>
          <w:noProof/>
        </w:rPr>
        <w:pict w14:anchorId="73FE9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B52F070-A769-48E2-8A94-FE8509F2EC20" style="width:455.25pt;height:393pt">
            <v:imagedata r:id="rId11" o:title=""/>
          </v:shape>
        </w:pict>
      </w:r>
    </w:p>
    <w:bookmarkEnd w:id="2"/>
    <w:p w14:paraId="0D1D6F91" w14:textId="77777777" w:rsidR="00C61384" w:rsidRDefault="00C61384" w:rsidP="00C61384">
      <w:pPr>
        <w:rPr>
          <w:noProof/>
        </w:rPr>
        <w:sectPr w:rsidR="00C61384" w:rsidSect="00026B2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4EF51FA4" w14:textId="77777777" w:rsidR="00BA7CEF" w:rsidRPr="00955CE4" w:rsidRDefault="00BA7CEF" w:rsidP="00607B30">
      <w:pPr>
        <w:rPr>
          <w:noProof/>
        </w:rPr>
      </w:pPr>
      <w:bookmarkStart w:id="3" w:name="_GoBack"/>
      <w:bookmarkEnd w:id="3"/>
    </w:p>
    <w:sdt>
      <w:sdtPr>
        <w:rPr>
          <w:noProof/>
        </w:rPr>
        <w:id w:val="947980589"/>
        <w:docPartObj>
          <w:docPartGallery w:val="Table of Contents"/>
          <w:docPartUnique/>
        </w:docPartObj>
      </w:sdtPr>
      <w:sdtEndPr>
        <w:rPr>
          <w:bCs/>
        </w:rPr>
      </w:sdtEndPr>
      <w:sdtContent>
        <w:p w14:paraId="47820796" w14:textId="77777777" w:rsidR="00607B30" w:rsidRPr="00607B30" w:rsidRDefault="00607B30" w:rsidP="00607B30">
          <w:pPr>
            <w:keepNext/>
            <w:keepLines/>
            <w:spacing w:before="360" w:after="120" w:line="259" w:lineRule="auto"/>
            <w:jc w:val="center"/>
            <w:rPr>
              <w:rFonts w:ascii="Times New Roman" w:eastAsiaTheme="majorEastAsia" w:hAnsi="Times New Roman" w:cs="Times New Roman"/>
              <w:b/>
              <w:caps/>
              <w:noProof/>
              <w:color w:val="2E74B5" w:themeColor="accent1" w:themeShade="BF"/>
              <w:sz w:val="24"/>
              <w:szCs w:val="32"/>
            </w:rPr>
          </w:pPr>
          <w:r>
            <w:rPr>
              <w:rFonts w:ascii="Times New Roman" w:hAnsi="Times New Roman"/>
              <w:b/>
              <w:caps/>
              <w:noProof/>
              <w:color w:val="2E74B5" w:themeColor="accent1" w:themeShade="BF"/>
              <w:sz w:val="24"/>
            </w:rPr>
            <w:t>Sisukord</w:t>
          </w:r>
        </w:p>
        <w:p w14:paraId="1EC7E69B" w14:textId="187A334D" w:rsidR="00240FA3" w:rsidRDefault="00607B30">
          <w:pPr>
            <w:pStyle w:val="TOC1"/>
            <w:rPr>
              <w:rFonts w:asciiTheme="minorHAnsi" w:hAnsiTheme="minorHAnsi"/>
              <w:b w:val="0"/>
              <w:bCs w:val="0"/>
              <w:caps w:val="0"/>
              <w:noProof/>
              <w:kern w:val="2"/>
              <w:sz w:val="24"/>
              <w:lang w:val="en-IE" w:eastAsia="en-IE"/>
              <w14:ligatures w14:val="standardContextual"/>
            </w:rPr>
          </w:pPr>
          <w:r>
            <w:rPr>
              <w:noProof/>
            </w:rPr>
            <w:fldChar w:fldCharType="begin"/>
          </w:r>
          <w:r>
            <w:rPr>
              <w:noProof/>
            </w:rPr>
            <w:instrText xml:space="preserve"> TOC \o "1-3" \h \z \u </w:instrText>
          </w:r>
          <w:r>
            <w:rPr>
              <w:noProof/>
            </w:rPr>
            <w:fldChar w:fldCharType="separate"/>
          </w:r>
          <w:hyperlink w:anchor="_Toc211940625" w:history="1">
            <w:r w:rsidR="00240FA3" w:rsidRPr="00C2355C">
              <w:rPr>
                <w:rStyle w:val="Hyperlink"/>
                <w:rFonts w:cs="Times New Roman"/>
                <w:noProof/>
              </w:rPr>
              <w:t>I.</w:t>
            </w:r>
            <w:r w:rsidR="00240FA3">
              <w:rPr>
                <w:rFonts w:asciiTheme="minorHAnsi" w:hAnsiTheme="minorHAnsi"/>
                <w:b w:val="0"/>
                <w:bCs w:val="0"/>
                <w:caps w:val="0"/>
                <w:noProof/>
                <w:kern w:val="2"/>
                <w:sz w:val="24"/>
                <w:lang w:val="en-IE" w:eastAsia="en-IE"/>
                <w14:ligatures w14:val="standardContextual"/>
              </w:rPr>
              <w:tab/>
            </w:r>
            <w:r w:rsidR="00240FA3" w:rsidRPr="00C2355C">
              <w:rPr>
                <w:rStyle w:val="Hyperlink"/>
                <w:noProof/>
              </w:rPr>
              <w:t>Kokkuvõte</w:t>
            </w:r>
            <w:r w:rsidR="00240FA3">
              <w:rPr>
                <w:noProof/>
                <w:webHidden/>
              </w:rPr>
              <w:tab/>
            </w:r>
            <w:r w:rsidR="00240FA3">
              <w:rPr>
                <w:noProof/>
                <w:webHidden/>
              </w:rPr>
              <w:fldChar w:fldCharType="begin"/>
            </w:r>
            <w:r w:rsidR="00240FA3">
              <w:rPr>
                <w:noProof/>
                <w:webHidden/>
              </w:rPr>
              <w:instrText xml:space="preserve"> PAGEREF _Toc211940625 \h </w:instrText>
            </w:r>
            <w:r w:rsidR="00240FA3">
              <w:rPr>
                <w:noProof/>
                <w:webHidden/>
              </w:rPr>
            </w:r>
            <w:r w:rsidR="00240FA3">
              <w:rPr>
                <w:noProof/>
                <w:webHidden/>
              </w:rPr>
              <w:fldChar w:fldCharType="separate"/>
            </w:r>
            <w:r w:rsidR="00240FA3">
              <w:rPr>
                <w:noProof/>
                <w:webHidden/>
              </w:rPr>
              <w:t>1</w:t>
            </w:r>
            <w:r w:rsidR="00240FA3">
              <w:rPr>
                <w:noProof/>
                <w:webHidden/>
              </w:rPr>
              <w:fldChar w:fldCharType="end"/>
            </w:r>
          </w:hyperlink>
        </w:p>
        <w:p w14:paraId="75E6939C" w14:textId="13A720A3" w:rsidR="00240FA3" w:rsidRDefault="00026B2A">
          <w:pPr>
            <w:pStyle w:val="TOC1"/>
            <w:rPr>
              <w:rFonts w:asciiTheme="minorHAnsi" w:hAnsiTheme="minorHAnsi"/>
              <w:b w:val="0"/>
              <w:bCs w:val="0"/>
              <w:caps w:val="0"/>
              <w:noProof/>
              <w:kern w:val="2"/>
              <w:sz w:val="24"/>
              <w:lang w:val="en-IE" w:eastAsia="en-IE"/>
              <w14:ligatures w14:val="standardContextual"/>
            </w:rPr>
          </w:pPr>
          <w:hyperlink w:anchor="_Toc211940626" w:history="1">
            <w:r w:rsidR="00240FA3" w:rsidRPr="00C2355C">
              <w:rPr>
                <w:rStyle w:val="Hyperlink"/>
                <w:rFonts w:cs="Times New Roman"/>
                <w:noProof/>
              </w:rPr>
              <w:t>II.</w:t>
            </w:r>
            <w:r w:rsidR="00240FA3">
              <w:rPr>
                <w:rFonts w:asciiTheme="minorHAnsi" w:hAnsiTheme="minorHAnsi"/>
                <w:b w:val="0"/>
                <w:bCs w:val="0"/>
                <w:caps w:val="0"/>
                <w:noProof/>
                <w:kern w:val="2"/>
                <w:sz w:val="24"/>
                <w:lang w:val="en-IE" w:eastAsia="en-IE"/>
                <w14:ligatures w14:val="standardContextual"/>
              </w:rPr>
              <w:tab/>
            </w:r>
            <w:r w:rsidR="00240FA3" w:rsidRPr="00C2355C">
              <w:rPr>
                <w:rStyle w:val="Hyperlink"/>
                <w:noProof/>
              </w:rPr>
              <w:t>ELi kahepoolsete kaubanduslepingute võimalikult tõhus rakendamine</w:t>
            </w:r>
            <w:r w:rsidR="00240FA3">
              <w:rPr>
                <w:noProof/>
                <w:webHidden/>
              </w:rPr>
              <w:tab/>
            </w:r>
            <w:r w:rsidR="00240FA3">
              <w:rPr>
                <w:noProof/>
                <w:webHidden/>
              </w:rPr>
              <w:fldChar w:fldCharType="begin"/>
            </w:r>
            <w:r w:rsidR="00240FA3">
              <w:rPr>
                <w:noProof/>
                <w:webHidden/>
              </w:rPr>
              <w:instrText xml:space="preserve"> PAGEREF _Toc211940626 \h </w:instrText>
            </w:r>
            <w:r w:rsidR="00240FA3">
              <w:rPr>
                <w:noProof/>
                <w:webHidden/>
              </w:rPr>
            </w:r>
            <w:r w:rsidR="00240FA3">
              <w:rPr>
                <w:noProof/>
                <w:webHidden/>
              </w:rPr>
              <w:fldChar w:fldCharType="separate"/>
            </w:r>
            <w:r w:rsidR="00240FA3">
              <w:rPr>
                <w:noProof/>
                <w:webHidden/>
              </w:rPr>
              <w:t>7</w:t>
            </w:r>
            <w:r w:rsidR="00240FA3">
              <w:rPr>
                <w:noProof/>
                <w:webHidden/>
              </w:rPr>
              <w:fldChar w:fldCharType="end"/>
            </w:r>
          </w:hyperlink>
        </w:p>
        <w:p w14:paraId="29B9B691" w14:textId="4D493810" w:rsidR="00240FA3" w:rsidRDefault="00026B2A">
          <w:pPr>
            <w:pStyle w:val="TOC2"/>
            <w:rPr>
              <w:rFonts w:asciiTheme="minorHAnsi" w:hAnsiTheme="minorHAnsi" w:cstheme="minorBidi"/>
              <w:b w:val="0"/>
              <w:bCs w:val="0"/>
              <w:noProof/>
              <w:kern w:val="2"/>
              <w:sz w:val="24"/>
              <w:szCs w:val="24"/>
              <w:lang w:val="en-IE" w:eastAsia="en-IE"/>
              <w14:ligatures w14:val="standardContextual"/>
            </w:rPr>
          </w:pPr>
          <w:hyperlink w:anchor="_Toc211940627" w:history="1">
            <w:r w:rsidR="00240FA3" w:rsidRPr="00C2355C">
              <w:rPr>
                <w:rStyle w:val="Hyperlink"/>
                <w:noProof/>
              </w:rPr>
              <w:t>II.2</w:t>
            </w:r>
            <w:r w:rsidR="00240FA3">
              <w:rPr>
                <w:rFonts w:asciiTheme="minorHAnsi" w:hAnsiTheme="minorHAnsi" w:cstheme="minorBidi"/>
                <w:b w:val="0"/>
                <w:bCs w:val="0"/>
                <w:noProof/>
                <w:kern w:val="2"/>
                <w:sz w:val="24"/>
                <w:szCs w:val="24"/>
                <w:lang w:val="en-IE" w:eastAsia="en-IE"/>
                <w14:ligatures w14:val="standardContextual"/>
              </w:rPr>
              <w:tab/>
            </w:r>
            <w:r w:rsidR="00240FA3" w:rsidRPr="00C2355C">
              <w:rPr>
                <w:rStyle w:val="Hyperlink"/>
                <w:noProof/>
              </w:rPr>
              <w:t>ELi kahepoolsete kaubanduslepingute rakendamine</w:t>
            </w:r>
            <w:r w:rsidR="00240FA3">
              <w:rPr>
                <w:noProof/>
                <w:webHidden/>
              </w:rPr>
              <w:tab/>
            </w:r>
            <w:r w:rsidR="00240FA3">
              <w:rPr>
                <w:noProof/>
                <w:webHidden/>
              </w:rPr>
              <w:fldChar w:fldCharType="begin"/>
            </w:r>
            <w:r w:rsidR="00240FA3">
              <w:rPr>
                <w:noProof/>
                <w:webHidden/>
              </w:rPr>
              <w:instrText xml:space="preserve"> PAGEREF _Toc211940627 \h </w:instrText>
            </w:r>
            <w:r w:rsidR="00240FA3">
              <w:rPr>
                <w:noProof/>
                <w:webHidden/>
              </w:rPr>
            </w:r>
            <w:r w:rsidR="00240FA3">
              <w:rPr>
                <w:noProof/>
                <w:webHidden/>
              </w:rPr>
              <w:fldChar w:fldCharType="separate"/>
            </w:r>
            <w:r w:rsidR="00240FA3">
              <w:rPr>
                <w:noProof/>
                <w:webHidden/>
              </w:rPr>
              <w:t>12</w:t>
            </w:r>
            <w:r w:rsidR="00240FA3">
              <w:rPr>
                <w:noProof/>
                <w:webHidden/>
              </w:rPr>
              <w:fldChar w:fldCharType="end"/>
            </w:r>
          </w:hyperlink>
        </w:p>
        <w:p w14:paraId="549DABEC" w14:textId="1700150C" w:rsidR="00240FA3" w:rsidRDefault="00026B2A">
          <w:pPr>
            <w:pStyle w:val="TOC1"/>
            <w:rPr>
              <w:rFonts w:asciiTheme="minorHAnsi" w:hAnsiTheme="minorHAnsi"/>
              <w:b w:val="0"/>
              <w:bCs w:val="0"/>
              <w:caps w:val="0"/>
              <w:noProof/>
              <w:kern w:val="2"/>
              <w:sz w:val="24"/>
              <w:lang w:val="en-IE" w:eastAsia="en-IE"/>
              <w14:ligatures w14:val="standardContextual"/>
            </w:rPr>
          </w:pPr>
          <w:hyperlink w:anchor="_Toc211940628" w:history="1">
            <w:r w:rsidR="00240FA3" w:rsidRPr="00C2355C">
              <w:rPr>
                <w:rStyle w:val="Hyperlink"/>
                <w:rFonts w:cs="Times New Roman"/>
                <w:noProof/>
              </w:rPr>
              <w:t>III.</w:t>
            </w:r>
            <w:r w:rsidR="00240FA3">
              <w:rPr>
                <w:rFonts w:asciiTheme="minorHAnsi" w:hAnsiTheme="minorHAnsi"/>
                <w:b w:val="0"/>
                <w:bCs w:val="0"/>
                <w:caps w:val="0"/>
                <w:noProof/>
                <w:kern w:val="2"/>
                <w:sz w:val="24"/>
                <w:lang w:val="en-IE" w:eastAsia="en-IE"/>
                <w14:ligatures w14:val="standardContextual"/>
              </w:rPr>
              <w:tab/>
            </w:r>
            <w:r w:rsidR="00240FA3" w:rsidRPr="00C2355C">
              <w:rPr>
                <w:rStyle w:val="Hyperlink"/>
                <w:noProof/>
              </w:rPr>
              <w:t>VKEde abistamine oma koha leidmisel maailmakaubanduses</w:t>
            </w:r>
            <w:r w:rsidR="00240FA3">
              <w:rPr>
                <w:noProof/>
                <w:webHidden/>
              </w:rPr>
              <w:tab/>
            </w:r>
            <w:r w:rsidR="00240FA3">
              <w:rPr>
                <w:noProof/>
                <w:webHidden/>
              </w:rPr>
              <w:fldChar w:fldCharType="begin"/>
            </w:r>
            <w:r w:rsidR="00240FA3">
              <w:rPr>
                <w:noProof/>
                <w:webHidden/>
              </w:rPr>
              <w:instrText xml:space="preserve"> PAGEREF _Toc211940628 \h </w:instrText>
            </w:r>
            <w:r w:rsidR="00240FA3">
              <w:rPr>
                <w:noProof/>
                <w:webHidden/>
              </w:rPr>
            </w:r>
            <w:r w:rsidR="00240FA3">
              <w:rPr>
                <w:noProof/>
                <w:webHidden/>
              </w:rPr>
              <w:fldChar w:fldCharType="separate"/>
            </w:r>
            <w:r w:rsidR="00240FA3">
              <w:rPr>
                <w:noProof/>
                <w:webHidden/>
              </w:rPr>
              <w:t>18</w:t>
            </w:r>
            <w:r w:rsidR="00240FA3">
              <w:rPr>
                <w:noProof/>
                <w:webHidden/>
              </w:rPr>
              <w:fldChar w:fldCharType="end"/>
            </w:r>
          </w:hyperlink>
        </w:p>
        <w:p w14:paraId="3FD94F02" w14:textId="0C2A0D3D" w:rsidR="00240FA3" w:rsidRDefault="00026B2A">
          <w:pPr>
            <w:pStyle w:val="TOC1"/>
            <w:rPr>
              <w:rFonts w:asciiTheme="minorHAnsi" w:hAnsiTheme="minorHAnsi"/>
              <w:b w:val="0"/>
              <w:bCs w:val="0"/>
              <w:caps w:val="0"/>
              <w:noProof/>
              <w:kern w:val="2"/>
              <w:sz w:val="24"/>
              <w:lang w:val="en-IE" w:eastAsia="en-IE"/>
              <w14:ligatures w14:val="standardContextual"/>
            </w:rPr>
          </w:pPr>
          <w:hyperlink w:anchor="_Toc211940629" w:history="1">
            <w:r w:rsidR="00240FA3" w:rsidRPr="00C2355C">
              <w:rPr>
                <w:rStyle w:val="Hyperlink"/>
                <w:noProof/>
              </w:rPr>
              <w:t>IV. Tõketega tegelemine ja lahenduste otsimine</w:t>
            </w:r>
            <w:r w:rsidR="00240FA3">
              <w:rPr>
                <w:noProof/>
                <w:webHidden/>
              </w:rPr>
              <w:tab/>
            </w:r>
            <w:r w:rsidR="00240FA3">
              <w:rPr>
                <w:noProof/>
                <w:webHidden/>
              </w:rPr>
              <w:fldChar w:fldCharType="begin"/>
            </w:r>
            <w:r w:rsidR="00240FA3">
              <w:rPr>
                <w:noProof/>
                <w:webHidden/>
              </w:rPr>
              <w:instrText xml:space="preserve"> PAGEREF _Toc211940629 \h </w:instrText>
            </w:r>
            <w:r w:rsidR="00240FA3">
              <w:rPr>
                <w:noProof/>
                <w:webHidden/>
              </w:rPr>
            </w:r>
            <w:r w:rsidR="00240FA3">
              <w:rPr>
                <w:noProof/>
                <w:webHidden/>
              </w:rPr>
              <w:fldChar w:fldCharType="separate"/>
            </w:r>
            <w:r w:rsidR="00240FA3">
              <w:rPr>
                <w:noProof/>
                <w:webHidden/>
              </w:rPr>
              <w:t>22</w:t>
            </w:r>
            <w:r w:rsidR="00240FA3">
              <w:rPr>
                <w:noProof/>
                <w:webHidden/>
              </w:rPr>
              <w:fldChar w:fldCharType="end"/>
            </w:r>
          </w:hyperlink>
        </w:p>
        <w:p w14:paraId="0EB8C424" w14:textId="60CAE966" w:rsidR="00240FA3" w:rsidRDefault="00026B2A">
          <w:pPr>
            <w:pStyle w:val="TOC2"/>
            <w:rPr>
              <w:rFonts w:asciiTheme="minorHAnsi" w:hAnsiTheme="minorHAnsi" w:cstheme="minorBidi"/>
              <w:b w:val="0"/>
              <w:bCs w:val="0"/>
              <w:noProof/>
              <w:kern w:val="2"/>
              <w:sz w:val="24"/>
              <w:szCs w:val="24"/>
              <w:lang w:val="en-IE" w:eastAsia="en-IE"/>
              <w14:ligatures w14:val="standardContextual"/>
            </w:rPr>
          </w:pPr>
          <w:hyperlink w:anchor="_Toc211940630" w:history="1">
            <w:r w:rsidR="00240FA3" w:rsidRPr="00C2355C">
              <w:rPr>
                <w:rStyle w:val="Hyperlink"/>
                <w:noProof/>
              </w:rPr>
              <w:t>IV.1</w:t>
            </w:r>
            <w:r w:rsidR="00240FA3">
              <w:rPr>
                <w:rFonts w:asciiTheme="minorHAnsi" w:hAnsiTheme="minorHAnsi" w:cstheme="minorBidi"/>
                <w:b w:val="0"/>
                <w:bCs w:val="0"/>
                <w:noProof/>
                <w:kern w:val="2"/>
                <w:sz w:val="24"/>
                <w:szCs w:val="24"/>
                <w:lang w:val="en-IE" w:eastAsia="en-IE"/>
                <w14:ligatures w14:val="standardContextual"/>
              </w:rPr>
              <w:tab/>
            </w:r>
            <w:r w:rsidR="00240FA3" w:rsidRPr="00C2355C">
              <w:rPr>
                <w:rStyle w:val="Hyperlink"/>
                <w:noProof/>
              </w:rPr>
              <w:t>Olukord ja suundumused 2024. aastal</w:t>
            </w:r>
            <w:r w:rsidR="00240FA3">
              <w:rPr>
                <w:noProof/>
                <w:webHidden/>
              </w:rPr>
              <w:tab/>
            </w:r>
            <w:r w:rsidR="00240FA3">
              <w:rPr>
                <w:noProof/>
                <w:webHidden/>
              </w:rPr>
              <w:fldChar w:fldCharType="begin"/>
            </w:r>
            <w:r w:rsidR="00240FA3">
              <w:rPr>
                <w:noProof/>
                <w:webHidden/>
              </w:rPr>
              <w:instrText xml:space="preserve"> PAGEREF _Toc211940630 \h </w:instrText>
            </w:r>
            <w:r w:rsidR="00240FA3">
              <w:rPr>
                <w:noProof/>
                <w:webHidden/>
              </w:rPr>
            </w:r>
            <w:r w:rsidR="00240FA3">
              <w:rPr>
                <w:noProof/>
                <w:webHidden/>
              </w:rPr>
              <w:fldChar w:fldCharType="separate"/>
            </w:r>
            <w:r w:rsidR="00240FA3">
              <w:rPr>
                <w:noProof/>
                <w:webHidden/>
              </w:rPr>
              <w:t>22</w:t>
            </w:r>
            <w:r w:rsidR="00240FA3">
              <w:rPr>
                <w:noProof/>
                <w:webHidden/>
              </w:rPr>
              <w:fldChar w:fldCharType="end"/>
            </w:r>
          </w:hyperlink>
        </w:p>
        <w:p w14:paraId="61494655" w14:textId="06D5875E" w:rsidR="00240FA3" w:rsidRDefault="00026B2A">
          <w:pPr>
            <w:pStyle w:val="TOC2"/>
            <w:rPr>
              <w:rFonts w:asciiTheme="minorHAnsi" w:hAnsiTheme="minorHAnsi" w:cstheme="minorBidi"/>
              <w:b w:val="0"/>
              <w:bCs w:val="0"/>
              <w:noProof/>
              <w:kern w:val="2"/>
              <w:sz w:val="24"/>
              <w:szCs w:val="24"/>
              <w:lang w:val="en-IE" w:eastAsia="en-IE"/>
              <w14:ligatures w14:val="standardContextual"/>
            </w:rPr>
          </w:pPr>
          <w:hyperlink w:anchor="_Toc211940631" w:history="1">
            <w:r w:rsidR="00240FA3" w:rsidRPr="00C2355C">
              <w:rPr>
                <w:rStyle w:val="Hyperlink"/>
                <w:noProof/>
              </w:rPr>
              <w:t>IV.2</w:t>
            </w:r>
            <w:r w:rsidR="00240FA3">
              <w:rPr>
                <w:rFonts w:asciiTheme="minorHAnsi" w:hAnsiTheme="minorHAnsi" w:cstheme="minorBidi"/>
                <w:b w:val="0"/>
                <w:bCs w:val="0"/>
                <w:noProof/>
                <w:kern w:val="2"/>
                <w:sz w:val="24"/>
                <w:szCs w:val="24"/>
                <w:lang w:val="en-IE" w:eastAsia="en-IE"/>
                <w14:ligatures w14:val="standardContextual"/>
              </w:rPr>
              <w:tab/>
            </w:r>
            <w:r w:rsidR="00240FA3" w:rsidRPr="00C2355C">
              <w:rPr>
                <w:rStyle w:val="Hyperlink"/>
                <w:noProof/>
              </w:rPr>
              <w:t>Kahepoolne ja mitmepoolne kaubanduskohustuste täitmise tagamine – vaidluste lahendamine</w:t>
            </w:r>
            <w:r w:rsidR="00240FA3">
              <w:rPr>
                <w:noProof/>
                <w:webHidden/>
              </w:rPr>
              <w:tab/>
            </w:r>
            <w:r w:rsidR="00240FA3">
              <w:rPr>
                <w:noProof/>
                <w:webHidden/>
              </w:rPr>
              <w:fldChar w:fldCharType="begin"/>
            </w:r>
            <w:r w:rsidR="00240FA3">
              <w:rPr>
                <w:noProof/>
                <w:webHidden/>
              </w:rPr>
              <w:instrText xml:space="preserve"> PAGEREF _Toc211940631 \h </w:instrText>
            </w:r>
            <w:r w:rsidR="00240FA3">
              <w:rPr>
                <w:noProof/>
                <w:webHidden/>
              </w:rPr>
            </w:r>
            <w:r w:rsidR="00240FA3">
              <w:rPr>
                <w:noProof/>
                <w:webHidden/>
              </w:rPr>
              <w:fldChar w:fldCharType="separate"/>
            </w:r>
            <w:r w:rsidR="00240FA3">
              <w:rPr>
                <w:noProof/>
                <w:webHidden/>
              </w:rPr>
              <w:t>30</w:t>
            </w:r>
            <w:r w:rsidR="00240FA3">
              <w:rPr>
                <w:noProof/>
                <w:webHidden/>
              </w:rPr>
              <w:fldChar w:fldCharType="end"/>
            </w:r>
          </w:hyperlink>
        </w:p>
        <w:p w14:paraId="531C1FFE" w14:textId="3F9A52E3" w:rsidR="00240FA3" w:rsidRDefault="00026B2A">
          <w:pPr>
            <w:pStyle w:val="TOC2"/>
            <w:rPr>
              <w:rFonts w:asciiTheme="minorHAnsi" w:hAnsiTheme="minorHAnsi" w:cstheme="minorBidi"/>
              <w:b w:val="0"/>
              <w:bCs w:val="0"/>
              <w:noProof/>
              <w:kern w:val="2"/>
              <w:sz w:val="24"/>
              <w:szCs w:val="24"/>
              <w:lang w:val="en-IE" w:eastAsia="en-IE"/>
              <w14:ligatures w14:val="standardContextual"/>
            </w:rPr>
          </w:pPr>
          <w:hyperlink w:anchor="_Toc211940632" w:history="1">
            <w:r w:rsidR="00240FA3" w:rsidRPr="00C2355C">
              <w:rPr>
                <w:rStyle w:val="Hyperlink"/>
                <w:noProof/>
              </w:rPr>
              <w:t>IV.3</w:t>
            </w:r>
            <w:r w:rsidR="00240FA3">
              <w:rPr>
                <w:rFonts w:asciiTheme="minorHAnsi" w:hAnsiTheme="minorHAnsi" w:cstheme="minorBidi"/>
                <w:b w:val="0"/>
                <w:bCs w:val="0"/>
                <w:noProof/>
                <w:kern w:val="2"/>
                <w:sz w:val="24"/>
                <w:szCs w:val="24"/>
                <w:lang w:val="en-IE" w:eastAsia="en-IE"/>
                <w14:ligatures w14:val="standardContextual"/>
              </w:rPr>
              <w:tab/>
            </w:r>
            <w:r w:rsidR="00240FA3" w:rsidRPr="00C2355C">
              <w:rPr>
                <w:rStyle w:val="Hyperlink"/>
                <w:noProof/>
              </w:rPr>
              <w:t>Ühtne kontaktpunkt</w:t>
            </w:r>
            <w:r w:rsidR="00240FA3">
              <w:rPr>
                <w:noProof/>
                <w:webHidden/>
              </w:rPr>
              <w:tab/>
            </w:r>
            <w:r w:rsidR="00240FA3">
              <w:rPr>
                <w:noProof/>
                <w:webHidden/>
              </w:rPr>
              <w:fldChar w:fldCharType="begin"/>
            </w:r>
            <w:r w:rsidR="00240FA3">
              <w:rPr>
                <w:noProof/>
                <w:webHidden/>
              </w:rPr>
              <w:instrText xml:space="preserve"> PAGEREF _Toc211940632 \h </w:instrText>
            </w:r>
            <w:r w:rsidR="00240FA3">
              <w:rPr>
                <w:noProof/>
                <w:webHidden/>
              </w:rPr>
            </w:r>
            <w:r w:rsidR="00240FA3">
              <w:rPr>
                <w:noProof/>
                <w:webHidden/>
              </w:rPr>
              <w:fldChar w:fldCharType="separate"/>
            </w:r>
            <w:r w:rsidR="00240FA3">
              <w:rPr>
                <w:noProof/>
                <w:webHidden/>
              </w:rPr>
              <w:t>32</w:t>
            </w:r>
            <w:r w:rsidR="00240FA3">
              <w:rPr>
                <w:noProof/>
                <w:webHidden/>
              </w:rPr>
              <w:fldChar w:fldCharType="end"/>
            </w:r>
          </w:hyperlink>
        </w:p>
        <w:p w14:paraId="27B9EEEB" w14:textId="79042970" w:rsidR="00607B30" w:rsidRPr="00607B30" w:rsidRDefault="00607B30" w:rsidP="00607B30">
          <w:pPr>
            <w:rPr>
              <w:noProof/>
            </w:rPr>
          </w:pPr>
          <w:r>
            <w:rPr>
              <w:b/>
              <w:noProof/>
            </w:rPr>
            <w:fldChar w:fldCharType="end"/>
          </w:r>
        </w:p>
      </w:sdtContent>
    </w:sdt>
    <w:p w14:paraId="230F6725" w14:textId="77777777" w:rsidR="00607B30" w:rsidRPr="00607B30" w:rsidRDefault="00607B30" w:rsidP="00607B30">
      <w:pPr>
        <w:rPr>
          <w:rFonts w:ascii="Times New Roman" w:hAnsi="Times New Roman"/>
          <w:b/>
          <w:noProof/>
          <w:sz w:val="32"/>
        </w:rPr>
      </w:pPr>
      <w:r>
        <w:rPr>
          <w:noProof/>
        </w:rPr>
        <w:br w:type="page"/>
      </w:r>
    </w:p>
    <w:p w14:paraId="36750288" w14:textId="77777777" w:rsidR="00BA7CEF" w:rsidRPr="00955CE4" w:rsidRDefault="00BA7CEF" w:rsidP="00BA7CEF">
      <w:pPr>
        <w:rPr>
          <w:rFonts w:ascii="Times New Roman" w:hAnsi="Times New Roman"/>
          <w:noProof/>
          <w:sz w:val="24"/>
        </w:rPr>
        <w:sectPr w:rsidR="00BA7CEF" w:rsidRPr="00955CE4" w:rsidSect="00C61384">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1"/>
          <w:cols w:space="720"/>
          <w:docGrid w:linePitch="360"/>
        </w:sectPr>
      </w:pPr>
    </w:p>
    <w:p w14:paraId="420014B2" w14:textId="167DFAC8" w:rsidR="00811161" w:rsidRPr="00570F0D" w:rsidRDefault="00811161" w:rsidP="00811161">
      <w:pPr>
        <w:pStyle w:val="Style1"/>
        <w:numPr>
          <w:ilvl w:val="0"/>
          <w:numId w:val="15"/>
        </w:numPr>
        <w:rPr>
          <w:rFonts w:cs="Times New Roman"/>
          <w:noProof/>
          <w:szCs w:val="32"/>
        </w:rPr>
      </w:pPr>
      <w:bookmarkStart w:id="4" w:name="_Toc211940625"/>
      <w:bookmarkEnd w:id="0"/>
      <w:r>
        <w:rPr>
          <w:noProof/>
        </w:rPr>
        <w:t>Kokkuvõte</w:t>
      </w:r>
      <w:bookmarkEnd w:id="4"/>
    </w:p>
    <w:p w14:paraId="7D17980F" w14:textId="2CE7E023" w:rsidR="00193DF0" w:rsidRPr="00756E4E" w:rsidRDefault="00193DF0" w:rsidP="009B1784">
      <w:pPr>
        <w:spacing w:after="0"/>
        <w:rPr>
          <w:rFonts w:ascii="Times New Roman" w:hAnsi="Times New Roman"/>
          <w:i/>
          <w:noProof/>
          <w:sz w:val="24"/>
        </w:rPr>
      </w:pPr>
    </w:p>
    <w:p w14:paraId="347105B5" w14:textId="7CB9421C" w:rsidR="00491EBF" w:rsidRPr="00756E4E" w:rsidRDefault="00F860CC" w:rsidP="004F7E9B">
      <w:pPr>
        <w:rPr>
          <w:rFonts w:ascii="Times New Roman" w:hAnsi="Times New Roman"/>
          <w:noProof/>
          <w:sz w:val="24"/>
        </w:rPr>
      </w:pPr>
      <w:r>
        <w:rPr>
          <w:rFonts w:ascii="Times New Roman" w:hAnsi="Times New Roman"/>
          <w:noProof/>
          <w:sz w:val="24"/>
        </w:rPr>
        <w:t>Viimastel aastatel on toimunud oluline nihe üleilmses geopoliitilises paradigmas, mille tulemusel on muutunud ELi kaubanduspoliitika rakendamine ja täitmise tagamine.</w:t>
      </w:r>
    </w:p>
    <w:p w14:paraId="196BECF2" w14:textId="5C7CDCC2" w:rsidR="001A093F" w:rsidRPr="00756E4E" w:rsidRDefault="6664BDA5" w:rsidP="00756E4E">
      <w:pPr>
        <w:jc w:val="both"/>
        <w:rPr>
          <w:rFonts w:ascii="Times New Roman" w:hAnsi="Times New Roman"/>
          <w:b/>
          <w:noProof/>
          <w:sz w:val="24"/>
        </w:rPr>
      </w:pPr>
      <w:r>
        <w:rPr>
          <w:rFonts w:ascii="Times New Roman" w:hAnsi="Times New Roman"/>
          <w:noProof/>
          <w:sz w:val="24"/>
        </w:rPr>
        <w:t xml:space="preserve">Käesolev viies aruanne ELi kaubanduspoliitika rakendamise ja täitmise tagamise kohta peegeldab ühiseid jõupingutusi kaubandussuhete ümberhäälestamiseks ja tugevdamiseks, koostööpartnerluste loomiseks ning üha killustatumas ja keerukamas maailmas orienteerumiseks, näidates kaubanduse horisontaalset rolli </w:t>
      </w:r>
      <w:r>
        <w:rPr>
          <w:rFonts w:ascii="Times New Roman" w:hAnsi="Times New Roman"/>
          <w:b/>
          <w:noProof/>
          <w:sz w:val="24"/>
        </w:rPr>
        <w:t>konkurentsivõime, julgeoleku ja kestlikkuse toetamisel</w:t>
      </w:r>
      <w:r>
        <w:rPr>
          <w:rFonts w:ascii="Times New Roman" w:hAnsi="Times New Roman"/>
          <w:noProof/>
          <w:sz w:val="24"/>
        </w:rPr>
        <w:t>.</w:t>
      </w:r>
    </w:p>
    <w:p w14:paraId="06FF8E03" w14:textId="1009BF7E" w:rsidR="00964A14" w:rsidRPr="00756E4E" w:rsidRDefault="003046A2" w:rsidP="004F7E9B">
      <w:pPr>
        <w:rPr>
          <w:rFonts w:ascii="Times New Roman" w:hAnsi="Times New Roman"/>
          <w:i/>
          <w:noProof/>
          <w:sz w:val="24"/>
        </w:rPr>
      </w:pPr>
      <w:bookmarkStart w:id="5" w:name="_Hlk202884444"/>
      <w:r>
        <w:rPr>
          <w:rFonts w:ascii="Times New Roman" w:hAnsi="Times New Roman"/>
          <w:b/>
          <w:i/>
          <w:noProof/>
          <w:sz w:val="24"/>
        </w:rPr>
        <w:t>Kaubanduslepingud on aidanud tugevdada ELi konkurentsivõimet üleilmsel tasandil</w:t>
      </w:r>
    </w:p>
    <w:p w14:paraId="472840A2" w14:textId="369ABCED" w:rsidR="009378FE" w:rsidRPr="00756E4E" w:rsidRDefault="00FF03CA" w:rsidP="00756E4E">
      <w:pPr>
        <w:spacing w:after="0"/>
        <w:jc w:val="both"/>
        <w:rPr>
          <w:rFonts w:ascii="Times New Roman" w:hAnsi="Times New Roman"/>
          <w:noProof/>
          <w:sz w:val="24"/>
        </w:rPr>
      </w:pPr>
      <w:bookmarkStart w:id="6" w:name="_Hlk202885426"/>
      <w:r>
        <w:rPr>
          <w:rFonts w:ascii="Times New Roman" w:hAnsi="Times New Roman"/>
          <w:noProof/>
          <w:sz w:val="24"/>
        </w:rPr>
        <w:t xml:space="preserve">Majandusliku ebakindluse ajal on kaubanduslepingud aidanud </w:t>
      </w:r>
      <w:bookmarkStart w:id="7" w:name="_Hlk200629330"/>
      <w:r>
        <w:rPr>
          <w:rFonts w:ascii="Times New Roman" w:hAnsi="Times New Roman"/>
          <w:noProof/>
          <w:sz w:val="24"/>
        </w:rPr>
        <w:t>suurendada ELi ettevõtjate juurdepääsu kolmandate riikide turgudele ning ELi eksporti olulistes sektorites, nagu näitavad järgmised näited:</w:t>
      </w:r>
    </w:p>
    <w:p w14:paraId="5BA893A2" w14:textId="77777777" w:rsidR="009378FE" w:rsidRPr="00756E4E" w:rsidRDefault="009378FE" w:rsidP="006A540F">
      <w:pPr>
        <w:spacing w:after="0"/>
        <w:rPr>
          <w:rFonts w:ascii="Times New Roman" w:hAnsi="Times New Roman"/>
          <w:noProof/>
          <w:sz w:val="24"/>
        </w:rPr>
      </w:pPr>
    </w:p>
    <w:p w14:paraId="5D727604" w14:textId="0692D3A0" w:rsidR="009378FE" w:rsidRPr="00756E4E" w:rsidRDefault="009378FE" w:rsidP="00756E4E">
      <w:pPr>
        <w:pStyle w:val="ListParagraph"/>
        <w:numPr>
          <w:ilvl w:val="0"/>
          <w:numId w:val="48"/>
        </w:numPr>
        <w:spacing w:after="0"/>
        <w:jc w:val="both"/>
        <w:rPr>
          <w:rFonts w:ascii="Times New Roman" w:hAnsi="Times New Roman"/>
          <w:noProof/>
          <w:sz w:val="24"/>
        </w:rPr>
      </w:pPr>
      <w:r>
        <w:rPr>
          <w:rFonts w:ascii="Times New Roman" w:hAnsi="Times New Roman"/>
          <w:noProof/>
          <w:sz w:val="24"/>
        </w:rPr>
        <w:t xml:space="preserve">ELi kaupade eksport </w:t>
      </w:r>
      <w:r>
        <w:rPr>
          <w:rFonts w:ascii="Times New Roman" w:hAnsi="Times New Roman"/>
          <w:b/>
          <w:noProof/>
          <w:sz w:val="24"/>
        </w:rPr>
        <w:t>Kanadasse</w:t>
      </w:r>
      <w:r>
        <w:rPr>
          <w:rFonts w:ascii="Times New Roman" w:hAnsi="Times New Roman"/>
          <w:noProof/>
          <w:sz w:val="24"/>
        </w:rPr>
        <w:t xml:space="preserve"> on alates sellest, kui 2017. aasta septembris hakati ajutiselt kohaldama laiaulatuslikku majandus- ja kaubanduslepingut (CETA), suurenenud 51 %. Samal ajavahemikul kasvas ELi eksport ülejäänud maailma 20 %. Kasvule andis tõuke põllumajandussektor, mille eksport suurenes 40 %, kusjuures ELi veinieksport Kanadasse kasvas 22 % ja juustueksport 97 %</w:t>
      </w:r>
      <w:r>
        <w:rPr>
          <w:rStyle w:val="FootnoteReference"/>
          <w:rFonts w:ascii="Times New Roman" w:hAnsi="Times New Roman"/>
          <w:noProof/>
          <w:sz w:val="24"/>
        </w:rPr>
        <w:footnoteReference w:id="2"/>
      </w:r>
      <w:r>
        <w:rPr>
          <w:rFonts w:ascii="Times New Roman" w:hAnsi="Times New Roman"/>
          <w:noProof/>
          <w:sz w:val="24"/>
        </w:rPr>
        <w:t>;</w:t>
      </w:r>
    </w:p>
    <w:bookmarkEnd w:id="5"/>
    <w:bookmarkEnd w:id="6"/>
    <w:bookmarkEnd w:id="7"/>
    <w:p w14:paraId="5110DA3A" w14:textId="6B8A940B" w:rsidR="00321891" w:rsidRPr="00756E4E" w:rsidRDefault="00321891" w:rsidP="00321891">
      <w:pPr>
        <w:spacing w:after="0"/>
        <w:rPr>
          <w:rFonts w:ascii="Times New Roman" w:hAnsi="Times New Roman"/>
          <w:noProof/>
        </w:rPr>
      </w:pPr>
    </w:p>
    <w:p w14:paraId="625B856B" w14:textId="40A74B7D" w:rsidR="006A540F" w:rsidRPr="00756E4E" w:rsidRDefault="00321891" w:rsidP="00756E4E">
      <w:pPr>
        <w:pStyle w:val="ListParagraph"/>
        <w:numPr>
          <w:ilvl w:val="0"/>
          <w:numId w:val="30"/>
        </w:numPr>
        <w:spacing w:after="0"/>
        <w:jc w:val="both"/>
        <w:rPr>
          <w:rFonts w:ascii="Times New Roman" w:hAnsi="Times New Roman"/>
          <w:noProof/>
          <w:sz w:val="24"/>
        </w:rPr>
      </w:pPr>
      <w:r>
        <w:rPr>
          <w:rFonts w:ascii="Times New Roman" w:hAnsi="Times New Roman"/>
          <w:noProof/>
          <w:sz w:val="24"/>
        </w:rPr>
        <w:t xml:space="preserve">ELi eksport </w:t>
      </w:r>
      <w:r>
        <w:rPr>
          <w:rFonts w:ascii="Times New Roman" w:hAnsi="Times New Roman"/>
          <w:b/>
          <w:noProof/>
          <w:sz w:val="24"/>
        </w:rPr>
        <w:t>Jaapanisse</w:t>
      </w:r>
      <w:r>
        <w:rPr>
          <w:rFonts w:ascii="Times New Roman" w:hAnsi="Times New Roman"/>
          <w:noProof/>
          <w:sz w:val="24"/>
        </w:rPr>
        <w:t xml:space="preserve"> on alates sellest, kui 2019. aastal jõustus ELi ja Jaapani majanduspartnerlusleping, kasvanud hinnanguliselt 267 miljoni euro võrra. Sektorid, mis on sellest kasu saanud, on muu hulgas vein, joogid ja töödeldud põllumajanduslikud toiduained, loomsed tooted (välja arvatud sealiha), põllukultuurid ja taimset päritolu tooted;</w:t>
      </w:r>
    </w:p>
    <w:p w14:paraId="59F88F87" w14:textId="77777777" w:rsidR="000B69F7" w:rsidRPr="00756E4E" w:rsidRDefault="000B69F7" w:rsidP="000B69F7">
      <w:pPr>
        <w:pStyle w:val="ListParagraph"/>
        <w:rPr>
          <w:rFonts w:ascii="Times New Roman" w:hAnsi="Times New Roman"/>
          <w:noProof/>
          <w:sz w:val="24"/>
        </w:rPr>
      </w:pPr>
    </w:p>
    <w:p w14:paraId="32812F21" w14:textId="0279DC82" w:rsidR="00321891" w:rsidRPr="00756E4E" w:rsidRDefault="006A540F" w:rsidP="00756E4E">
      <w:pPr>
        <w:pStyle w:val="ListParagraph"/>
        <w:numPr>
          <w:ilvl w:val="0"/>
          <w:numId w:val="30"/>
        </w:numPr>
        <w:jc w:val="both"/>
        <w:rPr>
          <w:rFonts w:ascii="Times New Roman" w:hAnsi="Times New Roman"/>
          <w:noProof/>
          <w:sz w:val="24"/>
        </w:rPr>
      </w:pPr>
      <w:r>
        <w:rPr>
          <w:rFonts w:ascii="Times New Roman" w:hAnsi="Times New Roman"/>
          <w:noProof/>
          <w:sz w:val="24"/>
        </w:rPr>
        <w:t xml:space="preserve">ELi ettevõtjad on täheldanud umbes 4 miljardi euro väärtuses suurenenud kaubavahetust </w:t>
      </w:r>
      <w:r>
        <w:rPr>
          <w:rFonts w:ascii="Times New Roman" w:hAnsi="Times New Roman"/>
          <w:b/>
          <w:noProof/>
          <w:sz w:val="24"/>
        </w:rPr>
        <w:t>Andide riikidega – eelkõige Colombia, Peruu ja Ecuadoriga</w:t>
      </w:r>
      <w:r>
        <w:rPr>
          <w:rFonts w:ascii="Times New Roman" w:hAnsi="Times New Roman"/>
          <w:noProof/>
          <w:sz w:val="24"/>
        </w:rPr>
        <w:t> –, mis tuleneb otseselt ELi vabakaubanduslepingust, mida hakati ajutiselt kohaldama 2013. aastal Colombia ja Peruuga ning 2017. aastal Ecuadoriga.</w:t>
      </w:r>
    </w:p>
    <w:p w14:paraId="2761CE70" w14:textId="77777777" w:rsidR="00321891" w:rsidRPr="00756E4E" w:rsidRDefault="00321891" w:rsidP="000B69F7">
      <w:pPr>
        <w:pStyle w:val="ListParagraph"/>
        <w:spacing w:after="0"/>
        <w:rPr>
          <w:rFonts w:ascii="Times New Roman" w:hAnsi="Times New Roman"/>
          <w:noProof/>
          <w:sz w:val="24"/>
        </w:rPr>
      </w:pPr>
    </w:p>
    <w:p w14:paraId="37F67A80" w14:textId="41B50717" w:rsidR="00D033DB" w:rsidRPr="00756E4E" w:rsidRDefault="00FF03CA" w:rsidP="00756E4E">
      <w:pPr>
        <w:spacing w:after="0"/>
        <w:jc w:val="both"/>
        <w:rPr>
          <w:rFonts w:ascii="Times New Roman" w:hAnsi="Times New Roman"/>
          <w:b/>
          <w:noProof/>
          <w:sz w:val="24"/>
        </w:rPr>
      </w:pPr>
      <w:r>
        <w:rPr>
          <w:rFonts w:ascii="Times New Roman" w:hAnsi="Times New Roman"/>
          <w:noProof/>
          <w:sz w:val="24"/>
        </w:rPr>
        <w:t xml:space="preserve">Samuti on ELi uuematel lepingutel, millega toetatakse investeeringuid ja edendatakse ELi eeskirjade ja standardite kasutamist ning tagatakse seeläbi võrdsed tingimused, olnud positiivne mõju väikestele ja keskmise suurusega ettevõtjatele </w:t>
      </w:r>
      <w:r>
        <w:rPr>
          <w:rFonts w:ascii="Times New Roman" w:hAnsi="Times New Roman"/>
          <w:b/>
          <w:noProof/>
          <w:sz w:val="24"/>
        </w:rPr>
        <w:t>(VKEdele) ning nende laienemisele väljapoole ELi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See on olnud hädavajalik ELi rohkem kui </w:t>
      </w:r>
      <w:r>
        <w:rPr>
          <w:rFonts w:ascii="Times New Roman" w:hAnsi="Times New Roman"/>
          <w:b/>
          <w:noProof/>
          <w:sz w:val="24"/>
        </w:rPr>
        <w:t>680 000 VKE-le, kes tegelevad ekspordiga</w:t>
      </w:r>
      <w:r>
        <w:rPr>
          <w:rFonts w:ascii="Times New Roman" w:hAnsi="Times New Roman"/>
          <w:noProof/>
          <w:sz w:val="24"/>
        </w:rPr>
        <w:t xml:space="preserve"> ja moodustavad 95 % kõigist eksportivatest ELi ettevõtjatest.</w:t>
      </w:r>
    </w:p>
    <w:p w14:paraId="26CF1E68" w14:textId="77777777" w:rsidR="00D033DB" w:rsidRPr="00756E4E" w:rsidRDefault="00D033DB" w:rsidP="00A82AB5">
      <w:pPr>
        <w:spacing w:after="0"/>
        <w:rPr>
          <w:rFonts w:ascii="Times New Roman" w:hAnsi="Times New Roman"/>
          <w:b/>
          <w:noProof/>
          <w:sz w:val="24"/>
        </w:rPr>
      </w:pPr>
    </w:p>
    <w:p w14:paraId="0FC9259D" w14:textId="7DBFAD45" w:rsidR="00745F0D" w:rsidRPr="00756E4E" w:rsidRDefault="00D033DB" w:rsidP="00756E4E">
      <w:pPr>
        <w:spacing w:after="0"/>
        <w:jc w:val="both"/>
        <w:rPr>
          <w:rFonts w:ascii="Times New Roman" w:hAnsi="Times New Roman"/>
          <w:b/>
          <w:i/>
          <w:noProof/>
          <w:sz w:val="24"/>
        </w:rPr>
      </w:pPr>
      <w:r>
        <w:rPr>
          <w:rFonts w:ascii="Times New Roman" w:hAnsi="Times New Roman"/>
          <w:noProof/>
          <w:sz w:val="24"/>
        </w:rPr>
        <w:t xml:space="preserve">Hiljutise komisjoni tellitud </w:t>
      </w:r>
      <w:r>
        <w:rPr>
          <w:rFonts w:ascii="Times New Roman" w:hAnsi="Times New Roman"/>
          <w:b/>
          <w:noProof/>
          <w:sz w:val="24"/>
        </w:rPr>
        <w:t>CETA lepingu järelhindamise</w:t>
      </w:r>
      <w:r>
        <w:rPr>
          <w:rStyle w:val="FootnoteReference"/>
          <w:noProof/>
        </w:rPr>
        <w:footnoteReference w:id="3"/>
      </w:r>
      <w:r>
        <w:rPr>
          <w:rFonts w:ascii="Times New Roman" w:hAnsi="Times New Roman"/>
          <w:noProof/>
          <w:sz w:val="24"/>
        </w:rPr>
        <w:t xml:space="preserve"> käigus võrreldi Kanada turule eksportivate ELi VKEde arvu protsentuaalset kasvu CETA lepingule eelnenud aastatel (2012–2016) ja nende protsentuaalset kasvu esimese viie aasta jooksul pärast seda, kui CETAt ajutiselt kohaldama hakati (2017–2022). Uuringus järeldati, et Kanadasse eksportivate ELi VKEde arv kasvas 20,3 %, mis ületas ka suuremate ettevõtjate ekspordi kasvu (13,8 %).</w:t>
      </w:r>
    </w:p>
    <w:p w14:paraId="3CBDE61D" w14:textId="77777777" w:rsidR="00745F0D" w:rsidRPr="00756E4E" w:rsidRDefault="00745F0D" w:rsidP="00756E4E">
      <w:pPr>
        <w:spacing w:after="0"/>
        <w:rPr>
          <w:rFonts w:ascii="Times New Roman" w:hAnsi="Times New Roman"/>
          <w:b/>
          <w:i/>
          <w:noProof/>
          <w:sz w:val="24"/>
        </w:rPr>
      </w:pPr>
    </w:p>
    <w:p w14:paraId="5A125E8E" w14:textId="6D68137B" w:rsidR="001425C6" w:rsidRPr="00756E4E" w:rsidRDefault="001425C6" w:rsidP="00756E4E">
      <w:pPr>
        <w:spacing w:after="0"/>
        <w:rPr>
          <w:rFonts w:ascii="Times New Roman" w:hAnsi="Times New Roman"/>
          <w:b/>
          <w:i/>
          <w:noProof/>
          <w:sz w:val="24"/>
        </w:rPr>
      </w:pPr>
      <w:r>
        <w:rPr>
          <w:rFonts w:ascii="Times New Roman" w:hAnsi="Times New Roman"/>
          <w:b/>
          <w:i/>
          <w:noProof/>
          <w:sz w:val="24"/>
        </w:rPr>
        <w:t>Kaubanduslepingud on ka suurendanud ELi majanduse vastupanuvõimet ja aidanud ELi majandust mitmekesistada.</w:t>
      </w:r>
    </w:p>
    <w:p w14:paraId="3FAD37C4" w14:textId="77777777" w:rsidR="00745F0D" w:rsidRPr="00570F0D" w:rsidRDefault="00745F0D" w:rsidP="00745F0D">
      <w:pPr>
        <w:spacing w:after="0"/>
        <w:jc w:val="both"/>
        <w:rPr>
          <w:rFonts w:ascii="Times New Roman" w:hAnsi="Times New Roman" w:cs="Times New Roman"/>
          <w:noProof/>
          <w:sz w:val="24"/>
          <w:szCs w:val="24"/>
        </w:rPr>
      </w:pPr>
    </w:p>
    <w:p w14:paraId="0DC25152" w14:textId="04E04E5D" w:rsidR="001425C6" w:rsidRPr="00756E4E" w:rsidRDefault="001425C6" w:rsidP="00756E4E">
      <w:pPr>
        <w:jc w:val="both"/>
        <w:rPr>
          <w:rFonts w:ascii="Times New Roman" w:hAnsi="Times New Roman"/>
          <w:noProof/>
          <w:sz w:val="24"/>
        </w:rPr>
      </w:pPr>
      <w:r>
        <w:rPr>
          <w:rFonts w:ascii="Times New Roman" w:hAnsi="Times New Roman"/>
          <w:noProof/>
          <w:sz w:val="24"/>
        </w:rPr>
        <w:t xml:space="preserve">ELi kaubanduspoliitika eesmärkide elluviimine kui osa ELi poliitikavahendite kooskõlastatud tervikust toetab ka </w:t>
      </w:r>
      <w:r>
        <w:rPr>
          <w:rFonts w:ascii="Times New Roman" w:hAnsi="Times New Roman"/>
          <w:b/>
          <w:noProof/>
          <w:sz w:val="24"/>
        </w:rPr>
        <w:t>teatavate sektorite</w:t>
      </w:r>
      <w:r>
        <w:rPr>
          <w:rFonts w:ascii="Times New Roman" w:hAnsi="Times New Roman"/>
          <w:noProof/>
          <w:sz w:val="24"/>
        </w:rPr>
        <w:t xml:space="preserve"> laiemat ümberkujundamist.</w:t>
      </w:r>
    </w:p>
    <w:p w14:paraId="7FF7E632" w14:textId="31D1B29F" w:rsidR="00305F63" w:rsidRPr="00756E4E" w:rsidRDefault="001425C6" w:rsidP="00756E4E">
      <w:pPr>
        <w:pStyle w:val="ListParagraph"/>
        <w:numPr>
          <w:ilvl w:val="0"/>
          <w:numId w:val="18"/>
        </w:numPr>
        <w:jc w:val="both"/>
        <w:rPr>
          <w:rFonts w:ascii="Times New Roman" w:hAnsi="Times New Roman"/>
          <w:noProof/>
          <w:sz w:val="24"/>
        </w:rPr>
      </w:pPr>
      <w:r>
        <w:rPr>
          <w:rFonts w:ascii="Times New Roman" w:hAnsi="Times New Roman"/>
          <w:noProof/>
          <w:sz w:val="24"/>
          <w:u w:val="single"/>
        </w:rPr>
        <w:t>Tööstussektor / autotööstus</w:t>
      </w:r>
      <w:r>
        <w:rPr>
          <w:rFonts w:ascii="Times New Roman" w:hAnsi="Times New Roman"/>
          <w:noProof/>
          <w:sz w:val="24"/>
        </w:rPr>
        <w:t>: pärast Euroopa Ühenduse ja Mercosuri vahelise piirkondadevahelise koostöö raamlepingu jõustumist (lepingu üle saavutati poliitiline kokkulepe 2024. aasta detsembris) kaotatakse järk-järgult autoosadele (praegu 14 %) ja autodele (praegu 35 %) kehtivad tollimaksud ning väheneb ekspordipiirangute oht, mis mõjutab ELi akude tootmiseks vajalike kriitiliste toorainete tarneid.</w:t>
      </w:r>
    </w:p>
    <w:p w14:paraId="73E95D59" w14:textId="77777777" w:rsidR="00732CEE" w:rsidRPr="00756E4E" w:rsidRDefault="00732CEE" w:rsidP="00732CEE">
      <w:pPr>
        <w:pStyle w:val="ListParagraph"/>
        <w:spacing w:after="0" w:line="259" w:lineRule="auto"/>
        <w:ind w:left="779"/>
        <w:jc w:val="both"/>
        <w:rPr>
          <w:rFonts w:ascii="Times New Roman" w:hAnsi="Times New Roman"/>
          <w:noProof/>
          <w:kern w:val="2"/>
          <w:sz w:val="24"/>
        </w:rPr>
      </w:pPr>
    </w:p>
    <w:p w14:paraId="2D95F9C7" w14:textId="24E7FA71" w:rsidR="00A51DDD" w:rsidRPr="00756E4E" w:rsidRDefault="00305F63" w:rsidP="00BA7482">
      <w:pPr>
        <w:pStyle w:val="ListParagraph"/>
        <w:numPr>
          <w:ilvl w:val="0"/>
          <w:numId w:val="18"/>
        </w:numPr>
        <w:spacing w:after="0" w:line="259" w:lineRule="auto"/>
        <w:jc w:val="both"/>
        <w:rPr>
          <w:rStyle w:val="cf01"/>
          <w:rFonts w:ascii="Times New Roman" w:hAnsi="Times New Roman"/>
          <w:noProof/>
          <w:sz w:val="24"/>
        </w:rPr>
      </w:pPr>
      <w:bookmarkStart w:id="8" w:name="_Hlk200994432"/>
      <w:r>
        <w:rPr>
          <w:rFonts w:ascii="Times New Roman" w:hAnsi="Times New Roman"/>
          <w:noProof/>
          <w:sz w:val="24"/>
          <w:u w:val="single"/>
        </w:rPr>
        <w:t>Digitaalne kaupade ja teenustega kauplemine</w:t>
      </w:r>
      <w:r>
        <w:rPr>
          <w:rFonts w:ascii="Times New Roman" w:hAnsi="Times New Roman"/>
          <w:noProof/>
          <w:sz w:val="24"/>
        </w:rPr>
        <w:t xml:space="preserve">: EL on lisanud </w:t>
      </w:r>
      <w:r>
        <w:rPr>
          <w:rFonts w:ascii="Times New Roman" w:hAnsi="Times New Roman"/>
          <w:b/>
          <w:bCs/>
          <w:noProof/>
          <w:sz w:val="24"/>
        </w:rPr>
        <w:t>digikaubanduse peatükid oma kahepoolsetesse kaubanduslepingutesse Jaapaniga</w:t>
      </w:r>
      <w:r>
        <w:rPr>
          <w:rFonts w:ascii="Times New Roman" w:hAnsi="Times New Roman"/>
          <w:noProof/>
          <w:sz w:val="24"/>
        </w:rPr>
        <w:t xml:space="preserve"> (mida on hiljuti täiendatud andmevoogude kohta sõlmitud kahepoolse kokkuleppega),</w:t>
      </w:r>
      <w:r>
        <w:rPr>
          <w:rStyle w:val="FootnoteReference"/>
          <w:noProof/>
        </w:rPr>
        <w:footnoteReference w:id="4"/>
      </w:r>
      <w:r>
        <w:rPr>
          <w:rFonts w:ascii="Times New Roman" w:hAnsi="Times New Roman"/>
          <w:noProof/>
          <w:sz w:val="24"/>
        </w:rPr>
        <w:t xml:space="preserve"> </w:t>
      </w:r>
      <w:r>
        <w:rPr>
          <w:rFonts w:ascii="Times New Roman" w:hAnsi="Times New Roman"/>
          <w:b/>
          <w:bCs/>
          <w:noProof/>
          <w:sz w:val="24"/>
        </w:rPr>
        <w:t>Ühendkuningriigiga</w:t>
      </w:r>
      <w:r>
        <w:rPr>
          <w:rFonts w:ascii="Times New Roman" w:hAnsi="Times New Roman"/>
          <w:noProof/>
          <w:sz w:val="24"/>
        </w:rPr>
        <w:t xml:space="preserve"> ja </w:t>
      </w:r>
      <w:r>
        <w:rPr>
          <w:rFonts w:ascii="Times New Roman" w:hAnsi="Times New Roman"/>
          <w:b/>
          <w:bCs/>
          <w:noProof/>
          <w:sz w:val="24"/>
        </w:rPr>
        <w:t>Uus-Meremaaga</w:t>
      </w:r>
      <w:r>
        <w:rPr>
          <w:rFonts w:ascii="Times New Roman" w:hAnsi="Times New Roman"/>
          <w:noProof/>
          <w:sz w:val="24"/>
        </w:rPr>
        <w:t xml:space="preserve"> ning oma ajakohastatud lepingutesse </w:t>
      </w:r>
      <w:r>
        <w:rPr>
          <w:rFonts w:ascii="Times New Roman" w:hAnsi="Times New Roman"/>
          <w:b/>
          <w:bCs/>
          <w:noProof/>
          <w:sz w:val="24"/>
        </w:rPr>
        <w:t>Tšiili</w:t>
      </w:r>
      <w:r>
        <w:rPr>
          <w:rFonts w:ascii="Times New Roman" w:hAnsi="Times New Roman"/>
          <w:noProof/>
          <w:sz w:val="24"/>
        </w:rPr>
        <w:t xml:space="preserve"> ja </w:t>
      </w:r>
      <w:r>
        <w:rPr>
          <w:rFonts w:ascii="Times New Roman" w:hAnsi="Times New Roman"/>
          <w:b/>
          <w:bCs/>
          <w:noProof/>
          <w:sz w:val="24"/>
        </w:rPr>
        <w:t>Mehhikoga</w:t>
      </w:r>
      <w:r>
        <w:rPr>
          <w:rFonts w:ascii="Times New Roman" w:hAnsi="Times New Roman"/>
          <w:noProof/>
          <w:sz w:val="24"/>
        </w:rPr>
        <w:t>.</w:t>
      </w:r>
      <w:bookmarkEnd w:id="8"/>
      <w:r>
        <w:rPr>
          <w:rFonts w:ascii="Times New Roman" w:hAnsi="Times New Roman"/>
          <w:noProof/>
          <w:sz w:val="24"/>
        </w:rPr>
        <w:t xml:space="preserve"> Lisaks e-kaubanduse peatükke sisaldavatele kahepoolsetele lepingutele on EL viinud lõpule läbirääkimised digikaubanduse lepingute üle Singapuriga (2024. aasta juulis) ja Lõuna-Koreaga (2025. aasta märtsis).</w:t>
      </w:r>
    </w:p>
    <w:p w14:paraId="265F16F8" w14:textId="77777777" w:rsidR="00EA3AD5" w:rsidRPr="00756E4E" w:rsidRDefault="00EA3AD5" w:rsidP="00EA3AD5">
      <w:pPr>
        <w:spacing w:after="0" w:line="259" w:lineRule="auto"/>
        <w:jc w:val="both"/>
        <w:rPr>
          <w:rFonts w:ascii="Times New Roman" w:hAnsi="Times New Roman"/>
          <w:noProof/>
          <w:sz w:val="24"/>
        </w:rPr>
      </w:pPr>
    </w:p>
    <w:p w14:paraId="075950FB" w14:textId="5A72B829" w:rsidR="00FB1AF3" w:rsidRPr="00756E4E" w:rsidRDefault="005E10AE" w:rsidP="00BE2A43">
      <w:pPr>
        <w:pStyle w:val="ListParagraph"/>
        <w:numPr>
          <w:ilvl w:val="0"/>
          <w:numId w:val="18"/>
        </w:numPr>
        <w:spacing w:after="0"/>
        <w:jc w:val="both"/>
        <w:rPr>
          <w:rFonts w:ascii="Times New Roman" w:hAnsi="Times New Roman"/>
          <w:b/>
          <w:noProof/>
          <w:sz w:val="24"/>
        </w:rPr>
      </w:pPr>
      <w:r>
        <w:rPr>
          <w:rFonts w:ascii="Times New Roman" w:hAnsi="Times New Roman"/>
          <w:noProof/>
          <w:sz w:val="24"/>
          <w:u w:val="single"/>
        </w:rPr>
        <w:t>Riigihanked</w:t>
      </w:r>
      <w:r>
        <w:rPr>
          <w:rFonts w:ascii="Times New Roman" w:hAnsi="Times New Roman"/>
          <w:noProof/>
          <w:sz w:val="24"/>
        </w:rPr>
        <w:t xml:space="preserve">: EL on osaline kaubanduslepingutes – sealhulgas Maailma Kaubandusorganisatsiooni (WTO) riigihankelepingus –, mis sisaldavad hankekohustusi ja tagavad vastastikuse juurdepääsu </w:t>
      </w:r>
      <w:r>
        <w:rPr>
          <w:rFonts w:ascii="Times New Roman" w:hAnsi="Times New Roman"/>
          <w:b/>
          <w:noProof/>
          <w:sz w:val="24"/>
        </w:rPr>
        <w:t>40 riigi</w:t>
      </w:r>
      <w:r>
        <w:rPr>
          <w:rStyle w:val="FootnoteReference"/>
          <w:rFonts w:ascii="Times New Roman" w:hAnsi="Times New Roman"/>
          <w:noProof/>
          <w:kern w:val="2"/>
          <w:sz w:val="24"/>
        </w:rPr>
        <w:footnoteReference w:id="5"/>
      </w:r>
      <w:r>
        <w:rPr>
          <w:rFonts w:ascii="Times New Roman" w:hAnsi="Times New Roman"/>
          <w:noProof/>
          <w:sz w:val="24"/>
        </w:rPr>
        <w:t xml:space="preserve"> hangetele (WTO riigihankepingu ja/või vabakaubanduslepingute osalisriigid) ning annavad ELile juurdepääsu </w:t>
      </w:r>
      <w:r>
        <w:rPr>
          <w:rFonts w:ascii="Times New Roman" w:hAnsi="Times New Roman"/>
          <w:b/>
          <w:noProof/>
          <w:sz w:val="24"/>
        </w:rPr>
        <w:t>hanketurule, mille maht on hinnanguliselt 1,8 triljonit eurot</w:t>
      </w:r>
      <w:r>
        <w:rPr>
          <w:rFonts w:ascii="Times New Roman" w:hAnsi="Times New Roman"/>
          <w:noProof/>
          <w:sz w:val="24"/>
        </w:rPr>
        <w:t>.</w:t>
      </w:r>
    </w:p>
    <w:p w14:paraId="7F5773E0" w14:textId="77777777" w:rsidR="00FB1AF3" w:rsidRPr="00C14642" w:rsidRDefault="00FB1AF3" w:rsidP="00756E4E">
      <w:pPr>
        <w:spacing w:after="0"/>
        <w:jc w:val="both"/>
        <w:rPr>
          <w:rFonts w:ascii="Times New Roman" w:hAnsi="Times New Roman"/>
          <w:b/>
          <w:i/>
          <w:noProof/>
          <w:kern w:val="2"/>
          <w:sz w:val="24"/>
        </w:rPr>
      </w:pPr>
    </w:p>
    <w:p w14:paraId="7934DD45" w14:textId="48B505FD" w:rsidR="00FB1AF3" w:rsidRPr="00570F0D" w:rsidRDefault="00FB1AF3" w:rsidP="00772AB2">
      <w:pPr>
        <w:jc w:val="both"/>
        <w:rPr>
          <w:rFonts w:ascii="Times New Roman" w:eastAsia="Aptos" w:hAnsi="Times New Roman" w:cs="Times New Roman"/>
          <w:b/>
          <w:bCs/>
          <w:i/>
          <w:iCs/>
          <w:noProof/>
          <w:kern w:val="2"/>
          <w:sz w:val="24"/>
          <w:szCs w:val="24"/>
        </w:rPr>
      </w:pPr>
      <w:r>
        <w:rPr>
          <w:rFonts w:ascii="Times New Roman" w:hAnsi="Times New Roman"/>
          <w:b/>
          <w:i/>
          <w:noProof/>
          <w:sz w:val="24"/>
        </w:rPr>
        <w:t>Majandusjulgeolek ja tarneahela turvalisus: kaubanduslepingud on toetanud mitmekesistamist ja taganud sisendite tarned</w:t>
      </w:r>
    </w:p>
    <w:p w14:paraId="7C199CF8" w14:textId="4B6FE3B5" w:rsidR="00FB1AF3" w:rsidRPr="00570F0D" w:rsidRDefault="00FB1AF3" w:rsidP="00FB1AF3">
      <w:pPr>
        <w:jc w:val="both"/>
        <w:rPr>
          <w:rFonts w:ascii="Times New Roman" w:eastAsia="Aptos" w:hAnsi="Times New Roman" w:cs="Times New Roman"/>
          <w:noProof/>
          <w:kern w:val="2"/>
          <w:sz w:val="24"/>
          <w:szCs w:val="24"/>
        </w:rPr>
      </w:pPr>
      <w:r>
        <w:rPr>
          <w:rFonts w:ascii="Times New Roman" w:hAnsi="Times New Roman"/>
          <w:noProof/>
          <w:sz w:val="24"/>
        </w:rPr>
        <w:t xml:space="preserve">Kaubanduslepingud on aidanud ELi ettevõtjatel </w:t>
      </w:r>
      <w:r>
        <w:rPr>
          <w:rFonts w:ascii="Times New Roman" w:hAnsi="Times New Roman"/>
          <w:b/>
          <w:noProof/>
          <w:sz w:val="24"/>
        </w:rPr>
        <w:t>leida uusi eksporditurge ja samas mitmekesistada</w:t>
      </w:r>
      <w:r>
        <w:rPr>
          <w:rFonts w:ascii="Times New Roman" w:hAnsi="Times New Roman"/>
          <w:noProof/>
          <w:sz w:val="24"/>
        </w:rPr>
        <w:t xml:space="preserve"> tarneallikaid ning ekspordisihtkohti. See on omakorda võimaldanud neil paindlikult reageerida üleilmsetele riskidele ning vähendada sõltuvust teatavatest turgudest.</w:t>
      </w:r>
    </w:p>
    <w:p w14:paraId="7DA7CE80" w14:textId="66A5BAA3" w:rsidR="00FB1AF3" w:rsidRPr="00570F0D" w:rsidRDefault="00FB1AF3" w:rsidP="00FB1AF3">
      <w:pPr>
        <w:spacing w:after="160" w:line="259" w:lineRule="auto"/>
        <w:jc w:val="both"/>
        <w:rPr>
          <w:rFonts w:ascii="Times New Roman" w:eastAsia="Aptos" w:hAnsi="Times New Roman" w:cs="Times New Roman"/>
          <w:noProof/>
          <w:kern w:val="2"/>
          <w:sz w:val="24"/>
          <w:szCs w:val="24"/>
        </w:rPr>
      </w:pPr>
      <w:r>
        <w:rPr>
          <w:rFonts w:ascii="Times New Roman" w:hAnsi="Times New Roman"/>
          <w:b/>
          <w:noProof/>
          <w:sz w:val="24"/>
        </w:rPr>
        <w:t>ELi kaupade eksport Venemaale kahanes kokku</w:t>
      </w:r>
      <w:r>
        <w:rPr>
          <w:rFonts w:ascii="Times New Roman" w:hAnsi="Times New Roman"/>
          <w:noProof/>
          <w:sz w:val="24"/>
        </w:rPr>
        <w:t xml:space="preserve"> 53,1 miljardi euro võrra (2024. aastal võrreldes 2019–2021. aasta keskmisega), kuid samal võrdlusperioodil </w:t>
      </w:r>
      <w:r>
        <w:rPr>
          <w:rFonts w:ascii="Times New Roman" w:hAnsi="Times New Roman"/>
          <w:b/>
          <w:noProof/>
          <w:sz w:val="24"/>
        </w:rPr>
        <w:t>kasvas ELi eksport vabakaubanduslepingutega hõlmatud partnerriikidesse üle 200 miljardi euro võrra</w:t>
      </w:r>
      <w:r>
        <w:rPr>
          <w:rFonts w:ascii="Times New Roman" w:hAnsi="Times New Roman"/>
          <w:noProof/>
          <w:sz w:val="24"/>
        </w:rPr>
        <w:t>,</w:t>
      </w:r>
      <w:r>
        <w:rPr>
          <w:rStyle w:val="FootnoteReference"/>
          <w:rFonts w:ascii="Times New Roman" w:hAnsi="Times New Roman" w:cs="Times New Roman"/>
          <w:noProof/>
        </w:rPr>
        <w:footnoteReference w:id="6"/>
      </w:r>
      <w:r>
        <w:rPr>
          <w:rFonts w:ascii="Times New Roman" w:hAnsi="Times New Roman"/>
          <w:noProof/>
          <w:sz w:val="24"/>
        </w:rPr>
        <w:t xml:space="preserve"> mis </w:t>
      </w:r>
      <w:r>
        <w:rPr>
          <w:rFonts w:ascii="Times New Roman" w:hAnsi="Times New Roman"/>
          <w:b/>
          <w:noProof/>
          <w:sz w:val="24"/>
        </w:rPr>
        <w:t>kaalus</w:t>
      </w:r>
      <w:r>
        <w:rPr>
          <w:rFonts w:ascii="Times New Roman" w:hAnsi="Times New Roman"/>
          <w:noProof/>
          <w:sz w:val="24"/>
        </w:rPr>
        <w:t xml:space="preserve"> selle languse </w:t>
      </w:r>
      <w:r>
        <w:rPr>
          <w:rFonts w:ascii="Times New Roman" w:hAnsi="Times New Roman"/>
          <w:b/>
          <w:noProof/>
          <w:sz w:val="24"/>
        </w:rPr>
        <w:t>üles</w:t>
      </w:r>
      <w:r>
        <w:rPr>
          <w:noProof/>
        </w:rPr>
        <w:t>.</w:t>
      </w:r>
    </w:p>
    <w:p w14:paraId="29AA00CF" w14:textId="77777777" w:rsidR="00FB1AF3" w:rsidRPr="00570F0D" w:rsidRDefault="00FB1AF3" w:rsidP="00FB1AF3">
      <w:pPr>
        <w:jc w:val="both"/>
        <w:rPr>
          <w:rFonts w:ascii="Times New Roman" w:eastAsia="Aptos" w:hAnsi="Times New Roman" w:cs="Times New Roman"/>
          <w:noProof/>
          <w:kern w:val="2"/>
          <w:sz w:val="24"/>
          <w:szCs w:val="24"/>
        </w:rPr>
      </w:pPr>
      <w:bookmarkStart w:id="9" w:name="_Hlk202887857"/>
      <w:r>
        <w:rPr>
          <w:rFonts w:ascii="Times New Roman" w:hAnsi="Times New Roman"/>
          <w:noProof/>
          <w:sz w:val="24"/>
        </w:rPr>
        <w:t>Pärast seda, kui Venemaa suhtes kehtestati kaubandussanktsioonid, leidsid ELi ettevõtjad kiiresti uusi alternatiivseid eksporditurge, sageli riikides, millega ELil oli juba kaubandusleping.</w:t>
      </w:r>
    </w:p>
    <w:p w14:paraId="79EDC5DC" w14:textId="77777777" w:rsidR="00FB1AF3" w:rsidRPr="00570F0D" w:rsidRDefault="00FB1AF3" w:rsidP="00FB1AF3">
      <w:pPr>
        <w:pStyle w:val="ListParagraph"/>
        <w:numPr>
          <w:ilvl w:val="0"/>
          <w:numId w:val="26"/>
        </w:numPr>
        <w:jc w:val="both"/>
        <w:rPr>
          <w:rFonts w:ascii="Times New Roman" w:eastAsia="Aptos" w:hAnsi="Times New Roman" w:cs="Times New Roman"/>
          <w:noProof/>
          <w:kern w:val="2"/>
          <w:sz w:val="24"/>
          <w:szCs w:val="24"/>
        </w:rPr>
      </w:pPr>
      <w:bookmarkStart w:id="10" w:name="_Hlk202887646"/>
      <w:r>
        <w:rPr>
          <w:rFonts w:ascii="Times New Roman" w:hAnsi="Times New Roman"/>
          <w:noProof/>
          <w:sz w:val="24"/>
        </w:rPr>
        <w:t xml:space="preserve">Venemaale müüdud </w:t>
      </w:r>
      <w:r>
        <w:rPr>
          <w:rFonts w:ascii="Times New Roman" w:hAnsi="Times New Roman"/>
          <w:b/>
          <w:noProof/>
          <w:sz w:val="24"/>
        </w:rPr>
        <w:t>sõidukite ja nende osade</w:t>
      </w:r>
      <w:r>
        <w:rPr>
          <w:rFonts w:ascii="Times New Roman" w:hAnsi="Times New Roman"/>
          <w:noProof/>
          <w:sz w:val="24"/>
        </w:rPr>
        <w:t xml:space="preserve"> müük vähenes 8 miljardi euro võrra, mille tasakaalustas juba ainuüksi Ühendkuningriiki suunatud ekspordi kasv 8,8 miljardi euro ulatuses.</w:t>
      </w:r>
    </w:p>
    <w:p w14:paraId="31CC7FC2" w14:textId="77777777" w:rsidR="00FB1AF3" w:rsidRPr="00570F0D" w:rsidRDefault="00FB1AF3" w:rsidP="00FB1AF3">
      <w:pPr>
        <w:pStyle w:val="ListParagraph"/>
        <w:rPr>
          <w:rFonts w:ascii="Times New Roman" w:eastAsia="Aptos" w:hAnsi="Times New Roman" w:cs="Times New Roman"/>
          <w:noProof/>
          <w:kern w:val="2"/>
          <w:sz w:val="24"/>
          <w:szCs w:val="24"/>
        </w:rPr>
      </w:pPr>
    </w:p>
    <w:p w14:paraId="0D4E129E" w14:textId="77777777" w:rsidR="00FB1AF3" w:rsidRPr="00570F0D" w:rsidRDefault="00FB1AF3" w:rsidP="00FB1AF3">
      <w:pPr>
        <w:pStyle w:val="ListParagraph"/>
        <w:numPr>
          <w:ilvl w:val="0"/>
          <w:numId w:val="19"/>
        </w:numPr>
        <w:jc w:val="both"/>
        <w:rPr>
          <w:rFonts w:ascii="Times New Roman" w:eastAsia="Aptos" w:hAnsi="Times New Roman" w:cs="Times New Roman"/>
          <w:noProof/>
          <w:kern w:val="2"/>
          <w:sz w:val="24"/>
          <w:szCs w:val="24"/>
        </w:rPr>
      </w:pPr>
      <w:r>
        <w:rPr>
          <w:rFonts w:ascii="Times New Roman" w:hAnsi="Times New Roman"/>
          <w:b/>
          <w:noProof/>
          <w:sz w:val="24"/>
        </w:rPr>
        <w:t>Elektrimasinate</w:t>
      </w:r>
      <w:r>
        <w:rPr>
          <w:rFonts w:ascii="Times New Roman" w:hAnsi="Times New Roman"/>
          <w:noProof/>
          <w:sz w:val="24"/>
        </w:rPr>
        <w:t xml:space="preserve"> eksport vähenes 7 miljardi euro võrra, mille tasakaalustas suurem eksport (7,6 miljardi euro ulatuses) mitmesse riiki, sealhulgas Šveitsi, Ühendkuningriiki, Mehhikosse ja Norrasse.</w:t>
      </w:r>
    </w:p>
    <w:p w14:paraId="118B991B" w14:textId="3D2DEF52" w:rsidR="00FB1AF3" w:rsidRPr="00570F0D" w:rsidRDefault="00DA6DD5" w:rsidP="00FB1AF3">
      <w:pPr>
        <w:spacing w:after="0"/>
        <w:jc w:val="both"/>
        <w:rPr>
          <w:rFonts w:ascii="Times New Roman" w:eastAsia="Aptos" w:hAnsi="Times New Roman" w:cs="Times New Roman"/>
          <w:noProof/>
          <w:kern w:val="2"/>
          <w:sz w:val="24"/>
          <w:szCs w:val="24"/>
        </w:rPr>
      </w:pPr>
      <w:bookmarkStart w:id="11" w:name="_Hlk200622658"/>
      <w:bookmarkEnd w:id="9"/>
      <w:bookmarkEnd w:id="10"/>
      <w:r>
        <w:rPr>
          <w:rFonts w:ascii="Times New Roman" w:hAnsi="Times New Roman"/>
          <w:noProof/>
          <w:sz w:val="24"/>
        </w:rPr>
        <w:t xml:space="preserve">ELi ulatuslik kaubanduslepingute võrgustik tugevdab ELi võimet suurendada oma </w:t>
      </w:r>
      <w:r>
        <w:rPr>
          <w:rFonts w:ascii="Times New Roman" w:hAnsi="Times New Roman"/>
          <w:b/>
          <w:noProof/>
          <w:sz w:val="24"/>
        </w:rPr>
        <w:t>strateegilist paindlikkust</w:t>
      </w:r>
      <w:r>
        <w:rPr>
          <w:rFonts w:ascii="Times New Roman" w:hAnsi="Times New Roman"/>
          <w:noProof/>
          <w:sz w:val="24"/>
        </w:rPr>
        <w:t xml:space="preserve"> ning toetab liidu pikaajalisi majandushuve. Vastuvõtmisel või läbirääkimistel olevate uute kaubanduslepingute väärtus on tulnud teravamalt esile hiljutiste sündmuste, eelkõige USA tariifsete meetmete taustal. Selles kontekstis annavad sellised lepingud nagu ELi ja Mercosuri leping pärast jõustumist olulise panuse mitmekesistamisse, mis on ELi kaubandusstrateegia keskne osa. Edukas kahepoolne tegevuskava võiks samuti aidata leevendada Ameerika Ühendriikide tariifide järelmõju, st Hiina ekspordi suurenemist teistesse riikidesse, ning pidurdada sellest tulenevat ELi turuosa kahanemist.</w:t>
      </w:r>
    </w:p>
    <w:bookmarkEnd w:id="11"/>
    <w:p w14:paraId="337D6B10" w14:textId="77777777" w:rsidR="00FB1AF3" w:rsidRPr="00756E4E" w:rsidRDefault="00FB1AF3" w:rsidP="00756E4E">
      <w:pPr>
        <w:spacing w:after="0"/>
        <w:rPr>
          <w:rFonts w:ascii="Times New Roman" w:hAnsi="Times New Roman"/>
          <w:b/>
          <w:i/>
          <w:noProof/>
          <w:kern w:val="2"/>
          <w:sz w:val="24"/>
        </w:rPr>
      </w:pPr>
    </w:p>
    <w:p w14:paraId="104326BF" w14:textId="17DD5246" w:rsidR="00FB1AF3" w:rsidRPr="00570F0D" w:rsidRDefault="00DA6DD5" w:rsidP="00772AB2">
      <w:pPr>
        <w:spacing w:after="0"/>
        <w:jc w:val="both"/>
        <w:rPr>
          <w:rFonts w:ascii="Times New Roman" w:eastAsia="Aptos" w:hAnsi="Times New Roman" w:cs="Times New Roman"/>
          <w:noProof/>
          <w:kern w:val="2"/>
          <w:sz w:val="24"/>
          <w:szCs w:val="24"/>
        </w:rPr>
      </w:pPr>
      <w:bookmarkStart w:id="12" w:name="_Hlk207896819"/>
      <w:r>
        <w:rPr>
          <w:rFonts w:ascii="Times New Roman" w:hAnsi="Times New Roman"/>
          <w:noProof/>
          <w:sz w:val="24"/>
        </w:rPr>
        <w:t xml:space="preserve">ELi ulatuslik kaubanduslepingute ja partnerluste võrgustik on tugevdanud ELi geopoliitilist kohalolekut kiiresti halvenevas rahvusvahelises keskkonnas. Selles kontekstis on see aidanud tugevdada </w:t>
      </w:r>
      <w:r>
        <w:rPr>
          <w:rFonts w:ascii="Times New Roman" w:hAnsi="Times New Roman"/>
          <w:b/>
          <w:noProof/>
          <w:sz w:val="24"/>
        </w:rPr>
        <w:t>tarneahelate vastupanuvõimet</w:t>
      </w:r>
      <w:r>
        <w:rPr>
          <w:rFonts w:ascii="Times New Roman" w:hAnsi="Times New Roman"/>
          <w:noProof/>
          <w:sz w:val="24"/>
        </w:rPr>
        <w:t>, toetades ELi suutlikkust kindlustada juurdepääs olulistele kriitiliste sisenditele, sealhulgas energiale ning toormele, mida on vaja üleminekuks puhtale energiale ja muude ELi majanduse kriitilise tähtsusega sektoritele, ning vähendada ELi ülemäärast sõltuvust üksikutest turgudest, mis on haavatavus, mida võidakse ELi vastu ära kasutada.</w:t>
      </w:r>
      <w:bookmarkEnd w:id="12"/>
    </w:p>
    <w:p w14:paraId="4CD2BA58" w14:textId="77777777" w:rsidR="00772AB2" w:rsidRPr="00570F0D" w:rsidRDefault="00772AB2" w:rsidP="00772AB2">
      <w:pPr>
        <w:spacing w:after="0"/>
        <w:jc w:val="both"/>
        <w:rPr>
          <w:rFonts w:ascii="Times New Roman" w:hAnsi="Times New Roman" w:cs="Times New Roman"/>
          <w:noProof/>
          <w:sz w:val="24"/>
          <w:szCs w:val="24"/>
        </w:rPr>
      </w:pPr>
    </w:p>
    <w:p w14:paraId="7B321D56" w14:textId="42213AA9" w:rsidR="00FB1AF3" w:rsidRPr="00570F0D" w:rsidRDefault="00FB1AF3" w:rsidP="00772AB2">
      <w:pPr>
        <w:pStyle w:val="ListParagraph"/>
        <w:numPr>
          <w:ilvl w:val="0"/>
          <w:numId w:val="19"/>
        </w:numPr>
        <w:jc w:val="both"/>
        <w:rPr>
          <w:rFonts w:ascii="Times New Roman" w:hAnsi="Times New Roman" w:cs="Times New Roman"/>
          <w:noProof/>
          <w:sz w:val="24"/>
          <w:szCs w:val="24"/>
        </w:rPr>
      </w:pPr>
      <w:r>
        <w:rPr>
          <w:rFonts w:ascii="Times New Roman" w:hAnsi="Times New Roman"/>
          <w:noProof/>
          <w:sz w:val="24"/>
        </w:rPr>
        <w:t xml:space="preserve">ELi kaubanduslepingud on aidanud </w:t>
      </w:r>
      <w:r>
        <w:rPr>
          <w:rFonts w:ascii="Times New Roman" w:hAnsi="Times New Roman"/>
          <w:b/>
          <w:noProof/>
          <w:sz w:val="24"/>
        </w:rPr>
        <w:t>ELil mitmekesistada</w:t>
      </w:r>
      <w:r>
        <w:rPr>
          <w:rFonts w:ascii="Times New Roman" w:hAnsi="Times New Roman"/>
          <w:noProof/>
          <w:sz w:val="24"/>
        </w:rPr>
        <w:t xml:space="preserve"> energia- ja toorainetarneid ja </w:t>
      </w:r>
      <w:r>
        <w:rPr>
          <w:rFonts w:ascii="Times New Roman" w:hAnsi="Times New Roman"/>
          <w:b/>
          <w:noProof/>
          <w:sz w:val="24"/>
        </w:rPr>
        <w:t>kaugeneda Venemaast</w:t>
      </w:r>
      <w:r>
        <w:rPr>
          <w:rFonts w:ascii="Times New Roman" w:hAnsi="Times New Roman"/>
          <w:noProof/>
          <w:sz w:val="24"/>
        </w:rPr>
        <w:t>. Näiteks on Norrast, Alžeeriast ja Kasahstanist pärit gaasi ja veeldatud maagaasi (LNG) import aidanud kompenseerida Venemaa gaasile kehtestatud sanktsioonidest tingitud tarnepuudujääki (täiendades Ameerika Ühendriikidest pärit importi), samal ajal kui Tšiilist ja Kongo Demokraatlikust Vabariigist imporditud vask korvas Venemaalt pärit vaseimpordi vähenemisest tekkinud puudujäägi.</w:t>
      </w:r>
    </w:p>
    <w:p w14:paraId="684E94E8" w14:textId="77777777" w:rsidR="00772AB2" w:rsidRPr="00C14642" w:rsidRDefault="00772AB2" w:rsidP="00C14642">
      <w:pPr>
        <w:pStyle w:val="ListParagraph"/>
        <w:spacing w:after="0"/>
        <w:rPr>
          <w:rFonts w:ascii="Times New Roman" w:hAnsi="Times New Roman"/>
          <w:noProof/>
          <w:kern w:val="2"/>
          <w:sz w:val="24"/>
        </w:rPr>
      </w:pPr>
    </w:p>
    <w:p w14:paraId="58A56EC4" w14:textId="776D3D4F" w:rsidR="00FB1AF3" w:rsidRPr="00570F0D" w:rsidRDefault="00FB1AF3" w:rsidP="00772AB2">
      <w:pPr>
        <w:pStyle w:val="ListParagraph"/>
        <w:numPr>
          <w:ilvl w:val="0"/>
          <w:numId w:val="19"/>
        </w:numPr>
        <w:spacing w:after="0"/>
        <w:rPr>
          <w:rFonts w:ascii="Times New Roman" w:eastAsia="Aptos" w:hAnsi="Times New Roman" w:cs="Times New Roman"/>
          <w:noProof/>
          <w:kern w:val="2"/>
          <w:sz w:val="24"/>
          <w:szCs w:val="24"/>
        </w:rPr>
      </w:pPr>
      <w:r>
        <w:rPr>
          <w:rFonts w:ascii="Times New Roman" w:hAnsi="Times New Roman"/>
          <w:noProof/>
          <w:sz w:val="24"/>
        </w:rPr>
        <w:t xml:space="preserve">ELi kaubanduslepingud </w:t>
      </w:r>
      <w:r>
        <w:rPr>
          <w:rFonts w:ascii="Times New Roman" w:hAnsi="Times New Roman"/>
          <w:b/>
          <w:noProof/>
          <w:sz w:val="24"/>
        </w:rPr>
        <w:t>on aidanud tarneid mitmekesistada</w:t>
      </w:r>
      <w:r>
        <w:rPr>
          <w:rFonts w:ascii="Times New Roman" w:hAnsi="Times New Roman"/>
          <w:noProof/>
          <w:sz w:val="24"/>
        </w:rPr>
        <w:t>: vabakaubanduslepinguga hõlmatud partnerriikidega kaubeldakse suurema hulga toodetega kui n-ö sarnaste, vabakaubanduslepinguga hõlmamata partnerriikidega.</w:t>
      </w:r>
      <w:bookmarkStart w:id="13" w:name="_Hlk198049282"/>
      <w:r>
        <w:rPr>
          <w:rFonts w:ascii="Times New Roman" w:hAnsi="Times New Roman"/>
          <w:noProof/>
          <w:sz w:val="24"/>
        </w:rPr>
        <w:t xml:space="preserve"> Euroopa Komisjoni kaubanduse peadirektoraadi / peaökonomistide rühma ja Rootsi riikliku kaubandusameti (</w:t>
      </w:r>
      <w:r>
        <w:rPr>
          <w:rFonts w:ascii="Times New Roman" w:hAnsi="Times New Roman"/>
          <w:i/>
          <w:noProof/>
          <w:sz w:val="24"/>
        </w:rPr>
        <w:t>Kommerskollegium</w:t>
      </w:r>
      <w:r>
        <w:rPr>
          <w:rFonts w:ascii="Times New Roman" w:hAnsi="Times New Roman"/>
          <w:noProof/>
          <w:sz w:val="24"/>
        </w:rPr>
        <w:t xml:space="preserve">) hiljutine uuring, mis käsitles suundumusi ELi kaubanduses Kanada, Jaapani, Vietnami ja Singapuriga aastatel 2016–2023, kinnitas, et </w:t>
      </w:r>
      <w:r>
        <w:rPr>
          <w:rFonts w:ascii="Times New Roman" w:hAnsi="Times New Roman"/>
          <w:b/>
          <w:noProof/>
          <w:sz w:val="24"/>
        </w:rPr>
        <w:t>ELi kaubanduslepingute rakendamise esimestel aastatel on tarned muutunud mitmekesisemaks</w:t>
      </w:r>
      <w:r>
        <w:rPr>
          <w:rFonts w:ascii="Times New Roman" w:hAnsi="Times New Roman"/>
          <w:noProof/>
          <w:sz w:val="24"/>
        </w:rPr>
        <w:t>, eeskätt keemiatoodete valdkonnas, mis on üks olulisemaid tootekategooriaid. See tähelepanek on kooskõlas ELi laiemate eesmärkidega: tarneahelate haavatavuse vähendamine, partnerluste arendamine sarnaselt mõtlevate riikidega ning ELi tööstusvõimekuse tugevdamine ja edasine arendamine.</w:t>
      </w:r>
      <w:bookmarkEnd w:id="13"/>
    </w:p>
    <w:p w14:paraId="79C026F8" w14:textId="77777777" w:rsidR="00FB1AF3" w:rsidRPr="00570F0D" w:rsidRDefault="00FB1AF3" w:rsidP="00FB1AF3">
      <w:pPr>
        <w:spacing w:after="0"/>
        <w:jc w:val="both"/>
        <w:rPr>
          <w:rFonts w:ascii="Times New Roman" w:hAnsi="Times New Roman" w:cs="Times New Roman"/>
          <w:b/>
          <w:bCs/>
          <w:i/>
          <w:iCs/>
          <w:noProof/>
          <w:sz w:val="24"/>
          <w:szCs w:val="24"/>
        </w:rPr>
      </w:pPr>
    </w:p>
    <w:p w14:paraId="5E0F0C55" w14:textId="58D21389" w:rsidR="001425C6" w:rsidRPr="00756E4E" w:rsidRDefault="00897968" w:rsidP="00756E4E">
      <w:pPr>
        <w:jc w:val="both"/>
        <w:rPr>
          <w:rFonts w:ascii="Times New Roman" w:hAnsi="Times New Roman"/>
          <w:b/>
          <w:i/>
          <w:noProof/>
          <w:sz w:val="24"/>
        </w:rPr>
      </w:pPr>
      <w:r>
        <w:rPr>
          <w:rFonts w:ascii="Times New Roman" w:hAnsi="Times New Roman"/>
          <w:b/>
          <w:i/>
          <w:noProof/>
          <w:sz w:val="24"/>
        </w:rPr>
        <w:t>Tõhus tegelemine kaubandustõketega on võimaldanud ettevõtjatel konkureerida võrdsetel tingimustel ning taganud vastastikkuse</w:t>
      </w:r>
    </w:p>
    <w:p w14:paraId="070E1442" w14:textId="1D09069F" w:rsidR="00E25ED4" w:rsidRPr="00570F0D" w:rsidRDefault="00E25ED4" w:rsidP="00E25ED4">
      <w:pPr>
        <w:jc w:val="both"/>
        <w:rPr>
          <w:rFonts w:ascii="Times New Roman" w:hAnsi="Times New Roman" w:cs="Times New Roman"/>
          <w:noProof/>
          <w:sz w:val="24"/>
          <w:szCs w:val="24"/>
        </w:rPr>
      </w:pPr>
      <w:bookmarkStart w:id="14" w:name="_Hlk199699769"/>
      <w:bookmarkStart w:id="15" w:name="_Hlk198303540"/>
      <w:r>
        <w:rPr>
          <w:rFonts w:ascii="Times New Roman" w:hAnsi="Times New Roman"/>
          <w:noProof/>
          <w:sz w:val="24"/>
        </w:rPr>
        <w:t xml:space="preserve">Komisjon jätkas tööd </w:t>
      </w:r>
      <w:r>
        <w:rPr>
          <w:rFonts w:ascii="Times New Roman" w:hAnsi="Times New Roman"/>
          <w:b/>
          <w:noProof/>
          <w:sz w:val="24"/>
        </w:rPr>
        <w:t>WTOs ja kaubanduslepingute juhtimisstruktuurides</w:t>
      </w:r>
      <w:r>
        <w:rPr>
          <w:rFonts w:ascii="Times New Roman" w:hAnsi="Times New Roman"/>
          <w:noProof/>
          <w:sz w:val="24"/>
        </w:rPr>
        <w:t xml:space="preserve">, et </w:t>
      </w:r>
      <w:r>
        <w:rPr>
          <w:rFonts w:ascii="Times New Roman" w:hAnsi="Times New Roman"/>
          <w:b/>
          <w:noProof/>
          <w:sz w:val="24"/>
        </w:rPr>
        <w:t>tegeleda piiri taga esinevate tõketega</w:t>
      </w:r>
      <w:r>
        <w:rPr>
          <w:rFonts w:ascii="Times New Roman" w:hAnsi="Times New Roman"/>
          <w:noProof/>
          <w:sz w:val="24"/>
        </w:rPr>
        <w:t xml:space="preserve">, eeskätt tehniliste tõketega. Kolmandate riikide tehniliste kaubandustõkete mõju ELi ekspordile 2024. aastal oli ligikaudu 25 miljardit eurot. </w:t>
      </w:r>
      <w:bookmarkEnd w:id="14"/>
      <w:r>
        <w:rPr>
          <w:rFonts w:ascii="Times New Roman" w:hAnsi="Times New Roman"/>
          <w:noProof/>
          <w:sz w:val="24"/>
        </w:rPr>
        <w:t>Nagu allpool esitatud jooniselt näha, mõjutavad tehnilised kaubandustõkked kõige enam ELi eksporti Hiinasse (14 miljardit eurot), millele järgnevad Maroko (5 miljardi eurot) ja Colombia (2 miljardit eurot).</w:t>
      </w:r>
    </w:p>
    <w:p w14:paraId="4C5A1AF6" w14:textId="77777777" w:rsidR="00E25ED4" w:rsidRPr="00570F0D" w:rsidRDefault="00E25ED4" w:rsidP="00E25ED4">
      <w:pPr>
        <w:rPr>
          <w:rFonts w:ascii="Times New Roman" w:hAnsi="Times New Roman" w:cs="Times New Roman"/>
          <w:b/>
          <w:bCs/>
          <w:noProof/>
          <w:sz w:val="24"/>
          <w:szCs w:val="24"/>
        </w:rPr>
      </w:pPr>
      <w:r>
        <w:rPr>
          <w:rFonts w:ascii="Times New Roman" w:hAnsi="Times New Roman"/>
          <w:b/>
          <w:noProof/>
          <w:sz w:val="24"/>
        </w:rPr>
        <w:t>Joonis 1. Näited tehnilistest kaubandustõketest mõjutatud ELi ekspordist kolmandates riikides (2024)</w:t>
      </w:r>
    </w:p>
    <w:bookmarkEnd w:id="15"/>
    <w:p w14:paraId="37C93A98" w14:textId="4276EE72" w:rsidR="00E25ED4" w:rsidRPr="00570F0D" w:rsidRDefault="00D31199" w:rsidP="00E25ED4">
      <w:pPr>
        <w:rPr>
          <w:rFonts w:ascii="Times New Roman" w:hAnsi="Times New Roman" w:cs="Times New Roman"/>
          <w:noProof/>
          <w:sz w:val="24"/>
          <w:szCs w:val="24"/>
        </w:rPr>
      </w:pPr>
      <w:r w:rsidRPr="00D31199">
        <w:rPr>
          <w:noProof/>
          <w:lang w:val="en-GB" w:eastAsia="en-GB"/>
        </w:rPr>
        <w:drawing>
          <wp:inline distT="0" distB="0" distL="0" distR="0" wp14:anchorId="196E73C6" wp14:editId="58E03F70">
            <wp:extent cx="5760720" cy="2922905"/>
            <wp:effectExtent l="0" t="0" r="0" b="0"/>
            <wp:docPr id="19841882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922905"/>
                    </a:xfrm>
                    <a:prstGeom prst="rect">
                      <a:avLst/>
                    </a:prstGeom>
                    <a:noFill/>
                    <a:ln>
                      <a:noFill/>
                    </a:ln>
                  </pic:spPr>
                </pic:pic>
              </a:graphicData>
            </a:graphic>
          </wp:inline>
        </w:drawing>
      </w:r>
    </w:p>
    <w:p w14:paraId="3DD9984F" w14:textId="77777777" w:rsidR="00E25ED4" w:rsidRPr="00570F0D" w:rsidRDefault="00E25ED4" w:rsidP="00E25ED4">
      <w:pPr>
        <w:jc w:val="both"/>
        <w:rPr>
          <w:rFonts w:ascii="Times New Roman" w:hAnsi="Times New Roman" w:cs="Times New Roman"/>
          <w:noProof/>
          <w:sz w:val="24"/>
          <w:szCs w:val="24"/>
        </w:rPr>
      </w:pPr>
      <w:r>
        <w:rPr>
          <w:rFonts w:ascii="Times New Roman" w:hAnsi="Times New Roman"/>
          <w:noProof/>
          <w:sz w:val="24"/>
        </w:rPr>
        <w:t>Tehnilised kaubandustõkked on sageli kõige teravam probleem nende partnerite puhul, kellega ELil kas puudub kaubandusleping või kellega sõlmitud leping on suhteliselt vana.</w:t>
      </w:r>
    </w:p>
    <w:p w14:paraId="72461C39" w14:textId="2A570F3B" w:rsidR="001425C6" w:rsidRPr="00C14642" w:rsidRDefault="00964A14" w:rsidP="00C14642">
      <w:pPr>
        <w:jc w:val="both"/>
        <w:rPr>
          <w:rFonts w:ascii="Times New Roman" w:hAnsi="Times New Roman"/>
          <w:noProof/>
          <w:sz w:val="24"/>
        </w:rPr>
      </w:pPr>
      <w:r>
        <w:rPr>
          <w:rFonts w:ascii="Times New Roman" w:hAnsi="Times New Roman"/>
          <w:noProof/>
          <w:sz w:val="24"/>
        </w:rPr>
        <w:t xml:space="preserve">ELi kaubanduslepingute tugev institutsiooniline mõõde on võimaldanud kõigil osalistel </w:t>
      </w:r>
      <w:r>
        <w:rPr>
          <w:rFonts w:ascii="Times New Roman" w:hAnsi="Times New Roman"/>
          <w:b/>
          <w:noProof/>
          <w:sz w:val="24"/>
        </w:rPr>
        <w:t>ennetada ja kõrvaldada kaubandustõkkeid</w:t>
      </w:r>
      <w:r>
        <w:rPr>
          <w:rFonts w:ascii="Times New Roman" w:hAnsi="Times New Roman"/>
          <w:noProof/>
          <w:sz w:val="24"/>
        </w:rPr>
        <w:t xml:space="preserve"> võimalikult tulemuslikult, tänu regulaarsetele kontaktidele kaubandus- ja valdkonnaekspertide vahel:</w:t>
      </w:r>
    </w:p>
    <w:p w14:paraId="5CD8AB33" w14:textId="2339C64B" w:rsidR="000B6AA0" w:rsidRPr="00C14642" w:rsidRDefault="00963AF9" w:rsidP="002A746C">
      <w:pPr>
        <w:numPr>
          <w:ilvl w:val="0"/>
          <w:numId w:val="39"/>
        </w:numPr>
        <w:spacing w:after="0"/>
        <w:jc w:val="both"/>
        <w:rPr>
          <w:rFonts w:ascii="Times New Roman" w:hAnsi="Times New Roman"/>
          <w:noProof/>
          <w:sz w:val="24"/>
        </w:rPr>
      </w:pPr>
      <w:r>
        <w:rPr>
          <w:rFonts w:ascii="Times New Roman" w:hAnsi="Times New Roman"/>
          <w:noProof/>
          <w:sz w:val="24"/>
        </w:rPr>
        <w:t xml:space="preserve">pärast ELi-Jaapani majanduspartnerluslepingu raames toimunud kahepoolset suhtlemist vaatas </w:t>
      </w:r>
      <w:r>
        <w:rPr>
          <w:rFonts w:ascii="Times New Roman" w:hAnsi="Times New Roman"/>
          <w:b/>
          <w:noProof/>
          <w:sz w:val="24"/>
        </w:rPr>
        <w:t>Jaapan</w:t>
      </w:r>
      <w:r>
        <w:rPr>
          <w:rFonts w:ascii="Times New Roman" w:hAnsi="Times New Roman"/>
          <w:noProof/>
          <w:sz w:val="24"/>
        </w:rPr>
        <w:t xml:space="preserve"> läbi ja ajakohastas oma lubatud toidu lisaainete loetelu viisil, mis kaitses ELi eksportijate huve. Jaapan kinnitas 2024. aastal, et ELis laialdaselt kasutatavad 33 lisaainet jäävad Jaapani lubatud toidu lisaainete loetellu, rõhutades ELi mainet kõrgekvaliteediliste ja ohutute toiduainete tarnijana;</w:t>
      </w:r>
    </w:p>
    <w:p w14:paraId="0D47E1FE" w14:textId="77777777" w:rsidR="006D18D3" w:rsidRPr="00C14642" w:rsidRDefault="006D18D3" w:rsidP="002A746C">
      <w:pPr>
        <w:pStyle w:val="ListParagraph"/>
        <w:spacing w:after="0"/>
        <w:rPr>
          <w:rFonts w:ascii="Times New Roman" w:hAnsi="Times New Roman"/>
          <w:noProof/>
          <w:sz w:val="24"/>
        </w:rPr>
      </w:pPr>
    </w:p>
    <w:p w14:paraId="404B67B5" w14:textId="56EC92FB" w:rsidR="00BB1E3B" w:rsidRPr="00570F0D" w:rsidRDefault="00BC1DF4" w:rsidP="00C14642">
      <w:pPr>
        <w:pStyle w:val="ListParagraph"/>
        <w:numPr>
          <w:ilvl w:val="0"/>
          <w:numId w:val="43"/>
        </w:numPr>
        <w:jc w:val="both"/>
        <w:rPr>
          <w:rFonts w:ascii="Times New Roman" w:hAnsi="Times New Roman" w:cs="Times New Roman"/>
          <w:noProof/>
          <w:sz w:val="24"/>
          <w:szCs w:val="24"/>
        </w:rPr>
      </w:pPr>
      <w:r>
        <w:rPr>
          <w:rFonts w:ascii="Times New Roman" w:hAnsi="Times New Roman"/>
          <w:noProof/>
          <w:sz w:val="24"/>
        </w:rPr>
        <w:t xml:space="preserve">pärast ELi ja </w:t>
      </w:r>
      <w:r>
        <w:rPr>
          <w:rFonts w:ascii="Times New Roman" w:hAnsi="Times New Roman"/>
          <w:b/>
          <w:noProof/>
          <w:sz w:val="24"/>
        </w:rPr>
        <w:t>Serbia</w:t>
      </w:r>
      <w:r>
        <w:rPr>
          <w:rFonts w:ascii="Times New Roman" w:hAnsi="Times New Roman"/>
          <w:noProof/>
          <w:sz w:val="24"/>
        </w:rPr>
        <w:t xml:space="preserve"> stabiliseerimis- ja assotsieerimislepingu alusel toimunud kahepoolset suhtlust tühistas Serbia 2025. aasta märtsis oma 2024. aasta aprillist kehtinud puitpelletite impordikeelu, mis oli vähendanud ELi eksporti ligikaudu 4 miljoni euro võrra. Samuti kaotati 2025. aasta märtsis 2024. aasta märtsis kehtestatud margariini ja päevalilleõli impordi koguselised piirangud ning 2025. aasta juulis kaotati 2025. aasta jaanuaris kehtestatud metallijäätmete ekspordi koguselised piirangud.</w:t>
      </w:r>
    </w:p>
    <w:p w14:paraId="3E1452CB" w14:textId="2642E565" w:rsidR="00E25ED4" w:rsidRPr="00570F0D" w:rsidRDefault="00E25ED4" w:rsidP="00E25ED4">
      <w:pPr>
        <w:spacing w:after="0" w:line="259" w:lineRule="auto"/>
        <w:contextualSpacing/>
        <w:jc w:val="both"/>
        <w:rPr>
          <w:rFonts w:ascii="Times New Roman" w:eastAsia="Aptos" w:hAnsi="Times New Roman" w:cs="Times New Roman"/>
          <w:noProof/>
          <w:kern w:val="2"/>
          <w:sz w:val="24"/>
          <w:szCs w:val="24"/>
        </w:rPr>
      </w:pPr>
      <w:r>
        <w:rPr>
          <w:rFonts w:ascii="Times New Roman" w:hAnsi="Times New Roman"/>
          <w:noProof/>
          <w:sz w:val="24"/>
        </w:rPr>
        <w:t xml:space="preserve">Kui kahepoolne suhtlus ei anna aga tulemusi, kasutab komisjon vaidluste lahendamist (2024. aasta juunist kuni 2025. aasta juunini algatati viis uut vaidlust) või rakendab ELi huvide kaitsmiseks </w:t>
      </w:r>
      <w:r>
        <w:rPr>
          <w:rFonts w:ascii="Times New Roman" w:hAnsi="Times New Roman"/>
          <w:b/>
          <w:noProof/>
          <w:sz w:val="24"/>
        </w:rPr>
        <w:t>autonoomseid meetmeid</w:t>
      </w:r>
      <w:r>
        <w:rPr>
          <w:rFonts w:ascii="Times New Roman" w:hAnsi="Times New Roman"/>
          <w:noProof/>
          <w:sz w:val="24"/>
        </w:rPr>
        <w:t xml:space="preserve">. 2025. aastal on komisjon hakanud kasutama </w:t>
      </w:r>
      <w:r>
        <w:rPr>
          <w:rFonts w:ascii="Times New Roman" w:hAnsi="Times New Roman"/>
          <w:b/>
          <w:noProof/>
          <w:sz w:val="24"/>
        </w:rPr>
        <w:t>ELi rahvusvaheliste hangete instrumendi</w:t>
      </w:r>
      <w:r>
        <w:rPr>
          <w:rFonts w:ascii="Times New Roman" w:hAnsi="Times New Roman"/>
          <w:noProof/>
          <w:sz w:val="24"/>
        </w:rPr>
        <w:t xml:space="preserve"> alusel antud volitusi, et tegeleda ebaõiglaste tavadega, mis piiravad ELi pakkujate, kaupade ja teenuste juurdepääsu riigihangetele kaubanduspartnerite riikides:</w:t>
      </w:r>
    </w:p>
    <w:p w14:paraId="54AE671C" w14:textId="77777777" w:rsidR="00E25ED4" w:rsidRPr="00570F0D" w:rsidRDefault="00E25ED4" w:rsidP="00E25ED4">
      <w:pPr>
        <w:spacing w:after="0" w:line="259" w:lineRule="auto"/>
        <w:contextualSpacing/>
        <w:jc w:val="both"/>
        <w:rPr>
          <w:rFonts w:ascii="Times New Roman" w:eastAsia="Aptos" w:hAnsi="Times New Roman" w:cs="Times New Roman"/>
          <w:noProof/>
          <w:kern w:val="2"/>
          <w:sz w:val="24"/>
          <w:szCs w:val="24"/>
        </w:rPr>
      </w:pPr>
    </w:p>
    <w:p w14:paraId="7BA98D58" w14:textId="6F672DE7" w:rsidR="00E25ED4" w:rsidRPr="00570F0D" w:rsidRDefault="00306311" w:rsidP="002036BE">
      <w:pPr>
        <w:pStyle w:val="ListParagraph"/>
        <w:numPr>
          <w:ilvl w:val="0"/>
          <w:numId w:val="43"/>
        </w:numPr>
        <w:spacing w:after="0" w:line="259" w:lineRule="auto"/>
        <w:jc w:val="both"/>
        <w:rPr>
          <w:rFonts w:ascii="Times New Roman" w:hAnsi="Times New Roman" w:cs="Times New Roman"/>
          <w:noProof/>
          <w:sz w:val="24"/>
          <w:szCs w:val="24"/>
        </w:rPr>
      </w:pPr>
      <w:r>
        <w:rPr>
          <w:rFonts w:ascii="Times New Roman" w:hAnsi="Times New Roman"/>
          <w:noProof/>
          <w:sz w:val="24"/>
        </w:rPr>
        <w:t xml:space="preserve">14. jaanuaril 2025. aastal, pärast Hiina meditsiiniseadmete sektori uurimise algatamist, avaldas komisjon järeldused, milles kinnitati, et </w:t>
      </w:r>
      <w:r>
        <w:rPr>
          <w:rFonts w:ascii="Times New Roman" w:hAnsi="Times New Roman"/>
          <w:b/>
          <w:noProof/>
          <w:sz w:val="24"/>
        </w:rPr>
        <w:t>Hiina</w:t>
      </w:r>
      <w:r>
        <w:rPr>
          <w:rFonts w:ascii="Times New Roman" w:hAnsi="Times New Roman"/>
          <w:noProof/>
          <w:sz w:val="24"/>
        </w:rPr>
        <w:t xml:space="preserve"> on oma selliste seadmete riigihangetes </w:t>
      </w:r>
      <w:r>
        <w:rPr>
          <w:rFonts w:ascii="Times New Roman" w:hAnsi="Times New Roman"/>
          <w:b/>
          <w:noProof/>
          <w:sz w:val="24"/>
        </w:rPr>
        <w:t>ELi meditsiiniseadmete tarnijaid</w:t>
      </w:r>
      <w:r>
        <w:rPr>
          <w:rFonts w:ascii="Times New Roman" w:hAnsi="Times New Roman"/>
          <w:noProof/>
          <w:sz w:val="24"/>
        </w:rPr>
        <w:t xml:space="preserve"> ebaõiglaselt kohelnud;</w:t>
      </w:r>
    </w:p>
    <w:p w14:paraId="1C8BD11E" w14:textId="77777777" w:rsidR="00805409" w:rsidRPr="00570F0D" w:rsidRDefault="00805409" w:rsidP="00805409">
      <w:pPr>
        <w:pStyle w:val="ListParagraph"/>
        <w:spacing w:after="0" w:line="259" w:lineRule="auto"/>
        <w:jc w:val="both"/>
        <w:rPr>
          <w:rFonts w:ascii="Times New Roman" w:hAnsi="Times New Roman" w:cs="Times New Roman"/>
          <w:noProof/>
          <w:sz w:val="24"/>
          <w:szCs w:val="24"/>
        </w:rPr>
      </w:pPr>
    </w:p>
    <w:p w14:paraId="63874D4B" w14:textId="48E733EB" w:rsidR="00787011" w:rsidRPr="00756E4E" w:rsidRDefault="00306311" w:rsidP="00756E4E">
      <w:pPr>
        <w:pStyle w:val="ListParagraph"/>
        <w:numPr>
          <w:ilvl w:val="0"/>
          <w:numId w:val="43"/>
        </w:numPr>
        <w:spacing w:after="0" w:line="259" w:lineRule="auto"/>
        <w:jc w:val="both"/>
        <w:rPr>
          <w:rFonts w:ascii="Times New Roman" w:hAnsi="Times New Roman"/>
          <w:noProof/>
          <w:sz w:val="24"/>
        </w:rPr>
      </w:pPr>
      <w:r>
        <w:rPr>
          <w:rFonts w:ascii="Times New Roman" w:hAnsi="Times New Roman"/>
          <w:noProof/>
          <w:sz w:val="24"/>
        </w:rPr>
        <w:t>19. juunil 2025. aastal otsustas komisjon kehtestada Hiina suhtes meetmed,</w:t>
      </w:r>
      <w:r>
        <w:rPr>
          <w:rStyle w:val="FootnoteReference"/>
          <w:rFonts w:ascii="Times New Roman" w:eastAsia="Aptos" w:hAnsi="Times New Roman" w:cs="Times New Roman"/>
          <w:noProof/>
          <w:kern w:val="2"/>
          <w:sz w:val="24"/>
          <w:szCs w:val="24"/>
        </w:rPr>
        <w:footnoteReference w:id="7"/>
      </w:r>
      <w:r>
        <w:rPr>
          <w:rFonts w:ascii="Times New Roman" w:hAnsi="Times New Roman"/>
          <w:noProof/>
          <w:sz w:val="24"/>
        </w:rPr>
        <w:t xml:space="preserve"> millega keelatakse Hiina ettevõtjatel esitada pakkumusi ELis korraldatavatele meditsiiniseadmete riigihangetele, mille väärtus ületab 5 miljonit eurot. Lisaks ei oleks edukatel pakkujatel lubatud selliste lepingute täitmise eesmärgil hankida Hiinast üle 50 % sisenditest.</w:t>
      </w:r>
      <w:bookmarkStart w:id="17" w:name="_Hlk200995073"/>
    </w:p>
    <w:bookmarkEnd w:id="17"/>
    <w:p w14:paraId="377E2860" w14:textId="77777777" w:rsidR="00E25ED4" w:rsidRPr="00570F0D" w:rsidRDefault="00E25ED4" w:rsidP="00E25ED4">
      <w:pPr>
        <w:spacing w:after="0"/>
        <w:rPr>
          <w:rFonts w:ascii="Times New Roman" w:hAnsi="Times New Roman" w:cs="Times New Roman"/>
          <w:b/>
          <w:bCs/>
          <w:i/>
          <w:iCs/>
          <w:noProof/>
          <w:sz w:val="24"/>
          <w:szCs w:val="24"/>
        </w:rPr>
      </w:pPr>
    </w:p>
    <w:p w14:paraId="683EA534" w14:textId="04034DCD" w:rsidR="005E10AE" w:rsidRPr="00756E4E" w:rsidRDefault="005E10AE" w:rsidP="006640BB">
      <w:pPr>
        <w:spacing w:after="120"/>
        <w:rPr>
          <w:rFonts w:ascii="Times New Roman" w:hAnsi="Times New Roman"/>
          <w:b/>
          <w:i/>
          <w:noProof/>
          <w:sz w:val="24"/>
        </w:rPr>
      </w:pPr>
      <w:r>
        <w:rPr>
          <w:rFonts w:ascii="Times New Roman" w:hAnsi="Times New Roman"/>
          <w:b/>
          <w:i/>
          <w:noProof/>
          <w:sz w:val="24"/>
        </w:rPr>
        <w:t>Kaubanduslepingutel on olnud oluline roll kestlikkuse edendamisel</w:t>
      </w:r>
    </w:p>
    <w:p w14:paraId="60E8238F" w14:textId="06909F2C" w:rsidR="00E40CB1" w:rsidRPr="00955CE4" w:rsidRDefault="005E10AE" w:rsidP="39F0467E">
      <w:pPr>
        <w:pStyle w:val="NormalWeb"/>
        <w:jc w:val="both"/>
        <w:rPr>
          <w:noProof/>
        </w:rPr>
      </w:pPr>
      <w:r>
        <w:rPr>
          <w:noProof/>
        </w:rPr>
        <w:t xml:space="preserve">ELi kaubanduslepingutel on jätkuvalt olnud </w:t>
      </w:r>
      <w:r>
        <w:rPr>
          <w:b/>
          <w:noProof/>
        </w:rPr>
        <w:t>oluline roll</w:t>
      </w:r>
      <w:r>
        <w:rPr>
          <w:noProof/>
        </w:rPr>
        <w:t xml:space="preserve"> </w:t>
      </w:r>
      <w:r>
        <w:rPr>
          <w:b/>
          <w:noProof/>
        </w:rPr>
        <w:t>kaubanduse ja kestlikkuse toetamisel</w:t>
      </w:r>
      <w:r>
        <w:rPr>
          <w:noProof/>
        </w:rPr>
        <w:t>. Alates 2012. aastast sõlmitud 14 lepingut (millest esimene sõlmiti Lõuna-Koreaga) sisaldavad sätteid, millega edendatakse rahvusvahelisi töö- ja keskkonnastandardeid. Komisjon jätkas töö, sooliste aspektide, keskkonna, kliima ja kodanikuühiskonnaga seotud küsimusi hõlmavate riigipõhiste prioriteetide väljatöötamist, tehes tihedat koostööd kõnealuste lepingute alusel loodud ELi sisenõuanderühmadega, kuhu on kaasatud ettevõtjad, ametiühingud ja muud sidusrühmad ning mis abistavad komisjoni kaubanduslepingute rakendamisel.</w:t>
      </w:r>
    </w:p>
    <w:p w14:paraId="060EF58A" w14:textId="739F58B2" w:rsidR="00777540" w:rsidRPr="00955CE4" w:rsidRDefault="00BA0B6F" w:rsidP="39F0467E">
      <w:pPr>
        <w:pStyle w:val="NormalWeb"/>
        <w:jc w:val="both"/>
        <w:rPr>
          <w:noProof/>
        </w:rPr>
      </w:pPr>
      <w:r>
        <w:rPr>
          <w:noProof/>
        </w:rPr>
        <w:t>2024. aastal tehti Colombias, Guatemalas ja Moldovas edusamme tööõiguse valdkonna rahvusvaheliste põhikonventsioonide ratifitseerimisel ja rakendamisel.</w:t>
      </w:r>
    </w:p>
    <w:p w14:paraId="13C2680C" w14:textId="38F070AB" w:rsidR="001F4344" w:rsidRPr="00955CE4" w:rsidRDefault="001F4344" w:rsidP="39F0467E">
      <w:pPr>
        <w:pStyle w:val="NormalWeb"/>
        <w:jc w:val="both"/>
        <w:rPr>
          <w:noProof/>
        </w:rPr>
      </w:pPr>
      <w:r>
        <w:rPr>
          <w:noProof/>
        </w:rPr>
        <w:t xml:space="preserve">Komisjoni </w:t>
      </w:r>
      <w:r>
        <w:rPr>
          <w:b/>
          <w:noProof/>
        </w:rPr>
        <w:t>ühtne kontaktpunkt</w:t>
      </w:r>
      <w:r>
        <w:rPr>
          <w:rStyle w:val="FootnoteReference"/>
          <w:rFonts w:eastAsia="Times New Roman"/>
          <w:b/>
          <w:bCs/>
          <w:noProof/>
        </w:rPr>
        <w:footnoteReference w:id="8"/>
      </w:r>
      <w:r>
        <w:rPr>
          <w:noProof/>
        </w:rPr>
        <w:t xml:space="preserve"> hindab kahte täiendavat kaubanduse ja kestliku arengu teemalist ametlikku kaebust, mõlemad seoses Vietnamiga. Esimene saadi 2024. aasta märtsis ja see puudutab Rahvusvahelise Tööorganisatsiooni põhikonventsioonide ratifitseerimist; teine saadi 2025. aasta veebruaris ning see käsitleb inim- ja tööõiguste rikkumisi.</w:t>
      </w:r>
    </w:p>
    <w:p w14:paraId="78A3FEB3" w14:textId="7987EC7E" w:rsidR="008031A5" w:rsidRPr="00756E4E" w:rsidRDefault="008031A5" w:rsidP="00F936B9">
      <w:pPr>
        <w:spacing w:after="0"/>
        <w:rPr>
          <w:rFonts w:ascii="Times New Roman" w:hAnsi="Times New Roman"/>
          <w:b/>
          <w:i/>
          <w:noProof/>
          <w:sz w:val="24"/>
        </w:rPr>
      </w:pPr>
      <w:r>
        <w:rPr>
          <w:rFonts w:ascii="Times New Roman" w:hAnsi="Times New Roman"/>
          <w:b/>
          <w:i/>
          <w:noProof/>
          <w:sz w:val="24"/>
        </w:rPr>
        <w:t>Aruandega hõlmatud valdkonnad</w:t>
      </w:r>
    </w:p>
    <w:p w14:paraId="68AB051F" w14:textId="77777777" w:rsidR="0019751F" w:rsidRPr="00756E4E" w:rsidRDefault="0019751F" w:rsidP="00F936B9">
      <w:pPr>
        <w:spacing w:after="0"/>
        <w:rPr>
          <w:rFonts w:ascii="Times New Roman" w:hAnsi="Times New Roman"/>
          <w:b/>
          <w:noProof/>
          <w:sz w:val="24"/>
        </w:rPr>
      </w:pPr>
    </w:p>
    <w:p w14:paraId="496622DD" w14:textId="16B1448D" w:rsidR="008031A5" w:rsidRPr="00955CE4" w:rsidRDefault="008031A5" w:rsidP="008031A5">
      <w:pPr>
        <w:jc w:val="both"/>
        <w:rPr>
          <w:rFonts w:ascii="Times New Roman" w:hAnsi="Times New Roman"/>
          <w:noProof/>
          <w:sz w:val="24"/>
        </w:rPr>
      </w:pPr>
      <w:r>
        <w:rPr>
          <w:rFonts w:ascii="Times New Roman" w:hAnsi="Times New Roman"/>
          <w:noProof/>
          <w:sz w:val="24"/>
        </w:rPr>
        <w:t xml:space="preserve">Käesolev aruanne on viies konsolideeritud </w:t>
      </w:r>
      <w:r>
        <w:rPr>
          <w:rFonts w:ascii="Times New Roman" w:hAnsi="Times New Roman"/>
          <w:b/>
          <w:noProof/>
          <w:sz w:val="24"/>
        </w:rPr>
        <w:t>aastaaruanne</w:t>
      </w:r>
      <w:r>
        <w:rPr>
          <w:rStyle w:val="FootnoteReference"/>
          <w:noProof/>
        </w:rPr>
        <w:footnoteReference w:id="9"/>
      </w:r>
      <w:r>
        <w:rPr>
          <w:rFonts w:ascii="Times New Roman" w:hAnsi="Times New Roman"/>
          <w:noProof/>
          <w:sz w:val="24"/>
        </w:rPr>
        <w:t xml:space="preserve"> 2024. aastal jõus olnud kahepoolsetes sooduskaubanduslepingutes</w:t>
      </w:r>
      <w:r>
        <w:rPr>
          <w:rStyle w:val="FootnoteReference"/>
          <w:rFonts w:ascii="Times New Roman" w:hAnsi="Times New Roman" w:cs="Times New Roman"/>
          <w:noProof/>
          <w:sz w:val="24"/>
          <w:szCs w:val="24"/>
        </w:rPr>
        <w:footnoteReference w:id="10"/>
      </w:r>
      <w:r>
        <w:rPr>
          <w:rFonts w:ascii="Times New Roman" w:hAnsi="Times New Roman"/>
          <w:noProof/>
          <w:sz w:val="24"/>
        </w:rPr>
        <w:t xml:space="preserve"> sätestatud ja WTOs võetud kaubanduskohustuste rakendamise ja täitmise tagamise kohta. See annab ülevaate ELi peamistest tegevustest ja saavutustest 2024. aastal ning 2025. aasta esimese seitsme kuu jooksul, mis on toimunud komisjoni kaubandusvaldkonna juhtiva järelevalveametniku juhtimisel.</w:t>
      </w:r>
    </w:p>
    <w:p w14:paraId="3180E296" w14:textId="19F88CF1" w:rsidR="008031A5" w:rsidRPr="00955CE4" w:rsidRDefault="008031A5" w:rsidP="008031A5">
      <w:pPr>
        <w:jc w:val="both"/>
        <w:rPr>
          <w:rFonts w:ascii="Times New Roman" w:hAnsi="Times New Roman"/>
          <w:noProof/>
          <w:sz w:val="24"/>
        </w:rPr>
      </w:pPr>
      <w:r>
        <w:rPr>
          <w:rFonts w:ascii="Times New Roman" w:hAnsi="Times New Roman"/>
          <w:noProof/>
          <w:sz w:val="24"/>
        </w:rPr>
        <w:t xml:space="preserve">Aruandele lisatud </w:t>
      </w:r>
      <w:r>
        <w:rPr>
          <w:rFonts w:ascii="Times New Roman" w:hAnsi="Times New Roman"/>
          <w:b/>
          <w:noProof/>
          <w:sz w:val="24"/>
        </w:rPr>
        <w:t>komisjoni talituste töödokument</w:t>
      </w:r>
      <w:r>
        <w:rPr>
          <w:rStyle w:val="FootnoteReference"/>
          <w:noProof/>
        </w:rPr>
        <w:footnoteReference w:id="11"/>
      </w:r>
      <w:r>
        <w:rPr>
          <w:rFonts w:ascii="Times New Roman" w:hAnsi="Times New Roman"/>
          <w:noProof/>
          <w:sz w:val="24"/>
        </w:rPr>
        <w:t xml:space="preserve"> sisaldab lisateavet ELi 41 suurema sooduskaubanduslepingu kohta. </w:t>
      </w:r>
      <w:r>
        <w:rPr>
          <w:rFonts w:ascii="Times New Roman" w:hAnsi="Times New Roman"/>
          <w:b/>
          <w:noProof/>
          <w:sz w:val="24"/>
        </w:rPr>
        <w:t>Komisjoni veebisaidil</w:t>
      </w:r>
      <w:r>
        <w:rPr>
          <w:rStyle w:val="FootnoteReference"/>
          <w:noProof/>
        </w:rPr>
        <w:footnoteReference w:id="12"/>
      </w:r>
      <w:r>
        <w:rPr>
          <w:rFonts w:ascii="Times New Roman" w:hAnsi="Times New Roman"/>
          <w:noProof/>
          <w:sz w:val="24"/>
        </w:rPr>
        <w:t xml:space="preserve"> on aruannet täiendav teave selle kohta, i) kuidas arenes 2024. aastal ELi kauplemine sooduskaubanduspartneritega, ii) kuidas ELi eksportijad ja importijad kasutasid sooduskaubanduspartnerite puhul tariifisoodustusi nii ELis tervikuna kui ka liikmesriikide lõikes ning iii) andmed tariifikvootide kasutamise kohta teatavate kaubanduslepingute alusel.</w:t>
      </w:r>
    </w:p>
    <w:p w14:paraId="38816125" w14:textId="6458EB6E" w:rsidR="008031A5" w:rsidRPr="00955CE4" w:rsidRDefault="00EA3EB2" w:rsidP="008031A5">
      <w:pPr>
        <w:jc w:val="both"/>
        <w:rPr>
          <w:rFonts w:ascii="Times New Roman" w:hAnsi="Times New Roman"/>
          <w:noProof/>
          <w:sz w:val="24"/>
        </w:rPr>
      </w:pPr>
      <w:r>
        <w:rPr>
          <w:rFonts w:ascii="Times New Roman" w:hAnsi="Times New Roman"/>
          <w:noProof/>
          <w:sz w:val="24"/>
        </w:rPr>
        <w:t>Selles aruandes keskendutakse ELi kaubanduspoliitika rakendamisele ja täitmise tagamisele ELi sooduskaubanduslepingute ja -suhete võrgustiku kaudu. See on seotud ka majandusjulgeoleku ning täitmise tagamisega seotud laiemate küsimustega teatud valdkondades, mida käesolevas aruandes käsitletakse üksnes põgusalt, kuid mis on eraldi komisjoni aruannete teemaks. Nende hulka kuuluvad:</w:t>
      </w:r>
    </w:p>
    <w:p w14:paraId="56789B50" w14:textId="77777777" w:rsidR="008031A5" w:rsidRPr="00955CE4" w:rsidRDefault="008031A5" w:rsidP="008031A5">
      <w:pPr>
        <w:numPr>
          <w:ilvl w:val="0"/>
          <w:numId w:val="4"/>
        </w:numPr>
        <w:spacing w:after="0"/>
        <w:contextualSpacing/>
        <w:jc w:val="both"/>
        <w:rPr>
          <w:rFonts w:ascii="Times New Roman" w:hAnsi="Times New Roman"/>
          <w:noProof/>
          <w:sz w:val="24"/>
        </w:rPr>
      </w:pPr>
      <w:r>
        <w:rPr>
          <w:rFonts w:ascii="Times New Roman" w:hAnsi="Times New Roman"/>
          <w:b/>
          <w:noProof/>
          <w:sz w:val="24"/>
        </w:rPr>
        <w:t>kaubanduse kaitsemeetmete</w:t>
      </w:r>
      <w:r>
        <w:rPr>
          <w:rFonts w:ascii="Times New Roman" w:hAnsi="Times New Roman"/>
          <w:noProof/>
          <w:sz w:val="24"/>
        </w:rPr>
        <w:t xml:space="preserve"> (dumpinguvastaste ja subsiidiumivastaste meetmete ning muude kaitsemeetmete) kasutamine, mida kajastatakse komisjoni iga-aastases kaubanduse kaitsemeetmete aruandes</w:t>
      </w:r>
      <w:r>
        <w:rPr>
          <w:rStyle w:val="FootnoteReference"/>
          <w:noProof/>
        </w:rPr>
        <w:footnoteReference w:id="13"/>
      </w:r>
      <w:r>
        <w:rPr>
          <w:rFonts w:ascii="Times New Roman" w:hAnsi="Times New Roman"/>
          <w:noProof/>
          <w:sz w:val="24"/>
        </w:rPr>
        <w:t>;</w:t>
      </w:r>
    </w:p>
    <w:p w14:paraId="216B056E" w14:textId="77777777" w:rsidR="00E25ED4" w:rsidRPr="00570F0D" w:rsidRDefault="00E25ED4" w:rsidP="00E25ED4">
      <w:pPr>
        <w:spacing w:after="0"/>
        <w:ind w:left="720"/>
        <w:contextualSpacing/>
        <w:jc w:val="both"/>
        <w:rPr>
          <w:rFonts w:ascii="Times New Roman" w:hAnsi="Times New Roman" w:cs="Times New Roman"/>
          <w:noProof/>
          <w:sz w:val="24"/>
          <w:szCs w:val="24"/>
        </w:rPr>
      </w:pPr>
    </w:p>
    <w:p w14:paraId="6BEB21DA" w14:textId="5A35C48A" w:rsidR="008031A5" w:rsidRDefault="008031A5" w:rsidP="008031A5">
      <w:pPr>
        <w:numPr>
          <w:ilvl w:val="0"/>
          <w:numId w:val="4"/>
        </w:numPr>
        <w:spacing w:after="0"/>
        <w:jc w:val="both"/>
        <w:rPr>
          <w:rFonts w:ascii="Times New Roman" w:hAnsi="Times New Roman" w:cs="Times New Roman"/>
          <w:noProof/>
          <w:sz w:val="24"/>
          <w:szCs w:val="24"/>
        </w:rPr>
      </w:pPr>
      <w:r>
        <w:rPr>
          <w:rFonts w:ascii="Times New Roman" w:hAnsi="Times New Roman"/>
          <w:noProof/>
          <w:sz w:val="24"/>
        </w:rPr>
        <w:t xml:space="preserve">võltsimise, piraatluse ja muude </w:t>
      </w:r>
      <w:r>
        <w:rPr>
          <w:rFonts w:ascii="Times New Roman" w:hAnsi="Times New Roman"/>
          <w:b/>
          <w:noProof/>
          <w:sz w:val="24"/>
        </w:rPr>
        <w:t>intellektuaalomandi õiguste</w:t>
      </w:r>
      <w:r>
        <w:rPr>
          <w:rFonts w:ascii="Times New Roman" w:hAnsi="Times New Roman"/>
          <w:noProof/>
          <w:sz w:val="24"/>
        </w:rPr>
        <w:t xml:space="preserve"> rikkumise jälgimine ja nende vastu võitlemine, mida kajastatakse komisjoni iga kahe aasta tagant esitatavas kolmandate riikide </w:t>
      </w:r>
      <w:bookmarkStart w:id="19" w:name="_Hlk135668886"/>
      <w:r>
        <w:rPr>
          <w:rFonts w:ascii="Times New Roman" w:hAnsi="Times New Roman"/>
          <w:noProof/>
          <w:sz w:val="24"/>
        </w:rPr>
        <w:t>intellektuaalomandi õigusi käsitlevas aruandes</w:t>
      </w:r>
      <w:r>
        <w:rPr>
          <w:rStyle w:val="FootnoteReference"/>
          <w:noProof/>
        </w:rPr>
        <w:footnoteReference w:id="14"/>
      </w:r>
      <w:bookmarkEnd w:id="19"/>
      <w:r>
        <w:rPr>
          <w:noProof/>
        </w:rPr>
        <w:t xml:space="preserve"> </w:t>
      </w:r>
      <w:bookmarkStart w:id="21" w:name="_Hlk135668983"/>
      <w:r>
        <w:rPr>
          <w:rFonts w:ascii="Times New Roman" w:hAnsi="Times New Roman"/>
          <w:noProof/>
          <w:sz w:val="24"/>
        </w:rPr>
        <w:t>ja piraatlusjuhtumite jälgimise nimekirjas</w:t>
      </w:r>
      <w:r>
        <w:rPr>
          <w:rStyle w:val="FootnoteReference"/>
          <w:noProof/>
        </w:rPr>
        <w:footnoteReference w:id="15"/>
      </w:r>
      <w:r>
        <w:rPr>
          <w:rFonts w:ascii="Times New Roman" w:hAnsi="Times New Roman"/>
          <w:noProof/>
          <w:sz w:val="24"/>
        </w:rPr>
        <w:t>;</w:t>
      </w:r>
      <w:bookmarkEnd w:id="21"/>
    </w:p>
    <w:p w14:paraId="15E524AD" w14:textId="77777777" w:rsidR="00EA4790" w:rsidRDefault="00EA4790" w:rsidP="00EA4790">
      <w:pPr>
        <w:spacing w:after="0"/>
        <w:ind w:left="720"/>
        <w:contextualSpacing/>
        <w:jc w:val="both"/>
        <w:rPr>
          <w:rFonts w:ascii="Times New Roman" w:hAnsi="Times New Roman" w:cs="Times New Roman"/>
          <w:noProof/>
          <w:sz w:val="24"/>
          <w:szCs w:val="24"/>
        </w:rPr>
      </w:pPr>
    </w:p>
    <w:p w14:paraId="367EA793" w14:textId="1D519EE9" w:rsidR="008031A5" w:rsidRPr="00955CE4" w:rsidRDefault="008031A5" w:rsidP="008031A5">
      <w:pPr>
        <w:numPr>
          <w:ilvl w:val="0"/>
          <w:numId w:val="4"/>
        </w:numPr>
        <w:spacing w:after="0"/>
        <w:contextualSpacing/>
        <w:jc w:val="both"/>
        <w:rPr>
          <w:rFonts w:ascii="Times New Roman" w:hAnsi="Times New Roman"/>
          <w:noProof/>
          <w:sz w:val="24"/>
        </w:rPr>
      </w:pPr>
      <w:r>
        <w:rPr>
          <w:rFonts w:ascii="Times New Roman" w:hAnsi="Times New Roman"/>
          <w:noProof/>
          <w:sz w:val="24"/>
        </w:rPr>
        <w:t xml:space="preserve">välismaiste otseinvesteeringute taustauuringud ja kahesuguse kasutusega kaupade ekspordi kontrollimine, mis kujutavad endast </w:t>
      </w:r>
      <w:r>
        <w:rPr>
          <w:rFonts w:ascii="Times New Roman" w:hAnsi="Times New Roman"/>
          <w:b/>
          <w:noProof/>
          <w:sz w:val="24"/>
        </w:rPr>
        <w:t>julgeoleku tagamiseks tehtavaid ELi strateegilisi kaubandus- ja investeerimiskontrolle</w:t>
      </w:r>
      <w:r>
        <w:rPr>
          <w:rFonts w:ascii="Times New Roman" w:hAnsi="Times New Roman"/>
          <w:noProof/>
          <w:sz w:val="24"/>
        </w:rPr>
        <w:t xml:space="preserve"> ning mida kajastatakse komisjoni iga-aastastes aruannetes välismaiste otseinvesteeringute taustauuringute</w:t>
      </w:r>
      <w:r>
        <w:rPr>
          <w:rStyle w:val="FootnoteReference"/>
          <w:noProof/>
        </w:rPr>
        <w:footnoteReference w:id="16"/>
      </w:r>
      <w:r>
        <w:rPr>
          <w:rFonts w:ascii="Times New Roman" w:hAnsi="Times New Roman"/>
          <w:noProof/>
          <w:sz w:val="24"/>
        </w:rPr>
        <w:t xml:space="preserve"> kohta ja ekspordikontrolli määruse (EL) 2021/821 kohta</w:t>
      </w:r>
      <w:r>
        <w:rPr>
          <w:rStyle w:val="FootnoteReference"/>
          <w:noProof/>
        </w:rPr>
        <w:footnoteReference w:id="17"/>
      </w:r>
      <w:r>
        <w:rPr>
          <w:rFonts w:ascii="Times New Roman" w:hAnsi="Times New Roman"/>
          <w:noProof/>
          <w:sz w:val="24"/>
        </w:rPr>
        <w:t>;</w:t>
      </w:r>
    </w:p>
    <w:p w14:paraId="44699A5C" w14:textId="77777777" w:rsidR="00E25ED4" w:rsidRPr="00570F0D" w:rsidRDefault="00E25ED4" w:rsidP="00E25ED4">
      <w:pPr>
        <w:spacing w:after="0"/>
        <w:ind w:left="720"/>
        <w:contextualSpacing/>
        <w:jc w:val="both"/>
        <w:rPr>
          <w:rFonts w:ascii="Times New Roman" w:hAnsi="Times New Roman" w:cs="Times New Roman"/>
          <w:noProof/>
          <w:sz w:val="24"/>
          <w:szCs w:val="24"/>
        </w:rPr>
      </w:pPr>
    </w:p>
    <w:p w14:paraId="33EF8426" w14:textId="5F4A08C4" w:rsidR="008031A5" w:rsidRPr="00955CE4" w:rsidRDefault="008031A5" w:rsidP="008031A5">
      <w:pPr>
        <w:numPr>
          <w:ilvl w:val="0"/>
          <w:numId w:val="4"/>
        </w:numPr>
        <w:spacing w:after="0"/>
        <w:contextualSpacing/>
        <w:jc w:val="both"/>
        <w:rPr>
          <w:rFonts w:ascii="Times New Roman" w:hAnsi="Times New Roman"/>
          <w:noProof/>
          <w:sz w:val="24"/>
        </w:rPr>
      </w:pPr>
      <w:r>
        <w:rPr>
          <w:rFonts w:ascii="Times New Roman" w:hAnsi="Times New Roman"/>
          <w:b/>
          <w:noProof/>
          <w:sz w:val="24"/>
        </w:rPr>
        <w:t>ELi üldiste tariifsete soodustuste kava</w:t>
      </w:r>
      <w:r>
        <w:rPr>
          <w:rFonts w:ascii="Times New Roman" w:hAnsi="Times New Roman"/>
          <w:noProof/>
          <w:sz w:val="24"/>
        </w:rPr>
        <w:t xml:space="preserve"> kohaldamine, mida kajastatakse komisjoni aruannetes üldiste tariifsete soodustuste kava kohta</w:t>
      </w:r>
      <w:r>
        <w:rPr>
          <w:rStyle w:val="FootnoteReference"/>
          <w:noProof/>
        </w:rPr>
        <w:footnoteReference w:id="18"/>
      </w:r>
      <w:r>
        <w:rPr>
          <w:rFonts w:ascii="Times New Roman" w:hAnsi="Times New Roman"/>
          <w:noProof/>
          <w:sz w:val="24"/>
        </w:rPr>
        <w:t>.</w:t>
      </w:r>
    </w:p>
    <w:p w14:paraId="06AD862B" w14:textId="77777777" w:rsidR="008031A5" w:rsidRPr="00955CE4" w:rsidRDefault="008031A5" w:rsidP="008031A5">
      <w:pPr>
        <w:spacing w:after="0"/>
        <w:contextualSpacing/>
        <w:jc w:val="both"/>
        <w:rPr>
          <w:rFonts w:ascii="Times New Roman" w:hAnsi="Times New Roman"/>
          <w:noProof/>
          <w:sz w:val="24"/>
        </w:rPr>
      </w:pPr>
    </w:p>
    <w:p w14:paraId="142AB548" w14:textId="363F22EB" w:rsidR="002359A3" w:rsidRPr="00955CE4" w:rsidRDefault="008031A5" w:rsidP="0096743C">
      <w:pPr>
        <w:spacing w:after="0"/>
        <w:contextualSpacing/>
        <w:jc w:val="both"/>
        <w:rPr>
          <w:rFonts w:ascii="Times New Roman" w:hAnsi="Times New Roman"/>
          <w:noProof/>
          <w:sz w:val="24"/>
        </w:rPr>
      </w:pPr>
      <w:r>
        <w:rPr>
          <w:rFonts w:ascii="Times New Roman" w:hAnsi="Times New Roman"/>
          <w:noProof/>
          <w:sz w:val="24"/>
        </w:rPr>
        <w:t xml:space="preserve">Peale selle koostatakse eraldi aastaaruanded </w:t>
      </w:r>
      <w:r>
        <w:rPr>
          <w:rFonts w:ascii="Times New Roman" w:hAnsi="Times New Roman"/>
          <w:b/>
          <w:noProof/>
          <w:sz w:val="24"/>
        </w:rPr>
        <w:t>välisriigi subsiidiume käsitleva määruse</w:t>
      </w:r>
      <w:r>
        <w:rPr>
          <w:rStyle w:val="FootnoteReference"/>
          <w:rFonts w:ascii="Times New Roman" w:hAnsi="Times New Roman"/>
          <w:noProof/>
          <w:sz w:val="24"/>
        </w:rPr>
        <w:footnoteReference w:id="19"/>
      </w:r>
      <w:r>
        <w:rPr>
          <w:rFonts w:ascii="Times New Roman" w:hAnsi="Times New Roman"/>
          <w:b/>
          <w:noProof/>
          <w:sz w:val="24"/>
        </w:rPr>
        <w:t xml:space="preserve"> ja rahvusvaheliste hangete instrumenti käsitleva määruse</w:t>
      </w:r>
      <w:r>
        <w:rPr>
          <w:rStyle w:val="FootnoteReference"/>
          <w:rFonts w:ascii="Times New Roman" w:hAnsi="Times New Roman"/>
          <w:noProof/>
          <w:sz w:val="24"/>
        </w:rPr>
        <w:footnoteReference w:id="20"/>
      </w:r>
      <w:r>
        <w:rPr>
          <w:rFonts w:ascii="Times New Roman" w:hAnsi="Times New Roman"/>
          <w:noProof/>
          <w:sz w:val="24"/>
        </w:rPr>
        <w:t xml:space="preserve"> kohaldamise kohta.</w:t>
      </w:r>
      <w:bookmarkEnd w:id="1"/>
    </w:p>
    <w:p w14:paraId="62048216" w14:textId="77777777" w:rsidR="0019751F" w:rsidRPr="00955CE4" w:rsidRDefault="0019751F" w:rsidP="0096743C">
      <w:pPr>
        <w:spacing w:after="0"/>
        <w:contextualSpacing/>
        <w:jc w:val="both"/>
        <w:rPr>
          <w:rFonts w:ascii="Times New Roman" w:hAnsi="Times New Roman"/>
          <w:noProof/>
          <w:sz w:val="24"/>
        </w:rPr>
      </w:pPr>
    </w:p>
    <w:p w14:paraId="05609105" w14:textId="77CFADCB" w:rsidR="00B41751" w:rsidRPr="00570F0D" w:rsidRDefault="00B41751" w:rsidP="008031A5">
      <w:pPr>
        <w:pStyle w:val="Style1"/>
        <w:numPr>
          <w:ilvl w:val="0"/>
          <w:numId w:val="15"/>
        </w:numPr>
        <w:rPr>
          <w:rFonts w:cs="Times New Roman"/>
          <w:noProof/>
          <w:szCs w:val="32"/>
        </w:rPr>
      </w:pPr>
      <w:bookmarkStart w:id="24" w:name="_Toc211940626"/>
      <w:r>
        <w:rPr>
          <w:noProof/>
        </w:rPr>
        <w:t>ELi kahepoolsete kaubanduslepingute võimalikult tõhus rakendamine</w:t>
      </w:r>
      <w:bookmarkEnd w:id="24"/>
    </w:p>
    <w:p w14:paraId="1E482D50" w14:textId="77777777" w:rsidR="00B41751" w:rsidRPr="00955CE4" w:rsidRDefault="00B41751" w:rsidP="00E071A4">
      <w:pPr>
        <w:spacing w:after="0" w:line="259" w:lineRule="auto"/>
        <w:rPr>
          <w:rFonts w:ascii="Times New Roman" w:hAnsi="Times New Roman"/>
          <w:b/>
          <w:noProof/>
          <w:kern w:val="2"/>
          <w:sz w:val="24"/>
        </w:rPr>
      </w:pPr>
    </w:p>
    <w:p w14:paraId="30588A50" w14:textId="754B367C" w:rsidR="00E071A4" w:rsidRPr="00570F0D" w:rsidRDefault="00E071A4" w:rsidP="00E071A4">
      <w:pPr>
        <w:spacing w:after="0" w:line="259" w:lineRule="auto"/>
        <w:rPr>
          <w:rFonts w:ascii="Times New Roman" w:eastAsia="Aptos" w:hAnsi="Times New Roman" w:cs="Times New Roman"/>
          <w:b/>
          <w:bCs/>
          <w:noProof/>
          <w:kern w:val="2"/>
          <w:sz w:val="24"/>
          <w:szCs w:val="24"/>
        </w:rPr>
      </w:pPr>
      <w:r>
        <w:rPr>
          <w:rFonts w:ascii="Times New Roman" w:hAnsi="Times New Roman"/>
          <w:b/>
          <w:noProof/>
          <w:sz w:val="24"/>
        </w:rPr>
        <w:t>II.1</w:t>
      </w:r>
      <w:r>
        <w:rPr>
          <w:noProof/>
        </w:rPr>
        <w:tab/>
      </w:r>
      <w:r>
        <w:rPr>
          <w:rFonts w:ascii="Times New Roman" w:hAnsi="Times New Roman"/>
          <w:b/>
          <w:noProof/>
          <w:sz w:val="24"/>
        </w:rPr>
        <w:t>ELi kauplemine sooduskaubanduspartneritega – peamised arengusuunad 2024. aastal</w:t>
      </w:r>
    </w:p>
    <w:p w14:paraId="4FBEE652" w14:textId="6176290F" w:rsidR="00E071A4" w:rsidRPr="00570F0D" w:rsidRDefault="00E071A4" w:rsidP="00E071A4">
      <w:pPr>
        <w:spacing w:after="0" w:line="259" w:lineRule="auto"/>
        <w:rPr>
          <w:rFonts w:ascii="Times New Roman" w:eastAsia="Aptos" w:hAnsi="Times New Roman" w:cs="Times New Roman"/>
          <w:noProof/>
          <w:kern w:val="2"/>
          <w:sz w:val="24"/>
          <w:szCs w:val="24"/>
        </w:rPr>
      </w:pPr>
    </w:p>
    <w:p w14:paraId="3A558E14" w14:textId="4EEBD07B" w:rsidR="005F5F3C" w:rsidRPr="00955CE4" w:rsidRDefault="005F5F3C" w:rsidP="00E071A4">
      <w:pPr>
        <w:spacing w:after="160" w:line="259" w:lineRule="auto"/>
        <w:jc w:val="both"/>
        <w:rPr>
          <w:rFonts w:ascii="Times New Roman" w:hAnsi="Times New Roman"/>
          <w:noProof/>
          <w:kern w:val="2"/>
          <w:sz w:val="24"/>
        </w:rPr>
      </w:pPr>
      <w:r>
        <w:rPr>
          <w:rFonts w:ascii="Times New Roman" w:hAnsi="Times New Roman"/>
          <w:noProof/>
          <w:sz w:val="24"/>
        </w:rPr>
        <w:t>2024. aastal jõustusid ELi ja Uus-Meremaa vabakaubandusleping (1. mai 2024) ning ELi ja Keenia majanduspartnerlusleping (1. juuli 2024), millega tõusis kehtivate sooduskaubanduslepingute arv 44ni;</w:t>
      </w:r>
      <w:r>
        <w:rPr>
          <w:rStyle w:val="FootnoteReference"/>
          <w:noProof/>
        </w:rPr>
        <w:footnoteReference w:id="21"/>
      </w:r>
      <w:r>
        <w:rPr>
          <w:rFonts w:ascii="Times New Roman" w:hAnsi="Times New Roman"/>
          <w:noProof/>
          <w:sz w:val="24"/>
        </w:rPr>
        <w:t xml:space="preserve"> need hõlmasid 46,1 %</w:t>
      </w:r>
      <w:r>
        <w:rPr>
          <w:rStyle w:val="FootnoteReference"/>
          <w:rFonts w:ascii="Times New Roman" w:hAnsi="Times New Roman"/>
          <w:noProof/>
          <w:kern w:val="2"/>
          <w:sz w:val="24"/>
        </w:rPr>
        <w:footnoteReference w:id="22"/>
      </w:r>
      <w:r>
        <w:rPr>
          <w:rFonts w:ascii="Times New Roman" w:hAnsi="Times New Roman"/>
          <w:noProof/>
          <w:sz w:val="24"/>
        </w:rPr>
        <w:t xml:space="preserve"> kogu ELi väliskaubandusest.</w:t>
      </w:r>
    </w:p>
    <w:p w14:paraId="03D80A15" w14:textId="7D829FBA" w:rsidR="00886B65" w:rsidRPr="00570F0D" w:rsidRDefault="00E071A4" w:rsidP="006E38A2">
      <w:pPr>
        <w:spacing w:after="160" w:line="259" w:lineRule="auto"/>
        <w:jc w:val="both"/>
        <w:rPr>
          <w:rFonts w:ascii="Times New Roman" w:eastAsia="Aptos" w:hAnsi="Times New Roman" w:cs="Times New Roman"/>
          <w:noProof/>
          <w:kern w:val="2"/>
          <w:sz w:val="24"/>
          <w:szCs w:val="24"/>
        </w:rPr>
      </w:pPr>
      <w:r>
        <w:rPr>
          <w:rFonts w:ascii="Times New Roman" w:hAnsi="Times New Roman"/>
          <w:noProof/>
          <w:sz w:val="24"/>
        </w:rPr>
        <w:t xml:space="preserve">Nagu on näidatud joonisel 2, olid ELi suurimad sooduskaubanduspartnerid (st partnerid, kelle osakaal ELi kogukaubanduses sooduskaubanduspartneritega ületas 5 %) Ühendkuningriik (21,8 % ELi kaubandusest sooduspartneritega), kellele järgnesid Šveits (14,2 %), Türgi (9,1 %), Norra (6,9 %), Jaapan (5,6 %) ja Lõuna-Korea (5,3 %). Kokku moodustas kauplemine nende kuue partneriga 2024. aastal umbes 63 % ELi sooduskaubandusest. </w:t>
      </w:r>
    </w:p>
    <w:p w14:paraId="64DA9CC4" w14:textId="77777777" w:rsidR="00E25ED4" w:rsidRPr="00570F0D" w:rsidRDefault="00E25ED4" w:rsidP="00472B22">
      <w:pPr>
        <w:rPr>
          <w:rFonts w:ascii="Times New Roman" w:eastAsia="Aptos" w:hAnsi="Times New Roman" w:cs="Times New Roman"/>
          <w:b/>
          <w:bCs/>
          <w:noProof/>
          <w:kern w:val="2"/>
          <w:sz w:val="24"/>
          <w:szCs w:val="24"/>
        </w:rPr>
      </w:pPr>
    </w:p>
    <w:p w14:paraId="541CCBDB" w14:textId="77777777" w:rsidR="00805409" w:rsidRPr="00570F0D" w:rsidRDefault="00805409" w:rsidP="00472B22">
      <w:pPr>
        <w:rPr>
          <w:rFonts w:ascii="Times New Roman" w:eastAsia="Aptos" w:hAnsi="Times New Roman" w:cs="Times New Roman"/>
          <w:b/>
          <w:bCs/>
          <w:noProof/>
          <w:kern w:val="2"/>
          <w:sz w:val="24"/>
          <w:szCs w:val="24"/>
        </w:rPr>
      </w:pPr>
    </w:p>
    <w:p w14:paraId="0741522F" w14:textId="77777777" w:rsidR="00805409" w:rsidRPr="00570F0D" w:rsidRDefault="00805409" w:rsidP="00472B22">
      <w:pPr>
        <w:rPr>
          <w:rFonts w:ascii="Times New Roman" w:eastAsia="Aptos" w:hAnsi="Times New Roman" w:cs="Times New Roman"/>
          <w:b/>
          <w:bCs/>
          <w:noProof/>
          <w:kern w:val="2"/>
          <w:sz w:val="24"/>
          <w:szCs w:val="24"/>
        </w:rPr>
      </w:pPr>
    </w:p>
    <w:p w14:paraId="774FF22C" w14:textId="77777777" w:rsidR="00805409" w:rsidRPr="00570F0D" w:rsidRDefault="00805409" w:rsidP="00472B22">
      <w:pPr>
        <w:rPr>
          <w:rFonts w:ascii="Times New Roman" w:eastAsia="Aptos" w:hAnsi="Times New Roman" w:cs="Times New Roman"/>
          <w:b/>
          <w:bCs/>
          <w:noProof/>
          <w:kern w:val="2"/>
          <w:sz w:val="24"/>
          <w:szCs w:val="24"/>
        </w:rPr>
      </w:pPr>
    </w:p>
    <w:p w14:paraId="175469AD" w14:textId="77777777" w:rsidR="00805409" w:rsidRPr="00570F0D" w:rsidRDefault="00805409" w:rsidP="00472B22">
      <w:pPr>
        <w:rPr>
          <w:rFonts w:ascii="Times New Roman" w:eastAsia="Aptos" w:hAnsi="Times New Roman" w:cs="Times New Roman"/>
          <w:b/>
          <w:bCs/>
          <w:noProof/>
          <w:kern w:val="2"/>
          <w:sz w:val="24"/>
          <w:szCs w:val="24"/>
        </w:rPr>
      </w:pPr>
    </w:p>
    <w:p w14:paraId="2E61EAAE" w14:textId="77777777" w:rsidR="00805409" w:rsidRPr="00570F0D" w:rsidRDefault="00805409" w:rsidP="00472B22">
      <w:pPr>
        <w:rPr>
          <w:rFonts w:ascii="Times New Roman" w:eastAsia="Aptos" w:hAnsi="Times New Roman" w:cs="Times New Roman"/>
          <w:b/>
          <w:bCs/>
          <w:noProof/>
          <w:kern w:val="2"/>
          <w:sz w:val="24"/>
          <w:szCs w:val="24"/>
        </w:rPr>
      </w:pPr>
    </w:p>
    <w:p w14:paraId="1365EF92" w14:textId="1736A715" w:rsidR="00E071A4" w:rsidRPr="00570F0D" w:rsidRDefault="00E071A4" w:rsidP="00472B22">
      <w:pPr>
        <w:rPr>
          <w:rFonts w:ascii="Times New Roman" w:eastAsia="Aptos" w:hAnsi="Times New Roman" w:cs="Times New Roman"/>
          <w:noProof/>
          <w:kern w:val="2"/>
          <w:sz w:val="24"/>
          <w:szCs w:val="24"/>
        </w:rPr>
      </w:pPr>
      <w:r>
        <w:rPr>
          <w:rFonts w:ascii="Times New Roman" w:hAnsi="Times New Roman"/>
          <w:b/>
          <w:noProof/>
          <w:sz w:val="24"/>
        </w:rPr>
        <w:t>Joonis 2. ELi kaubandus sooduskaubanduspartnerite lõikes (2024)</w:t>
      </w:r>
    </w:p>
    <w:p w14:paraId="717B7EED" w14:textId="2D775374" w:rsidR="00A80CCF" w:rsidRPr="00570F0D" w:rsidRDefault="00D31199" w:rsidP="00622E4B">
      <w:pPr>
        <w:spacing w:after="160" w:line="259" w:lineRule="auto"/>
        <w:rPr>
          <w:rFonts w:ascii="Times New Roman" w:eastAsia="Aptos" w:hAnsi="Times New Roman" w:cs="Times New Roman"/>
          <w:noProof/>
          <w:kern w:val="2"/>
          <w:sz w:val="24"/>
          <w:szCs w:val="24"/>
        </w:rPr>
      </w:pPr>
      <w:r w:rsidRPr="00D31199">
        <w:rPr>
          <w:noProof/>
          <w:lang w:val="en-GB" w:eastAsia="en-GB"/>
        </w:rPr>
        <w:drawing>
          <wp:inline distT="0" distB="0" distL="0" distR="0" wp14:anchorId="6E14F7D3" wp14:editId="0060DD81">
            <wp:extent cx="5760720" cy="4075430"/>
            <wp:effectExtent l="0" t="0" r="0" b="0"/>
            <wp:docPr id="15774378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4075430"/>
                    </a:xfrm>
                    <a:prstGeom prst="rect">
                      <a:avLst/>
                    </a:prstGeom>
                    <a:noFill/>
                    <a:ln>
                      <a:noFill/>
                    </a:ln>
                  </pic:spPr>
                </pic:pic>
              </a:graphicData>
            </a:graphic>
          </wp:inline>
        </w:drawing>
      </w:r>
    </w:p>
    <w:p w14:paraId="69A04167" w14:textId="3D35E953" w:rsidR="00DF5926" w:rsidRPr="00756E4E" w:rsidRDefault="00E071A4" w:rsidP="00622E4B">
      <w:pPr>
        <w:spacing w:after="160" w:line="259" w:lineRule="auto"/>
        <w:rPr>
          <w:rFonts w:ascii="Times New Roman" w:hAnsi="Times New Roman"/>
          <w:noProof/>
          <w:kern w:val="2"/>
          <w:sz w:val="20"/>
        </w:rPr>
      </w:pPr>
      <w:r>
        <w:rPr>
          <w:rFonts w:ascii="Times New Roman" w:hAnsi="Times New Roman"/>
          <w:noProof/>
          <w:sz w:val="20"/>
        </w:rPr>
        <w:t xml:space="preserve">Allikas: Eurostat, Comexti andmebaas </w:t>
      </w:r>
    </w:p>
    <w:p w14:paraId="767A72F1" w14:textId="77777777" w:rsidR="001C62C3" w:rsidRPr="00955CE4" w:rsidRDefault="001C62C3" w:rsidP="00E071A4">
      <w:pPr>
        <w:spacing w:after="0" w:line="259" w:lineRule="auto"/>
        <w:jc w:val="both"/>
        <w:rPr>
          <w:rFonts w:ascii="Times New Roman" w:hAnsi="Times New Roman"/>
          <w:noProof/>
          <w:kern w:val="2"/>
          <w:sz w:val="24"/>
        </w:rPr>
      </w:pPr>
    </w:p>
    <w:p w14:paraId="335C4317" w14:textId="675B8263" w:rsidR="00967D0C" w:rsidRPr="00570F0D" w:rsidRDefault="00E071A4" w:rsidP="002A746C">
      <w:pPr>
        <w:spacing w:after="0" w:line="259" w:lineRule="auto"/>
        <w:jc w:val="both"/>
        <w:rPr>
          <w:rFonts w:ascii="Times New Roman" w:eastAsia="Aptos" w:hAnsi="Times New Roman" w:cs="Times New Roman"/>
          <w:noProof/>
          <w:kern w:val="2"/>
          <w:sz w:val="24"/>
          <w:szCs w:val="24"/>
        </w:rPr>
      </w:pPr>
      <w:r>
        <w:rPr>
          <w:rFonts w:ascii="Times New Roman" w:hAnsi="Times New Roman"/>
          <w:noProof/>
          <w:sz w:val="24"/>
        </w:rPr>
        <w:t>Nagu on näidatud joonisel 3, vähenes ELi kaubandus sooduskaubanduspartneritega 2024. aastal küll 0,8 %, kuid veelgi suurem langus registreeriti ELi kaubanduses kõigi partneritega (–1,1 %) ja vabakaubanduslepinguga hõlmamata partneritega (–1,4 %). Samal ajavahemikul kasvas ELi eksport sooduskaubanduspartnerriikidesse 1,4 %, ületades ekspordi kasvu kõikidesse partnerriikidesse (1,1 %) ja vabakaubanduslepinguga hõlmamata partnerriikidesse (0,7 %).</w:t>
      </w:r>
      <w:bookmarkStart w:id="25" w:name="_Hlk196866326"/>
      <w:bookmarkStart w:id="26" w:name="_Hlk203043164"/>
    </w:p>
    <w:p w14:paraId="48A14FE1" w14:textId="77777777" w:rsidR="006640BB" w:rsidRPr="00570F0D" w:rsidRDefault="006640BB" w:rsidP="00E071A4">
      <w:pPr>
        <w:spacing w:after="160" w:line="259" w:lineRule="auto"/>
        <w:rPr>
          <w:rFonts w:ascii="Times New Roman" w:eastAsia="Aptos" w:hAnsi="Times New Roman" w:cs="Times New Roman"/>
          <w:b/>
          <w:bCs/>
          <w:noProof/>
          <w:kern w:val="2"/>
          <w:sz w:val="24"/>
          <w:szCs w:val="24"/>
        </w:rPr>
      </w:pPr>
    </w:p>
    <w:p w14:paraId="11312EEC" w14:textId="3CA60D78" w:rsidR="00E071A4" w:rsidRPr="00570F0D" w:rsidRDefault="00E071A4" w:rsidP="00E071A4">
      <w:pPr>
        <w:spacing w:after="160" w:line="259" w:lineRule="auto"/>
        <w:rPr>
          <w:rFonts w:ascii="Times New Roman" w:eastAsia="Aptos" w:hAnsi="Times New Roman" w:cs="Times New Roman"/>
          <w:b/>
          <w:bCs/>
          <w:noProof/>
          <w:kern w:val="2"/>
          <w:sz w:val="24"/>
          <w:szCs w:val="24"/>
        </w:rPr>
      </w:pPr>
      <w:r>
        <w:rPr>
          <w:rFonts w:ascii="Times New Roman" w:hAnsi="Times New Roman"/>
          <w:b/>
          <w:noProof/>
          <w:sz w:val="24"/>
        </w:rPr>
        <w:t>Joonis 3. ELi kaubavahetuse kasv partneriliikide lõikes (2023–2024)</w:t>
      </w:r>
    </w:p>
    <w:bookmarkEnd w:id="25"/>
    <w:bookmarkEnd w:id="26"/>
    <w:p w14:paraId="3390E54D" w14:textId="34DA9E87" w:rsidR="00A80CCF" w:rsidRPr="00570F0D" w:rsidRDefault="00D31199" w:rsidP="00E071A4">
      <w:pPr>
        <w:spacing w:after="0" w:line="259" w:lineRule="auto"/>
        <w:rPr>
          <w:rFonts w:ascii="Times New Roman" w:eastAsia="Aptos" w:hAnsi="Times New Roman" w:cs="Times New Roman"/>
          <w:noProof/>
          <w:kern w:val="2"/>
          <w:sz w:val="24"/>
          <w:szCs w:val="24"/>
        </w:rPr>
      </w:pPr>
      <w:r w:rsidRPr="000D0279">
        <w:rPr>
          <w:rFonts w:ascii="Times New Roman" w:eastAsia="Aptos" w:hAnsi="Times New Roman" w:cs="Times New Roman"/>
          <w:noProof/>
          <w:kern w:val="2"/>
          <w:sz w:val="24"/>
          <w:szCs w:val="24"/>
          <w:lang w:val="en-GB" w:eastAsia="en-GB"/>
        </w:rPr>
        <w:drawing>
          <wp:inline distT="0" distB="0" distL="0" distR="0" wp14:anchorId="4200690D" wp14:editId="36AF0E93">
            <wp:extent cx="5760720" cy="1905000"/>
            <wp:effectExtent l="0" t="0" r="0" b="0"/>
            <wp:docPr id="1597517662" name="Picture 1"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17662" name="Picture 1" descr="A graph with different colored squares&#10;&#10;AI-generated content may be incorrect."/>
                    <pic:cNvPicPr/>
                  </pic:nvPicPr>
                  <pic:blipFill>
                    <a:blip r:embed="rId26"/>
                    <a:stretch>
                      <a:fillRect/>
                    </a:stretch>
                  </pic:blipFill>
                  <pic:spPr>
                    <a:xfrm>
                      <a:off x="0" y="0"/>
                      <a:ext cx="5760720" cy="1905000"/>
                    </a:xfrm>
                    <a:prstGeom prst="rect">
                      <a:avLst/>
                    </a:prstGeom>
                  </pic:spPr>
                </pic:pic>
              </a:graphicData>
            </a:graphic>
          </wp:inline>
        </w:drawing>
      </w:r>
    </w:p>
    <w:p w14:paraId="65575B97" w14:textId="74B11485" w:rsidR="00FA2519" w:rsidRPr="00756E4E" w:rsidRDefault="00E071A4" w:rsidP="00E071A4">
      <w:pPr>
        <w:spacing w:after="0" w:line="259" w:lineRule="auto"/>
        <w:rPr>
          <w:rFonts w:ascii="Times New Roman" w:hAnsi="Times New Roman"/>
          <w:noProof/>
          <w:kern w:val="2"/>
          <w:sz w:val="20"/>
        </w:rPr>
      </w:pPr>
      <w:r>
        <w:rPr>
          <w:rFonts w:ascii="Times New Roman" w:hAnsi="Times New Roman"/>
          <w:noProof/>
          <w:sz w:val="20"/>
        </w:rPr>
        <w:t>Allikas: Eurostat, Comexti andmebaas</w:t>
      </w:r>
    </w:p>
    <w:p w14:paraId="26721D4D" w14:textId="77777777" w:rsidR="00A07444" w:rsidRPr="00756E4E" w:rsidRDefault="00A07444" w:rsidP="00E071A4">
      <w:pPr>
        <w:spacing w:after="0" w:line="259" w:lineRule="auto"/>
        <w:rPr>
          <w:rFonts w:ascii="Times New Roman" w:hAnsi="Times New Roman"/>
          <w:noProof/>
          <w:kern w:val="2"/>
          <w:sz w:val="24"/>
        </w:rPr>
      </w:pPr>
    </w:p>
    <w:p w14:paraId="6DDE17BE" w14:textId="1E4C665E" w:rsidR="00EC1612" w:rsidRPr="00756E4E" w:rsidRDefault="00CD798C" w:rsidP="00756E4E">
      <w:pPr>
        <w:spacing w:after="0" w:line="259" w:lineRule="auto"/>
        <w:jc w:val="both"/>
        <w:rPr>
          <w:rFonts w:ascii="Times New Roman" w:hAnsi="Times New Roman"/>
          <w:noProof/>
          <w:kern w:val="2"/>
          <w:sz w:val="24"/>
        </w:rPr>
      </w:pPr>
      <w:r>
        <w:rPr>
          <w:rFonts w:ascii="Times New Roman" w:hAnsi="Times New Roman"/>
          <w:noProof/>
          <w:sz w:val="24"/>
        </w:rPr>
        <w:t xml:space="preserve">Eelkõige soodustavad ELi tööstuse turulepääsu </w:t>
      </w:r>
      <w:r>
        <w:rPr>
          <w:rFonts w:ascii="Times New Roman" w:hAnsi="Times New Roman"/>
          <w:b/>
          <w:noProof/>
          <w:sz w:val="24"/>
        </w:rPr>
        <w:t>ajakohasemad kaubanduslepingud</w:t>
      </w:r>
      <w:r>
        <w:rPr>
          <w:rFonts w:ascii="Times New Roman" w:hAnsi="Times New Roman"/>
          <w:noProof/>
          <w:sz w:val="24"/>
        </w:rPr>
        <w:t>, nagu CETA, ELi ja Jaapani majanduspartnerlusleping ning ELi ja Vietnami vabakaubandusleping.</w:t>
      </w:r>
    </w:p>
    <w:p w14:paraId="26314DE5" w14:textId="3353C385" w:rsidR="1D606522" w:rsidRPr="00756E4E" w:rsidRDefault="1D606522" w:rsidP="008F675E">
      <w:pPr>
        <w:spacing w:after="0" w:line="259" w:lineRule="auto"/>
        <w:jc w:val="both"/>
        <w:rPr>
          <w:rFonts w:ascii="Times New Roman" w:hAnsi="Times New Roman"/>
          <w:noProof/>
          <w:sz w:val="24"/>
        </w:rPr>
      </w:pPr>
    </w:p>
    <w:p w14:paraId="0FE0AB54" w14:textId="6D9840A4" w:rsidR="00CD798C" w:rsidRPr="00756E4E" w:rsidRDefault="00A42AE6" w:rsidP="008F675E">
      <w:pPr>
        <w:pStyle w:val="ListParagraph"/>
        <w:numPr>
          <w:ilvl w:val="0"/>
          <w:numId w:val="19"/>
        </w:numPr>
        <w:spacing w:after="0" w:line="259" w:lineRule="auto"/>
        <w:jc w:val="both"/>
        <w:rPr>
          <w:rFonts w:ascii="Times New Roman" w:hAnsi="Times New Roman"/>
          <w:noProof/>
          <w:kern w:val="2"/>
          <w:sz w:val="24"/>
        </w:rPr>
      </w:pPr>
      <w:r>
        <w:rPr>
          <w:rFonts w:ascii="Times New Roman" w:hAnsi="Times New Roman"/>
          <w:noProof/>
          <w:sz w:val="24"/>
        </w:rPr>
        <w:t xml:space="preserve">Näiteks on </w:t>
      </w:r>
      <w:r>
        <w:rPr>
          <w:rFonts w:ascii="Times New Roman" w:hAnsi="Times New Roman"/>
          <w:b/>
          <w:noProof/>
          <w:sz w:val="24"/>
        </w:rPr>
        <w:t>ELi ja Vietnami vabakaubandusleping</w:t>
      </w:r>
      <w:r>
        <w:rPr>
          <w:rFonts w:ascii="Times New Roman" w:hAnsi="Times New Roman"/>
          <w:noProof/>
          <w:sz w:val="24"/>
        </w:rPr>
        <w:t>, mis jõustus 2020. aasta augustis, üks kaugeleulatuvamaid kaubanduslepinguid, mille EL on arenguriigiga sõlminud. See on ühtlasi järk-järgult kaotanud tariife ja vähendanud mittetariifseid kaubandustõkkeid, tagades mõlemale poolele paremad turulepääsutingimused. Viimase viie aasta jooksul on ELi eksport Vietnamisse moodustanud umbes kaks kolmandikku ELi ekspordi kasvust ASEAN-4 riikidesse</w:t>
      </w:r>
      <w:r>
        <w:rPr>
          <w:rStyle w:val="FootnoteReference"/>
          <w:rFonts w:ascii="Times New Roman" w:hAnsi="Times New Roman"/>
          <w:noProof/>
          <w:kern w:val="2"/>
          <w:sz w:val="24"/>
        </w:rPr>
        <w:footnoteReference w:id="23"/>
      </w:r>
      <w:r>
        <w:rPr>
          <w:rFonts w:ascii="Times New Roman" w:hAnsi="Times New Roman"/>
          <w:noProof/>
          <w:sz w:val="24"/>
        </w:rPr>
        <w:t>.</w:t>
      </w:r>
      <w:r>
        <w:rPr>
          <w:rFonts w:ascii="Times New Roman" w:hAnsi="Times New Roman"/>
          <w:noProof/>
        </w:rPr>
        <w:t xml:space="preserve"> </w:t>
      </w:r>
      <w:r>
        <w:rPr>
          <w:rFonts w:ascii="Times New Roman" w:hAnsi="Times New Roman"/>
          <w:noProof/>
          <w:sz w:val="24"/>
        </w:rPr>
        <w:t>ELi jaoks kõige olulisema tootekategooria ehk 30. peatüki (farmaatsiatooted) eksport peaaegu kahekordistus – 2019. aasta 1,1 miljardilt eurolt 2024. aasta 2,1 miljardi euroni –, moodustades mõlemal aastal</w:t>
      </w:r>
      <w:r>
        <w:rPr>
          <w:rStyle w:val="FootnoteReference"/>
          <w:rFonts w:ascii="Times New Roman" w:hAnsi="Times New Roman"/>
          <w:noProof/>
          <w:kern w:val="2"/>
          <w:sz w:val="24"/>
        </w:rPr>
        <w:footnoteReference w:id="24"/>
      </w:r>
      <w:r>
        <w:rPr>
          <w:rFonts w:ascii="Times New Roman" w:hAnsi="Times New Roman"/>
          <w:noProof/>
          <w:sz w:val="24"/>
        </w:rPr>
        <w:t xml:space="preserve"> 60 % ELi farmaatsiatoodete ekspordist.</w:t>
      </w:r>
    </w:p>
    <w:p w14:paraId="4AEAEF37" w14:textId="77777777" w:rsidR="00EC1612" w:rsidRPr="00756E4E" w:rsidRDefault="00EC1612" w:rsidP="008F675E">
      <w:pPr>
        <w:pStyle w:val="ListParagraph"/>
        <w:spacing w:after="0" w:line="259" w:lineRule="auto"/>
        <w:jc w:val="both"/>
        <w:rPr>
          <w:rFonts w:ascii="Times New Roman" w:hAnsi="Times New Roman"/>
          <w:noProof/>
          <w:kern w:val="2"/>
          <w:sz w:val="24"/>
        </w:rPr>
      </w:pPr>
    </w:p>
    <w:p w14:paraId="2175AC13" w14:textId="256EFD6A" w:rsidR="00CD798C" w:rsidRPr="00756E4E" w:rsidRDefault="00A05D0E" w:rsidP="008F675E">
      <w:pPr>
        <w:pStyle w:val="ListParagraph"/>
        <w:numPr>
          <w:ilvl w:val="0"/>
          <w:numId w:val="19"/>
        </w:numPr>
        <w:spacing w:after="0" w:line="259" w:lineRule="auto"/>
        <w:jc w:val="both"/>
        <w:rPr>
          <w:rFonts w:ascii="Times New Roman" w:hAnsi="Times New Roman"/>
          <w:noProof/>
          <w:kern w:val="2"/>
          <w:sz w:val="24"/>
        </w:rPr>
      </w:pPr>
      <w:bookmarkStart w:id="27" w:name="_Hlk200993847"/>
      <w:r>
        <w:rPr>
          <w:rFonts w:ascii="Times New Roman" w:hAnsi="Times New Roman"/>
          <w:noProof/>
          <w:sz w:val="24"/>
        </w:rPr>
        <w:t xml:space="preserve">Edukate ELi pakkujate arv </w:t>
      </w:r>
      <w:r>
        <w:rPr>
          <w:rFonts w:ascii="Times New Roman" w:hAnsi="Times New Roman"/>
          <w:b/>
          <w:noProof/>
          <w:sz w:val="24"/>
        </w:rPr>
        <w:t>Jaapani</w:t>
      </w:r>
      <w:r>
        <w:rPr>
          <w:rFonts w:ascii="Times New Roman" w:hAnsi="Times New Roman"/>
          <w:noProof/>
          <w:sz w:val="24"/>
        </w:rPr>
        <w:t xml:space="preserve"> riigihangete turul on alates ELi–Jaapani majanduspartnerluslepingu jõustumisest pidevalt kasvanud. 2022. aastal (värskeimad kättesaadavad andmed) võitsid ELi ettevõtjad Jaapanis riigihankelepinguid koguväärtuses 317 miljonit eurot.</w:t>
      </w:r>
    </w:p>
    <w:bookmarkEnd w:id="27"/>
    <w:p w14:paraId="3C4ED30C" w14:textId="77777777" w:rsidR="00A05770" w:rsidRPr="00756E4E" w:rsidRDefault="00A05770" w:rsidP="00E071A4">
      <w:pPr>
        <w:spacing w:after="0" w:line="259" w:lineRule="auto"/>
        <w:rPr>
          <w:rFonts w:ascii="Times New Roman" w:hAnsi="Times New Roman"/>
          <w:b/>
          <w:i/>
          <w:noProof/>
          <w:kern w:val="2"/>
          <w:sz w:val="24"/>
        </w:rPr>
      </w:pPr>
    </w:p>
    <w:p w14:paraId="26E1D107" w14:textId="6E19B541" w:rsidR="00E071A4" w:rsidRPr="00756E4E" w:rsidRDefault="00E071A4" w:rsidP="00756E4E">
      <w:pPr>
        <w:spacing w:after="0" w:line="259" w:lineRule="auto"/>
        <w:jc w:val="both"/>
        <w:rPr>
          <w:rFonts w:ascii="Times New Roman" w:hAnsi="Times New Roman"/>
          <w:b/>
          <w:i/>
          <w:noProof/>
          <w:kern w:val="2"/>
          <w:sz w:val="24"/>
        </w:rPr>
      </w:pPr>
      <w:bookmarkStart w:id="28" w:name="_Hlk202889204"/>
      <w:r>
        <w:rPr>
          <w:rFonts w:ascii="Times New Roman" w:hAnsi="Times New Roman"/>
          <w:b/>
          <w:i/>
          <w:noProof/>
          <w:sz w:val="24"/>
        </w:rPr>
        <w:t>ELi kaubanduslepingud on samuti aidanud säilitada ELi positsiooni suurima põllumajanduslike toiduainete eksportijana</w:t>
      </w:r>
    </w:p>
    <w:p w14:paraId="662A9CFE" w14:textId="77777777" w:rsidR="009C17BE" w:rsidRPr="00756E4E" w:rsidRDefault="009C17BE" w:rsidP="009C17BE">
      <w:pPr>
        <w:spacing w:after="0" w:line="259" w:lineRule="auto"/>
        <w:jc w:val="both"/>
        <w:rPr>
          <w:rFonts w:ascii="Times New Roman" w:hAnsi="Times New Roman"/>
          <w:noProof/>
          <w:kern w:val="2"/>
          <w:sz w:val="24"/>
        </w:rPr>
      </w:pPr>
    </w:p>
    <w:p w14:paraId="1EB03677" w14:textId="1D1E3931" w:rsidR="001435CE" w:rsidRPr="00756E4E" w:rsidRDefault="00E071A4" w:rsidP="00AC20BF">
      <w:pPr>
        <w:spacing w:after="160" w:line="259" w:lineRule="auto"/>
        <w:jc w:val="both"/>
        <w:rPr>
          <w:rFonts w:ascii="Times New Roman" w:hAnsi="Times New Roman"/>
          <w:noProof/>
          <w:kern w:val="2"/>
          <w:sz w:val="24"/>
        </w:rPr>
      </w:pPr>
      <w:r>
        <w:rPr>
          <w:rFonts w:ascii="Times New Roman" w:hAnsi="Times New Roman"/>
          <w:noProof/>
          <w:sz w:val="24"/>
        </w:rPr>
        <w:t xml:space="preserve">ELi </w:t>
      </w:r>
      <w:r>
        <w:rPr>
          <w:rFonts w:ascii="Times New Roman" w:hAnsi="Times New Roman"/>
          <w:b/>
          <w:noProof/>
          <w:sz w:val="24"/>
        </w:rPr>
        <w:t>põllumajanduslike toiduainete eksport</w:t>
      </w:r>
      <w:r>
        <w:rPr>
          <w:rFonts w:ascii="Times New Roman" w:hAnsi="Times New Roman"/>
          <w:noProof/>
          <w:sz w:val="24"/>
        </w:rPr>
        <w:t xml:space="preserve"> kõigisse partnerriikidesse jõudis 2024. aastal uuele rekordtasemele, ulatudes 235 miljardi euroni (+2,8 % võrreldes 2023. aastaga). 2024. aastal kasvas ELi kaubandus sooduskaubanduspartneritega (import ja eksport) suuremal määral (+6,4 %) kui ELi kaubandus vabakaubanduslepinguga hõlmamata partneritega (+2,8 %).</w:t>
      </w:r>
      <w:bookmarkEnd w:id="28"/>
    </w:p>
    <w:p w14:paraId="5A853FA2" w14:textId="2B84CD9E" w:rsidR="004174E0" w:rsidRPr="00570F0D" w:rsidRDefault="004174E0" w:rsidP="00AC20BF">
      <w:pPr>
        <w:spacing w:after="160" w:line="259" w:lineRule="auto"/>
        <w:jc w:val="both"/>
        <w:rPr>
          <w:rFonts w:ascii="Times New Roman" w:eastAsia="Aptos" w:hAnsi="Times New Roman" w:cs="Times New Roman"/>
          <w:b/>
          <w:bCs/>
          <w:noProof/>
          <w:kern w:val="2"/>
          <w:sz w:val="24"/>
          <w:szCs w:val="24"/>
        </w:rPr>
      </w:pPr>
      <w:r>
        <w:rPr>
          <w:rFonts w:ascii="Times New Roman" w:hAnsi="Times New Roman"/>
          <w:b/>
          <w:noProof/>
          <w:sz w:val="24"/>
        </w:rPr>
        <w:t>Joonis 4. ELi põllumajanduslike toiduainete kaubavahetuse kasv partneriliikide lõikes (2023–2024)</w:t>
      </w:r>
    </w:p>
    <w:p w14:paraId="354ED6B2" w14:textId="32F505C6" w:rsidR="004174E0" w:rsidRPr="00570F0D" w:rsidRDefault="003D67CB" w:rsidP="00E071A4">
      <w:pPr>
        <w:spacing w:after="160" w:line="259" w:lineRule="auto"/>
        <w:jc w:val="both"/>
        <w:rPr>
          <w:rFonts w:ascii="Times New Roman" w:eastAsia="Aptos" w:hAnsi="Times New Roman" w:cs="Times New Roman"/>
          <w:noProof/>
          <w:kern w:val="2"/>
          <w:sz w:val="24"/>
          <w:szCs w:val="24"/>
        </w:rPr>
      </w:pPr>
      <w:r w:rsidRPr="000D0279">
        <w:rPr>
          <w:rFonts w:ascii="Times New Roman" w:eastAsia="Aptos" w:hAnsi="Times New Roman" w:cs="Times New Roman"/>
          <w:noProof/>
          <w:kern w:val="2"/>
          <w:sz w:val="24"/>
          <w:szCs w:val="24"/>
          <w:lang w:val="en-GB" w:eastAsia="en-GB"/>
        </w:rPr>
        <w:drawing>
          <wp:inline distT="0" distB="0" distL="0" distR="0" wp14:anchorId="7CEB4DA0" wp14:editId="347CC08D">
            <wp:extent cx="5760720" cy="1833245"/>
            <wp:effectExtent l="0" t="0" r="0" b="0"/>
            <wp:docPr id="1076036252" name="Picture 1"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36252" name="Picture 1" descr="A graph with different colored squares&#10;&#10;AI-generated content may be incorrect."/>
                    <pic:cNvPicPr/>
                  </pic:nvPicPr>
                  <pic:blipFill>
                    <a:blip r:embed="rId27"/>
                    <a:stretch>
                      <a:fillRect/>
                    </a:stretch>
                  </pic:blipFill>
                  <pic:spPr>
                    <a:xfrm>
                      <a:off x="0" y="0"/>
                      <a:ext cx="5760720" cy="1833245"/>
                    </a:xfrm>
                    <a:prstGeom prst="rect">
                      <a:avLst/>
                    </a:prstGeom>
                  </pic:spPr>
                </pic:pic>
              </a:graphicData>
            </a:graphic>
          </wp:inline>
        </w:drawing>
      </w:r>
    </w:p>
    <w:p w14:paraId="2A7F03F3" w14:textId="66A597CA" w:rsidR="00E071A4" w:rsidRPr="00756E4E" w:rsidRDefault="00E071A4" w:rsidP="00E071A4">
      <w:pPr>
        <w:spacing w:after="160" w:line="259" w:lineRule="auto"/>
        <w:jc w:val="both"/>
        <w:rPr>
          <w:rFonts w:ascii="Times New Roman" w:hAnsi="Times New Roman"/>
          <w:noProof/>
          <w:kern w:val="2"/>
          <w:sz w:val="24"/>
        </w:rPr>
      </w:pPr>
      <w:r>
        <w:rPr>
          <w:rFonts w:ascii="Times New Roman" w:hAnsi="Times New Roman"/>
          <w:b/>
          <w:noProof/>
          <w:sz w:val="24"/>
        </w:rPr>
        <w:t>Ühendkuningriik</w:t>
      </w:r>
      <w:r>
        <w:rPr>
          <w:rFonts w:ascii="Times New Roman" w:hAnsi="Times New Roman"/>
          <w:noProof/>
          <w:sz w:val="24"/>
        </w:rPr>
        <w:t xml:space="preserve"> oli endiselt ülekaalukalt tähtsaim ELi põllumajanduslike toiduainete ekspordi sihtkoht nii sooduskaubanduspartnerite seas kui ka üldiselt – sinna liikus 23 % ELi ekspordist.</w:t>
      </w:r>
    </w:p>
    <w:p w14:paraId="65C75A37" w14:textId="4D85D38E" w:rsidR="00E071A4" w:rsidRPr="00756E4E" w:rsidRDefault="00E071A4" w:rsidP="00E071A4">
      <w:pPr>
        <w:spacing w:after="160" w:line="259" w:lineRule="auto"/>
        <w:jc w:val="both"/>
        <w:rPr>
          <w:rFonts w:ascii="Times New Roman" w:hAnsi="Times New Roman"/>
          <w:noProof/>
          <w:kern w:val="2"/>
          <w:sz w:val="24"/>
        </w:rPr>
      </w:pPr>
      <w:r>
        <w:rPr>
          <w:rFonts w:ascii="Times New Roman" w:hAnsi="Times New Roman"/>
          <w:noProof/>
          <w:sz w:val="24"/>
        </w:rPr>
        <w:t xml:space="preserve">ELi põllumajanduslike toiduainete eksport </w:t>
      </w:r>
      <w:r>
        <w:rPr>
          <w:rFonts w:ascii="Times New Roman" w:hAnsi="Times New Roman"/>
          <w:b/>
          <w:noProof/>
          <w:sz w:val="24"/>
        </w:rPr>
        <w:t>Ühendkuningriiki</w:t>
      </w:r>
      <w:r>
        <w:rPr>
          <w:rFonts w:ascii="Times New Roman" w:hAnsi="Times New Roman"/>
          <w:noProof/>
          <w:sz w:val="24"/>
        </w:rPr>
        <w:t xml:space="preserve"> suurenes alates 2021. aastast, mil jõustus ELi ja Ühendkuningriigi kaubandus- ja koostööleping, kuni 2024. aastani 12 miljardi euro võrra (+29 %) Samuti on ELi eksport </w:t>
      </w:r>
      <w:r>
        <w:rPr>
          <w:rFonts w:ascii="Times New Roman" w:hAnsi="Times New Roman"/>
          <w:b/>
          <w:noProof/>
          <w:sz w:val="24"/>
        </w:rPr>
        <w:t>Ukrainasse</w:t>
      </w:r>
      <w:r>
        <w:rPr>
          <w:rFonts w:ascii="Times New Roman" w:hAnsi="Times New Roman"/>
          <w:noProof/>
          <w:sz w:val="24"/>
        </w:rPr>
        <w:t xml:space="preserve"> suurenenud alates 2016. aastast 2,1 miljardi euro võrra (+139 %), </w:t>
      </w:r>
      <w:r>
        <w:rPr>
          <w:rFonts w:ascii="Times New Roman" w:hAnsi="Times New Roman"/>
          <w:b/>
          <w:noProof/>
          <w:sz w:val="24"/>
        </w:rPr>
        <w:t>Kanadasse</w:t>
      </w:r>
      <w:r>
        <w:rPr>
          <w:rFonts w:ascii="Times New Roman" w:hAnsi="Times New Roman"/>
          <w:noProof/>
          <w:sz w:val="24"/>
        </w:rPr>
        <w:t xml:space="preserve"> alates 2017. aastast 1,6 miljardi euro võrra (+51 %) ning </w:t>
      </w:r>
      <w:r>
        <w:rPr>
          <w:rFonts w:ascii="Times New Roman" w:hAnsi="Times New Roman"/>
          <w:b/>
          <w:noProof/>
          <w:sz w:val="24"/>
        </w:rPr>
        <w:t>Jaapanisse</w:t>
      </w:r>
      <w:r>
        <w:rPr>
          <w:rFonts w:ascii="Times New Roman" w:hAnsi="Times New Roman"/>
          <w:noProof/>
          <w:sz w:val="24"/>
        </w:rPr>
        <w:t xml:space="preserve"> alates 2019. aastast 1 miljardi euro võrra (+15 %).</w:t>
      </w:r>
    </w:p>
    <w:p w14:paraId="2BDCE120" w14:textId="726C5F99" w:rsidR="00E071A4" w:rsidRPr="00756E4E" w:rsidRDefault="003D1761" w:rsidP="00E071A4">
      <w:pPr>
        <w:spacing w:after="160" w:line="259" w:lineRule="auto"/>
        <w:jc w:val="both"/>
        <w:rPr>
          <w:rFonts w:ascii="Times New Roman" w:hAnsi="Times New Roman"/>
          <w:noProof/>
          <w:kern w:val="2"/>
          <w:sz w:val="24"/>
        </w:rPr>
      </w:pPr>
      <w:r>
        <w:rPr>
          <w:rFonts w:ascii="Times New Roman" w:hAnsi="Times New Roman"/>
          <w:noProof/>
          <w:sz w:val="24"/>
        </w:rPr>
        <w:t xml:space="preserve">Pärast 2023. aasta langust taastus ELi </w:t>
      </w:r>
      <w:r>
        <w:rPr>
          <w:rFonts w:ascii="Times New Roman" w:hAnsi="Times New Roman"/>
          <w:b/>
          <w:noProof/>
          <w:sz w:val="24"/>
        </w:rPr>
        <w:t>põllumajanduslike toiduainete import</w:t>
      </w:r>
      <w:r>
        <w:rPr>
          <w:rFonts w:ascii="Times New Roman" w:hAnsi="Times New Roman"/>
          <w:noProof/>
          <w:sz w:val="24"/>
        </w:rPr>
        <w:t xml:space="preserve"> 2022. aasta tasemele, ulatudes 2024. aastal kokku peaaegu 172 miljardi euroni. See taastumine oli eelkõige tingitud kakao, kohvi, puuviljade ja pähklite kõrgematest impordihindadest. </w:t>
      </w:r>
      <w:r>
        <w:rPr>
          <w:rFonts w:ascii="Times New Roman" w:hAnsi="Times New Roman"/>
          <w:b/>
          <w:noProof/>
          <w:sz w:val="24"/>
        </w:rPr>
        <w:t>Brasiilia</w:t>
      </w:r>
      <w:r>
        <w:rPr>
          <w:rFonts w:ascii="Times New Roman" w:hAnsi="Times New Roman"/>
          <w:noProof/>
          <w:sz w:val="24"/>
        </w:rPr>
        <w:t xml:space="preserve"> oli ELi peamine tarnija ja tema osakaal ELi põllumajanduslike toiduainete koguimpordis oli 10 %. Talle järgnes </w:t>
      </w:r>
      <w:r>
        <w:rPr>
          <w:rFonts w:ascii="Times New Roman" w:hAnsi="Times New Roman"/>
          <w:b/>
          <w:noProof/>
          <w:sz w:val="24"/>
        </w:rPr>
        <w:t>Ühendkuningriik</w:t>
      </w:r>
      <w:r>
        <w:rPr>
          <w:rFonts w:ascii="Times New Roman" w:hAnsi="Times New Roman"/>
          <w:noProof/>
          <w:sz w:val="24"/>
        </w:rPr>
        <w:t xml:space="preserve"> (9 %), kes kindlustas oma positsiooni ELi põllumajanduslike toiduainete impordi peamise lähteriigina sooduskaubanduspartnerite seas. </w:t>
      </w:r>
      <w:r>
        <w:rPr>
          <w:rFonts w:ascii="Times New Roman" w:hAnsi="Times New Roman"/>
          <w:b/>
          <w:noProof/>
          <w:sz w:val="24"/>
        </w:rPr>
        <w:t>Ukraina</w:t>
      </w:r>
      <w:r>
        <w:rPr>
          <w:rFonts w:ascii="Times New Roman" w:hAnsi="Times New Roman"/>
          <w:noProof/>
          <w:sz w:val="24"/>
        </w:rPr>
        <w:t xml:space="preserve"> oli samuti ELi toiduahela üks peamisi tarnijaid (8 %), kusjuures teravili moodustas poole Ukraina ekspordist, mis oli suunatud peamiselt ELi loomasöödatööstuse turule.</w:t>
      </w:r>
    </w:p>
    <w:p w14:paraId="44286C71" w14:textId="3978A15E" w:rsidR="00FA1C09" w:rsidRPr="00756E4E" w:rsidRDefault="00E071A4" w:rsidP="008E5448">
      <w:pPr>
        <w:spacing w:after="160" w:line="259" w:lineRule="auto"/>
        <w:jc w:val="both"/>
        <w:rPr>
          <w:rFonts w:ascii="Times New Roman" w:hAnsi="Times New Roman"/>
          <w:noProof/>
          <w:kern w:val="2"/>
          <w:sz w:val="24"/>
        </w:rPr>
      </w:pPr>
      <w:r>
        <w:rPr>
          <w:rFonts w:ascii="Times New Roman" w:hAnsi="Times New Roman"/>
          <w:noProof/>
          <w:sz w:val="24"/>
        </w:rPr>
        <w:t xml:space="preserve">ELi ulatuslik kaubanduslepingute võrgustik on aidanud saavutada ELi üldiselt tugevaid põllumajanduslike toiduainete kaubandustulemusi. Eelkõige suurenes ELi põllumajanduslike toiduainete kaubandus </w:t>
      </w:r>
      <w:r>
        <w:rPr>
          <w:rFonts w:ascii="Times New Roman" w:hAnsi="Times New Roman"/>
          <w:b/>
          <w:noProof/>
          <w:sz w:val="24"/>
        </w:rPr>
        <w:t>Kanada</w:t>
      </w:r>
      <w:r>
        <w:rPr>
          <w:rFonts w:ascii="Times New Roman" w:hAnsi="Times New Roman"/>
          <w:noProof/>
          <w:sz w:val="24"/>
        </w:rPr>
        <w:t xml:space="preserve">, </w:t>
      </w:r>
      <w:r>
        <w:rPr>
          <w:rFonts w:ascii="Times New Roman" w:hAnsi="Times New Roman"/>
          <w:b/>
          <w:noProof/>
          <w:sz w:val="24"/>
        </w:rPr>
        <w:t>Jaapani</w:t>
      </w:r>
      <w:r>
        <w:rPr>
          <w:rFonts w:ascii="Times New Roman" w:hAnsi="Times New Roman"/>
          <w:noProof/>
          <w:sz w:val="24"/>
        </w:rPr>
        <w:t xml:space="preserve"> ja </w:t>
      </w:r>
      <w:r>
        <w:rPr>
          <w:rFonts w:ascii="Times New Roman" w:hAnsi="Times New Roman"/>
          <w:b/>
          <w:noProof/>
          <w:sz w:val="24"/>
        </w:rPr>
        <w:t>Vietnamiga</w:t>
      </w:r>
      <w:r>
        <w:rPr>
          <w:rFonts w:ascii="Times New Roman" w:hAnsi="Times New Roman"/>
          <w:noProof/>
          <w:sz w:val="24"/>
        </w:rPr>
        <w:t xml:space="preserve"> vastavate kaubanduslepingute rakendamise järel, kusjuures soodustingimustel juurdepääsu saanud toodete eksport kasvas märkimisväärselt tänu tariifide kaotamisele või vähendamisele. Komisjoni 2024. aasta novembris avaldatud uuring,</w:t>
      </w:r>
      <w:r>
        <w:rPr>
          <w:rStyle w:val="FootnoteReference"/>
          <w:rFonts w:ascii="Times New Roman" w:hAnsi="Times New Roman"/>
          <w:noProof/>
        </w:rPr>
        <w:footnoteReference w:id="25"/>
      </w:r>
      <w:r>
        <w:rPr>
          <w:rFonts w:ascii="Times New Roman" w:hAnsi="Times New Roman"/>
          <w:noProof/>
          <w:sz w:val="24"/>
        </w:rPr>
        <w:t xml:space="preserve"> milles analüüsiti CETA lepingu alusel soodustingimustel juurdepääsu saanud ELi toodete eksporditulemusi, näitas, et eksport kasvas aastatel 2019–2023 keskmiselt 14 %, mis vastab täiendavale 400 miljonile eurole. See edu oli osaliselt tingitud </w:t>
      </w:r>
      <w:r>
        <w:rPr>
          <w:rFonts w:ascii="Times New Roman" w:hAnsi="Times New Roman"/>
          <w:b/>
          <w:noProof/>
          <w:sz w:val="24"/>
        </w:rPr>
        <w:t>sanitaar- ja fütosanitaarmeetmete</w:t>
      </w:r>
      <w:r>
        <w:rPr>
          <w:rFonts w:ascii="Times New Roman" w:hAnsi="Times New Roman"/>
          <w:noProof/>
          <w:sz w:val="24"/>
        </w:rPr>
        <w:t xml:space="preserve"> järkjärgulisest kaotamisest partnerriikides (kokku 95 tõket aastatel 2020–2024), milleks tehti tihedat koostööd liikmesriikidega.</w:t>
      </w:r>
      <w:bookmarkStart w:id="29" w:name="_Hlk201220061"/>
    </w:p>
    <w:p w14:paraId="6C1C3651" w14:textId="3A6B1C38" w:rsidR="00442321" w:rsidRPr="00570F0D" w:rsidRDefault="00827D6F" w:rsidP="1D606522">
      <w:pPr>
        <w:spacing w:after="160" w:line="259" w:lineRule="auto"/>
        <w:jc w:val="both"/>
        <w:rPr>
          <w:rFonts w:ascii="Times New Roman" w:eastAsia="Aptos" w:hAnsi="Times New Roman" w:cs="Times New Roman"/>
          <w:noProof/>
          <w:kern w:val="2"/>
          <w:sz w:val="24"/>
          <w:szCs w:val="24"/>
        </w:rPr>
      </w:pPr>
      <w:bookmarkStart w:id="30" w:name="_Hlk201219631"/>
      <w:r>
        <w:rPr>
          <w:rFonts w:ascii="Times New Roman" w:hAnsi="Times New Roman"/>
          <w:noProof/>
          <w:sz w:val="24"/>
        </w:rPr>
        <w:t xml:space="preserve">Suure väärtusega ELi toodete eksporti kaitstakse vabakaubanduslepingute ja muude rahvusvaheliste lepingute alusel toimuva </w:t>
      </w:r>
      <w:r>
        <w:rPr>
          <w:rFonts w:ascii="Times New Roman" w:hAnsi="Times New Roman"/>
          <w:b/>
          <w:noProof/>
          <w:sz w:val="24"/>
        </w:rPr>
        <w:t>geograafiliste tähiste</w:t>
      </w:r>
      <w:r>
        <w:rPr>
          <w:rFonts w:ascii="Times New Roman" w:hAnsi="Times New Roman"/>
          <w:noProof/>
          <w:sz w:val="24"/>
        </w:rPr>
        <w:t xml:space="preserve"> kaitse kaudu.</w:t>
      </w:r>
      <w:bookmarkEnd w:id="29"/>
      <w:bookmarkEnd w:id="30"/>
      <w:r>
        <w:rPr>
          <w:rFonts w:ascii="Times New Roman" w:hAnsi="Times New Roman"/>
          <w:noProof/>
          <w:sz w:val="24"/>
        </w:rPr>
        <w:t xml:space="preserve"> 31. detsembri 2024. aasta seisuga said väga paljud ELi </w:t>
      </w:r>
      <w:r>
        <w:rPr>
          <w:rFonts w:ascii="Times New Roman" w:hAnsi="Times New Roman"/>
          <w:b/>
          <w:noProof/>
          <w:sz w:val="24"/>
        </w:rPr>
        <w:t>geograafilised tähised kaitse enam kui 30 riigiga sõlmitud vabakaubanduslepingute alusel</w:t>
      </w:r>
      <w:r>
        <w:rPr>
          <w:rFonts w:ascii="Times New Roman" w:hAnsi="Times New Roman"/>
          <w:noProof/>
          <w:sz w:val="24"/>
        </w:rPr>
        <w:t>, kusjuures need riigid kokku moodustavad ligikaudu 60 % maailma SKPst ja 30 % maailma elanikkonnast.</w:t>
      </w:r>
    </w:p>
    <w:tbl>
      <w:tblPr>
        <w:tblStyle w:val="TableGrid"/>
        <w:tblW w:w="0" w:type="auto"/>
        <w:tblLook w:val="04A0" w:firstRow="1" w:lastRow="0" w:firstColumn="1" w:lastColumn="0" w:noHBand="0" w:noVBand="1"/>
      </w:tblPr>
      <w:tblGrid>
        <w:gridCol w:w="9212"/>
      </w:tblGrid>
      <w:tr w:rsidR="00442321" w:rsidRPr="00570F0D" w14:paraId="03AA02D0" w14:textId="77777777" w:rsidTr="1D606522">
        <w:trPr>
          <w:trHeight w:val="2684"/>
        </w:trPr>
        <w:tc>
          <w:tcPr>
            <w:tcW w:w="9212" w:type="dxa"/>
          </w:tcPr>
          <w:p w14:paraId="1EAF5278" w14:textId="46FD3F55" w:rsidR="00442321" w:rsidRPr="00955CE4" w:rsidRDefault="00442321" w:rsidP="00D25B7A">
            <w:pPr>
              <w:spacing w:after="200" w:line="276" w:lineRule="auto"/>
              <w:jc w:val="both"/>
              <w:rPr>
                <w:rFonts w:ascii="Times New Roman" w:hAnsi="Times New Roman"/>
                <w:b/>
                <w:noProof/>
                <w:sz w:val="24"/>
              </w:rPr>
            </w:pPr>
            <w:r>
              <w:rPr>
                <w:rFonts w:ascii="Times New Roman" w:hAnsi="Times New Roman"/>
                <w:b/>
                <w:noProof/>
                <w:sz w:val="24"/>
              </w:rPr>
              <w:t>Uus-Meremaa – ELi kaitstud geograafiliste tähiste eelised</w:t>
            </w:r>
          </w:p>
          <w:p w14:paraId="613696CD" w14:textId="0AB2F3D2" w:rsidR="00442321" w:rsidRPr="00756E4E" w:rsidRDefault="0051456F" w:rsidP="00442321">
            <w:pPr>
              <w:pStyle w:val="ListParagraph"/>
              <w:numPr>
                <w:ilvl w:val="0"/>
                <w:numId w:val="5"/>
              </w:numPr>
              <w:shd w:val="clear" w:color="auto" w:fill="FFFFFF" w:themeFill="background1"/>
              <w:jc w:val="both"/>
              <w:rPr>
                <w:rFonts w:ascii="Times New Roman" w:hAnsi="Times New Roman"/>
                <w:noProof/>
                <w:color w:val="222222"/>
                <w:sz w:val="24"/>
              </w:rPr>
            </w:pPr>
            <w:r>
              <w:rPr>
                <w:rFonts w:ascii="Times New Roman" w:hAnsi="Times New Roman"/>
                <w:b/>
                <w:noProof/>
                <w:color w:val="222222"/>
                <w:sz w:val="24"/>
              </w:rPr>
              <w:t>ELi ja Uus-Meremaa vabakaubanduslepingu</w:t>
            </w:r>
            <w:r>
              <w:rPr>
                <w:rFonts w:ascii="Times New Roman" w:hAnsi="Times New Roman"/>
                <w:noProof/>
                <w:color w:val="222222"/>
                <w:sz w:val="24"/>
              </w:rPr>
              <w:t xml:space="preserve"> alusel nõutava geograafiliste tähiste kaitse tõttu peab Uus-Meremaa oma turult eemaldama tooted, millel ei ole autentseid geograafilisi tähiseid. Kõige levinumate geograafiliste tähiste (nt feta, portvein ja </w:t>
            </w:r>
            <w:r>
              <w:rPr>
                <w:rFonts w:ascii="Times New Roman" w:hAnsi="Times New Roman"/>
                <w:i/>
                <w:noProof/>
                <w:color w:val="222222"/>
                <w:sz w:val="24"/>
              </w:rPr>
              <w:t>prosecco</w:t>
            </w:r>
            <w:r>
              <w:rPr>
                <w:rFonts w:ascii="Times New Roman" w:hAnsi="Times New Roman"/>
                <w:noProof/>
                <w:color w:val="222222"/>
                <w:sz w:val="24"/>
              </w:rPr>
              <w:t>) puhul on lubatud kuni üheksa-aastased üleminekuperioodid ning kahe nimetuse puhul lubatakse jätkata nende varasemat kasutamist.</w:t>
            </w:r>
          </w:p>
          <w:p w14:paraId="4A37A320" w14:textId="77777777" w:rsidR="00442321" w:rsidRPr="00756E4E" w:rsidRDefault="00442321" w:rsidP="00D25B7A">
            <w:pPr>
              <w:pStyle w:val="ListParagraph"/>
              <w:shd w:val="clear" w:color="auto" w:fill="FFFFFF" w:themeFill="background1"/>
              <w:jc w:val="both"/>
              <w:rPr>
                <w:rFonts w:ascii="Times New Roman" w:hAnsi="Times New Roman"/>
                <w:noProof/>
                <w:color w:val="222222"/>
                <w:sz w:val="24"/>
              </w:rPr>
            </w:pPr>
          </w:p>
          <w:p w14:paraId="5379D33F" w14:textId="6ED3158C" w:rsidR="00442321" w:rsidRPr="00756E4E" w:rsidRDefault="0051456F" w:rsidP="00D25B7A">
            <w:pPr>
              <w:pStyle w:val="ListParagraph"/>
              <w:numPr>
                <w:ilvl w:val="0"/>
                <w:numId w:val="5"/>
              </w:numPr>
              <w:shd w:val="clear" w:color="auto" w:fill="FFFFFF" w:themeFill="background1"/>
              <w:jc w:val="both"/>
              <w:rPr>
                <w:rFonts w:ascii="Times New Roman" w:hAnsi="Times New Roman"/>
                <w:noProof/>
                <w:color w:val="222222"/>
                <w:sz w:val="24"/>
              </w:rPr>
            </w:pPr>
            <w:r>
              <w:rPr>
                <w:rFonts w:ascii="Times New Roman" w:hAnsi="Times New Roman"/>
                <w:noProof/>
                <w:color w:val="222222"/>
                <w:sz w:val="24"/>
              </w:rPr>
              <w:t xml:space="preserve">Geograafiliste tähiste kaitse ELi ja Uus-Meremaa vabakaubanduslepingu alusel on ELi tootjatele kasulik, kuna see kaitseb nende õigusi ja kõrvaldab ebaausa konkurentsi. </w:t>
            </w:r>
          </w:p>
        </w:tc>
      </w:tr>
    </w:tbl>
    <w:p w14:paraId="649A77EF" w14:textId="77777777" w:rsidR="00FA1C09" w:rsidRPr="00756E4E" w:rsidRDefault="00FA1C09" w:rsidP="00E071A4">
      <w:pPr>
        <w:spacing w:after="160" w:line="259" w:lineRule="auto"/>
        <w:jc w:val="both"/>
        <w:rPr>
          <w:rFonts w:ascii="Times New Roman" w:hAnsi="Times New Roman"/>
          <w:noProof/>
          <w:kern w:val="2"/>
          <w:sz w:val="24"/>
        </w:rPr>
      </w:pPr>
    </w:p>
    <w:p w14:paraId="3C6D2682" w14:textId="2E4C387D" w:rsidR="00FD1195" w:rsidRPr="00756E4E" w:rsidRDefault="002E1C03" w:rsidP="00472B22">
      <w:pPr>
        <w:spacing w:after="0" w:line="259" w:lineRule="auto"/>
        <w:jc w:val="both"/>
        <w:rPr>
          <w:rFonts w:ascii="Times New Roman" w:hAnsi="Times New Roman"/>
          <w:noProof/>
          <w:kern w:val="2"/>
          <w:sz w:val="24"/>
        </w:rPr>
      </w:pPr>
      <w:bookmarkStart w:id="31" w:name="_Hlk207900366"/>
      <w:r>
        <w:rPr>
          <w:rFonts w:ascii="Times New Roman" w:hAnsi="Times New Roman"/>
          <w:noProof/>
          <w:sz w:val="24"/>
        </w:rPr>
        <w:t>Üldiselt on ELi põllumajanduslike toiduainete kaubandus väga mitmekesine ning hõlmab paljusid impordi- ja ekspordipartnereid. Siiski püsivad teatud põllumajanduslike toiduainete puhul kaubandussõltuvused</w:t>
      </w:r>
      <w:r>
        <w:rPr>
          <w:rStyle w:val="FootnoteReference"/>
          <w:noProof/>
        </w:rPr>
        <w:footnoteReference w:id="26"/>
      </w:r>
      <w:r>
        <w:rPr>
          <w:rFonts w:ascii="Times New Roman" w:hAnsi="Times New Roman"/>
          <w:noProof/>
          <w:sz w:val="24"/>
        </w:rPr>
        <w:t>. Impordi osas tagavad vabakaubanduslepingud stabiilsuse ELi ja selle partnerriikide kaubandussuhetes ning suurendavad ELi vastupanuvõimet. 12. juunil 2025. aastal võttis nõukogu vastu määruse, millega kehtestati uued tollimaksud ülejäänud põllumajandustoodetele ja teatud väetistele, mis olid pärit Venemaalt ja Valgevenest ning mille suhtes ei olnud seni kehtestatud lisatollimakse. Eesmärk on vähendada ELi sõltuvust nendest imporditud toodetest ning samuti vähendada Venemaa eksporditulusid, piirates seeläbi tema suutlikkust rahastada oma agressioonisõda Ukraina vastu. Määrus jõustus 1. juulil 2025.</w:t>
      </w:r>
    </w:p>
    <w:bookmarkEnd w:id="31"/>
    <w:p w14:paraId="2DE9D47B" w14:textId="77777777" w:rsidR="00D66CEB" w:rsidRPr="00570F0D" w:rsidRDefault="00D66CEB" w:rsidP="00D66CEB">
      <w:pPr>
        <w:spacing w:after="0" w:line="259" w:lineRule="auto"/>
        <w:jc w:val="both"/>
        <w:rPr>
          <w:rFonts w:ascii="Times New Roman" w:eastAsia="Aptos" w:hAnsi="Times New Roman" w:cs="Times New Roman"/>
          <w:noProof/>
          <w:kern w:val="2"/>
          <w:sz w:val="24"/>
          <w:szCs w:val="24"/>
        </w:rPr>
      </w:pPr>
    </w:p>
    <w:p w14:paraId="0096CD63" w14:textId="77777777" w:rsidR="0046536F" w:rsidRPr="00955CE4" w:rsidRDefault="0046536F" w:rsidP="00E071A4">
      <w:pPr>
        <w:spacing w:after="160" w:line="259" w:lineRule="auto"/>
        <w:jc w:val="both"/>
        <w:rPr>
          <w:rFonts w:ascii="Times New Roman" w:hAnsi="Times New Roman"/>
          <w:b/>
          <w:i/>
          <w:noProof/>
          <w:kern w:val="2"/>
          <w:sz w:val="24"/>
        </w:rPr>
      </w:pPr>
    </w:p>
    <w:p w14:paraId="417C3410" w14:textId="25701FF4" w:rsidR="0046536F" w:rsidRPr="00570F0D" w:rsidRDefault="0046536F" w:rsidP="00E071A4">
      <w:pPr>
        <w:spacing w:after="160" w:line="259" w:lineRule="auto"/>
        <w:jc w:val="both"/>
        <w:rPr>
          <w:rFonts w:ascii="Times New Roman" w:eastAsia="Aptos" w:hAnsi="Times New Roman" w:cs="Times New Roman"/>
          <w:b/>
          <w:bCs/>
          <w:i/>
          <w:iCs/>
          <w:noProof/>
          <w:kern w:val="2"/>
          <w:sz w:val="24"/>
          <w:szCs w:val="24"/>
        </w:rPr>
      </w:pPr>
      <w:bookmarkStart w:id="32" w:name="_Hlk196855480"/>
      <w:r>
        <w:rPr>
          <w:rFonts w:ascii="Times New Roman" w:hAnsi="Times New Roman"/>
          <w:b/>
          <w:i/>
          <w:noProof/>
          <w:sz w:val="24"/>
        </w:rPr>
        <w:t>ELi teenuskaubandus sooduskaubanduspartneritega kasvas rohkem kui vabakaubanduslepinguga hõlmamata partneritega.</w:t>
      </w:r>
    </w:p>
    <w:p w14:paraId="7EF337AD" w14:textId="62E1EA6D" w:rsidR="00E071A4" w:rsidRPr="00955CE4" w:rsidRDefault="00E071A4" w:rsidP="00E071A4">
      <w:pPr>
        <w:spacing w:after="160" w:line="259" w:lineRule="auto"/>
        <w:jc w:val="both"/>
        <w:rPr>
          <w:rFonts w:ascii="Times New Roman" w:hAnsi="Times New Roman"/>
          <w:noProof/>
          <w:kern w:val="2"/>
          <w:sz w:val="24"/>
        </w:rPr>
      </w:pPr>
      <w:r>
        <w:rPr>
          <w:rFonts w:ascii="Times New Roman" w:hAnsi="Times New Roman"/>
          <w:b/>
          <w:noProof/>
          <w:sz w:val="24"/>
        </w:rPr>
        <w:t>ELi teenuskaubanduse (import ja eksport) väärtus sooduskaubanduspartneritega</w:t>
      </w:r>
      <w:r>
        <w:rPr>
          <w:rStyle w:val="FootnoteReference"/>
          <w:noProof/>
        </w:rPr>
        <w:footnoteReference w:id="27"/>
      </w:r>
      <w:r>
        <w:rPr>
          <w:rFonts w:ascii="Times New Roman" w:hAnsi="Times New Roman"/>
          <w:noProof/>
          <w:sz w:val="24"/>
        </w:rPr>
        <w:t xml:space="preserve"> oli 2023. aastal (värskeimad kättesaadavad andmed) </w:t>
      </w:r>
      <w:r>
        <w:rPr>
          <w:rFonts w:ascii="Times New Roman" w:hAnsi="Times New Roman"/>
          <w:b/>
          <w:noProof/>
          <w:sz w:val="24"/>
        </w:rPr>
        <w:t>1,3 triljonit eurot</w:t>
      </w:r>
      <w:r>
        <w:rPr>
          <w:rFonts w:ascii="Times New Roman" w:hAnsi="Times New Roman"/>
          <w:noProof/>
          <w:sz w:val="24"/>
        </w:rPr>
        <w:t>, mis moodustas ligi poole (</w:t>
      </w:r>
      <w:r>
        <w:rPr>
          <w:rFonts w:ascii="Times New Roman" w:hAnsi="Times New Roman"/>
          <w:b/>
          <w:noProof/>
          <w:sz w:val="24"/>
        </w:rPr>
        <w:t>48 %</w:t>
      </w:r>
      <w:r>
        <w:rPr>
          <w:rFonts w:ascii="Times New Roman" w:hAnsi="Times New Roman"/>
          <w:noProof/>
          <w:sz w:val="24"/>
        </w:rPr>
        <w:t>) ELi teenuskaubanduse kogumahust. Aastatel 2022–2023</w:t>
      </w:r>
      <w:r>
        <w:rPr>
          <w:noProof/>
        </w:rPr>
        <w:t xml:space="preserve"> </w:t>
      </w:r>
      <w:bookmarkStart w:id="33" w:name="_Hlk208507924"/>
      <w:r>
        <w:rPr>
          <w:rFonts w:ascii="Times New Roman" w:hAnsi="Times New Roman"/>
          <w:b/>
          <w:bCs/>
          <w:noProof/>
          <w:sz w:val="24"/>
        </w:rPr>
        <w:t>kasvas</w:t>
      </w:r>
      <w:r>
        <w:rPr>
          <w:rFonts w:ascii="Times New Roman" w:hAnsi="Times New Roman"/>
          <w:noProof/>
          <w:sz w:val="24"/>
        </w:rPr>
        <w:t xml:space="preserve"> ELi teenuskaubandus sooduskaubanduspartneritega </w:t>
      </w:r>
      <w:r>
        <w:rPr>
          <w:rFonts w:ascii="Times New Roman" w:hAnsi="Times New Roman"/>
          <w:b/>
          <w:bCs/>
          <w:noProof/>
          <w:sz w:val="24"/>
        </w:rPr>
        <w:t>kiiremini</w:t>
      </w:r>
      <w:r>
        <w:rPr>
          <w:rFonts w:ascii="Times New Roman" w:hAnsi="Times New Roman"/>
          <w:noProof/>
          <w:sz w:val="24"/>
        </w:rPr>
        <w:t xml:space="preserve"> kui vabakaubanduslepinguga hõlmamata partneritega</w:t>
      </w:r>
      <w:bookmarkEnd w:id="33"/>
      <w:r>
        <w:rPr>
          <w:noProof/>
        </w:rPr>
        <w:t xml:space="preserve"> </w:t>
      </w:r>
      <w:r>
        <w:rPr>
          <w:rFonts w:ascii="Times New Roman" w:hAnsi="Times New Roman"/>
          <w:noProof/>
          <w:sz w:val="24"/>
        </w:rPr>
        <w:t>(+4.5 % võrreldes +1.2 %).</w:t>
      </w:r>
    </w:p>
    <w:bookmarkEnd w:id="32"/>
    <w:p w14:paraId="53ABECEB" w14:textId="3AB17316" w:rsidR="00E071A4" w:rsidRPr="00955CE4" w:rsidRDefault="00E071A4" w:rsidP="00E071A4">
      <w:pPr>
        <w:spacing w:after="160" w:line="259" w:lineRule="auto"/>
        <w:jc w:val="both"/>
        <w:rPr>
          <w:rFonts w:ascii="Times New Roman" w:hAnsi="Times New Roman"/>
          <w:noProof/>
          <w:kern w:val="2"/>
          <w:sz w:val="24"/>
        </w:rPr>
      </w:pPr>
      <w:r>
        <w:rPr>
          <w:rFonts w:ascii="Times New Roman" w:hAnsi="Times New Roman"/>
          <w:noProof/>
          <w:sz w:val="24"/>
        </w:rPr>
        <w:t xml:space="preserve">ELi </w:t>
      </w:r>
      <w:r>
        <w:rPr>
          <w:rFonts w:ascii="Times New Roman" w:hAnsi="Times New Roman"/>
          <w:b/>
          <w:noProof/>
          <w:sz w:val="24"/>
        </w:rPr>
        <w:t>teenuskaubanduse bilanss sooduskaubanduspartneritega</w:t>
      </w:r>
      <w:r>
        <w:rPr>
          <w:rFonts w:ascii="Times New Roman" w:hAnsi="Times New Roman"/>
          <w:noProof/>
          <w:sz w:val="24"/>
        </w:rPr>
        <w:t xml:space="preserve"> näitas 178,2 miljardi euro suurust </w:t>
      </w:r>
      <w:r>
        <w:rPr>
          <w:rFonts w:ascii="Times New Roman" w:hAnsi="Times New Roman"/>
          <w:b/>
          <w:noProof/>
          <w:sz w:val="24"/>
        </w:rPr>
        <w:t>ülejääki</w:t>
      </w:r>
      <w:r>
        <w:rPr>
          <w:rFonts w:ascii="Times New Roman" w:hAnsi="Times New Roman"/>
          <w:noProof/>
          <w:sz w:val="24"/>
        </w:rPr>
        <w:t>, samas kui ülejäänud maailmaga oli kaubandusbilanss 25,4 euro suuruses puudujäägis. ELi teenuste kaubandusbilanss ulatus 2023. aastal 152,8 miljardi euroni, mis tähendab 15,6 % suurust vähenemist võrreldes 2022. aastaga.</w:t>
      </w:r>
    </w:p>
    <w:p w14:paraId="05ACE3FE" w14:textId="2B4D4590" w:rsidR="00E071A4" w:rsidRPr="00756E4E" w:rsidRDefault="00FB384D" w:rsidP="00E071A4">
      <w:pPr>
        <w:spacing w:after="160" w:line="259" w:lineRule="auto"/>
        <w:jc w:val="both"/>
        <w:rPr>
          <w:rFonts w:ascii="Times New Roman" w:hAnsi="Times New Roman"/>
          <w:noProof/>
          <w:kern w:val="2"/>
          <w:sz w:val="24"/>
        </w:rPr>
      </w:pPr>
      <w:bookmarkStart w:id="34" w:name="_Hlk200994278"/>
      <w:r>
        <w:rPr>
          <w:rFonts w:ascii="Times New Roman" w:hAnsi="Times New Roman"/>
          <w:noProof/>
          <w:sz w:val="24"/>
        </w:rPr>
        <w:t xml:space="preserve">Pärast COVID-19 pandeemiast taastumist, mil </w:t>
      </w:r>
      <w:r>
        <w:rPr>
          <w:rFonts w:ascii="Times New Roman" w:hAnsi="Times New Roman"/>
          <w:b/>
          <w:noProof/>
          <w:sz w:val="24"/>
        </w:rPr>
        <w:t>ELi teenuskaubandus</w:t>
      </w:r>
      <w:r>
        <w:rPr>
          <w:rFonts w:ascii="Times New Roman" w:hAnsi="Times New Roman"/>
          <w:noProof/>
          <w:sz w:val="24"/>
        </w:rPr>
        <w:t xml:space="preserve"> (import ja eksport) kasvas aastatel 2021–2022 järsult (+24,1 %), aeglustus kasv 2023. aastal tavapärasemale tasemele (+2,8 %). Samal ajal </w:t>
      </w:r>
      <w:r>
        <w:rPr>
          <w:rFonts w:ascii="Times New Roman" w:hAnsi="Times New Roman"/>
          <w:b/>
          <w:noProof/>
          <w:sz w:val="24"/>
        </w:rPr>
        <w:t>eksportis EL</w:t>
      </w:r>
      <w:r>
        <w:rPr>
          <w:rFonts w:ascii="Times New Roman" w:hAnsi="Times New Roman"/>
          <w:noProof/>
          <w:sz w:val="24"/>
        </w:rPr>
        <w:t xml:space="preserve"> 2023. aastal </w:t>
      </w:r>
      <w:r>
        <w:rPr>
          <w:rFonts w:ascii="Times New Roman" w:hAnsi="Times New Roman"/>
          <w:b/>
          <w:noProof/>
          <w:sz w:val="24"/>
        </w:rPr>
        <w:t>teenuseid</w:t>
      </w:r>
      <w:r>
        <w:rPr>
          <w:rFonts w:ascii="Times New Roman" w:hAnsi="Times New Roman"/>
          <w:noProof/>
          <w:sz w:val="24"/>
        </w:rPr>
        <w:t xml:space="preserve"> ligikaudu 1 427 miljardi euro väärtuses (+1,6 % võrreldes 2022. aastaga). Peamised ekspordisektorid olid muud äriteenused (23,9 %), telekommunikatsiooni-, arvuti- ja infoteenused (20,7 %), transporditeenused (17,2 %), reisiteenused (12,6 %) ning finantsteenused (7,1 %). EL importis teenuseid ligikaudu 1274 miljardi euro väärtuses (+4,1 % võrreldes 2022. aastaga).</w:t>
      </w:r>
    </w:p>
    <w:p w14:paraId="68D10373" w14:textId="77777777" w:rsidR="00593852" w:rsidRPr="00570F0D" w:rsidRDefault="00593852" w:rsidP="00593852">
      <w:pPr>
        <w:spacing w:after="160" w:line="259" w:lineRule="auto"/>
        <w:jc w:val="both"/>
        <w:rPr>
          <w:rFonts w:ascii="Times New Roman" w:eastAsia="Aptos" w:hAnsi="Times New Roman" w:cs="Times New Roman"/>
          <w:b/>
          <w:bCs/>
          <w:noProof/>
          <w:kern w:val="2"/>
          <w:sz w:val="24"/>
          <w:szCs w:val="24"/>
        </w:rPr>
      </w:pPr>
      <w:r>
        <w:rPr>
          <w:rFonts w:ascii="Times New Roman" w:hAnsi="Times New Roman"/>
          <w:b/>
          <w:noProof/>
          <w:sz w:val="24"/>
        </w:rPr>
        <w:t>Joonis 5. ELi teenuskaubanduse aastane kasv (2022–2023)</w:t>
      </w:r>
    </w:p>
    <w:p w14:paraId="0BE950F6" w14:textId="3DE19A42" w:rsidR="00593852" w:rsidRPr="00570F0D" w:rsidRDefault="003D67CB" w:rsidP="00593852">
      <w:pPr>
        <w:spacing w:after="160" w:line="259" w:lineRule="auto"/>
        <w:jc w:val="both"/>
        <w:rPr>
          <w:rFonts w:ascii="Times New Roman" w:eastAsia="Aptos" w:hAnsi="Times New Roman" w:cs="Times New Roman"/>
          <w:noProof/>
          <w:kern w:val="2"/>
          <w:sz w:val="24"/>
          <w:szCs w:val="24"/>
        </w:rPr>
      </w:pPr>
      <w:r w:rsidRPr="00EC7C0E">
        <w:rPr>
          <w:rFonts w:ascii="Times New Roman" w:eastAsia="Aptos" w:hAnsi="Times New Roman" w:cs="Times New Roman"/>
          <w:noProof/>
          <w:kern w:val="2"/>
          <w:sz w:val="24"/>
          <w:szCs w:val="24"/>
          <w:lang w:val="en-GB" w:eastAsia="en-GB"/>
        </w:rPr>
        <w:drawing>
          <wp:inline distT="0" distB="0" distL="0" distR="0" wp14:anchorId="12E7A8ED" wp14:editId="68469EE6">
            <wp:extent cx="5760720" cy="3919855"/>
            <wp:effectExtent l="0" t="0" r="0" b="0"/>
            <wp:docPr id="1731944643" name="Picture 1" descr="A graph of different colored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44643" name="Picture 1" descr="A graph of different colored columns&#10;&#10;AI-generated content may be incorrect."/>
                    <pic:cNvPicPr/>
                  </pic:nvPicPr>
                  <pic:blipFill>
                    <a:blip r:embed="rId28"/>
                    <a:stretch>
                      <a:fillRect/>
                    </a:stretch>
                  </pic:blipFill>
                  <pic:spPr>
                    <a:xfrm>
                      <a:off x="0" y="0"/>
                      <a:ext cx="5760720" cy="3919855"/>
                    </a:xfrm>
                    <a:prstGeom prst="rect">
                      <a:avLst/>
                    </a:prstGeom>
                  </pic:spPr>
                </pic:pic>
              </a:graphicData>
            </a:graphic>
          </wp:inline>
        </w:drawing>
      </w:r>
    </w:p>
    <w:p w14:paraId="5CC8968D" w14:textId="00B6A816" w:rsidR="00F936B9" w:rsidRPr="00756E4E" w:rsidRDefault="003E2735" w:rsidP="00886B65">
      <w:pPr>
        <w:spacing w:after="0" w:line="259" w:lineRule="auto"/>
        <w:jc w:val="both"/>
        <w:rPr>
          <w:rFonts w:ascii="Times New Roman" w:hAnsi="Times New Roman"/>
          <w:noProof/>
          <w:kern w:val="2"/>
          <w:sz w:val="24"/>
        </w:rPr>
      </w:pPr>
      <w:r>
        <w:rPr>
          <w:rFonts w:ascii="Times New Roman" w:hAnsi="Times New Roman"/>
          <w:noProof/>
          <w:sz w:val="24"/>
        </w:rPr>
        <w:t>EL on digitaalselt osutatavate teenuste vallas maailmas juhtival kohal – 2023. aastal moodustasid need üle poole (54 %) ELi-välise teenuskaubanduse kogumahust, vastates ligikaudu 3 triljonile eurole impordi ja ekspordi kogusummas.</w:t>
      </w:r>
    </w:p>
    <w:p w14:paraId="7FA3888B" w14:textId="0D3ECFA1" w:rsidR="00FD6533" w:rsidRPr="00756E4E" w:rsidRDefault="00FD6533" w:rsidP="00756E4E">
      <w:pPr>
        <w:spacing w:after="0"/>
        <w:rPr>
          <w:rFonts w:ascii="Times New Roman" w:hAnsi="Times New Roman"/>
          <w:noProof/>
          <w:kern w:val="2"/>
          <w:sz w:val="24"/>
        </w:rPr>
      </w:pPr>
      <w:bookmarkStart w:id="35" w:name="_Toc139985017"/>
      <w:bookmarkStart w:id="36" w:name="_Toc167812803"/>
      <w:bookmarkStart w:id="37" w:name="_Toc167267055"/>
      <w:bookmarkStart w:id="38" w:name="_Toc196862767"/>
      <w:bookmarkEnd w:id="34"/>
    </w:p>
    <w:p w14:paraId="7B0480A1" w14:textId="3C6DB29E" w:rsidR="00EC49FB" w:rsidRPr="00570F0D" w:rsidRDefault="00160F78" w:rsidP="00606AF7">
      <w:pPr>
        <w:pStyle w:val="Style2"/>
        <w:rPr>
          <w:rFonts w:cs="Times New Roman"/>
          <w:noProof/>
          <w:sz w:val="24"/>
          <w:szCs w:val="24"/>
        </w:rPr>
      </w:pPr>
      <w:bookmarkStart w:id="39" w:name="_Toc211940627"/>
      <w:r>
        <w:rPr>
          <w:noProof/>
          <w:sz w:val="24"/>
        </w:rPr>
        <w:t>II.2</w:t>
      </w:r>
      <w:r>
        <w:rPr>
          <w:noProof/>
        </w:rPr>
        <w:tab/>
      </w:r>
      <w:bookmarkEnd w:id="35"/>
      <w:r>
        <w:rPr>
          <w:noProof/>
          <w:sz w:val="24"/>
        </w:rPr>
        <w:t>ELi kahepoolsete kaubanduslepingute</w:t>
      </w:r>
      <w:bookmarkEnd w:id="36"/>
      <w:r>
        <w:rPr>
          <w:noProof/>
          <w:sz w:val="24"/>
        </w:rPr>
        <w:t xml:space="preserve"> rakendamine</w:t>
      </w:r>
      <w:bookmarkEnd w:id="37"/>
      <w:bookmarkEnd w:id="38"/>
      <w:bookmarkEnd w:id="39"/>
    </w:p>
    <w:p w14:paraId="43807ACE" w14:textId="77777777" w:rsidR="000977A8" w:rsidRPr="00955CE4" w:rsidRDefault="000977A8" w:rsidP="001C62C3">
      <w:pPr>
        <w:spacing w:after="0"/>
        <w:jc w:val="both"/>
        <w:rPr>
          <w:rFonts w:ascii="Times New Roman" w:hAnsi="Times New Roman"/>
          <w:b/>
          <w:noProof/>
          <w:sz w:val="24"/>
        </w:rPr>
      </w:pPr>
    </w:p>
    <w:p w14:paraId="10037B35" w14:textId="7F51D8D9" w:rsidR="00C72321" w:rsidRPr="00955CE4" w:rsidRDefault="00C72321" w:rsidP="008D2940">
      <w:pPr>
        <w:pStyle w:val="ListParagraph"/>
        <w:numPr>
          <w:ilvl w:val="0"/>
          <w:numId w:val="11"/>
        </w:numPr>
        <w:spacing w:after="0"/>
        <w:jc w:val="both"/>
        <w:rPr>
          <w:rFonts w:ascii="Times New Roman" w:hAnsi="Times New Roman"/>
          <w:b/>
          <w:noProof/>
          <w:sz w:val="24"/>
        </w:rPr>
      </w:pPr>
      <w:r>
        <w:rPr>
          <w:rFonts w:ascii="Times New Roman" w:hAnsi="Times New Roman"/>
          <w:b/>
          <w:noProof/>
          <w:sz w:val="24"/>
        </w:rPr>
        <w:t>Turulepääsu võimaldamise kohustuste täitmine</w:t>
      </w:r>
    </w:p>
    <w:p w14:paraId="4A3B11C9" w14:textId="63045582" w:rsidR="001C6564" w:rsidRPr="00955CE4" w:rsidRDefault="001C6564" w:rsidP="001C6564">
      <w:pPr>
        <w:spacing w:after="0"/>
        <w:jc w:val="both"/>
        <w:rPr>
          <w:rFonts w:ascii="Times New Roman" w:hAnsi="Times New Roman"/>
          <w:b/>
          <w:i/>
          <w:noProof/>
          <w:sz w:val="24"/>
        </w:rPr>
      </w:pPr>
    </w:p>
    <w:p w14:paraId="2FF05EB1" w14:textId="497483FB" w:rsidR="001C62C3" w:rsidRPr="00570F0D" w:rsidRDefault="001C62C3" w:rsidP="007E5862">
      <w:pPr>
        <w:spacing w:after="0"/>
        <w:jc w:val="both"/>
        <w:rPr>
          <w:rFonts w:ascii="Times New Roman" w:hAnsi="Times New Roman" w:cs="Times New Roman"/>
          <w:b/>
          <w:bCs/>
          <w:i/>
          <w:iCs/>
          <w:noProof/>
          <w:sz w:val="24"/>
          <w:szCs w:val="24"/>
        </w:rPr>
      </w:pPr>
      <w:r>
        <w:rPr>
          <w:rFonts w:ascii="Times New Roman" w:hAnsi="Times New Roman"/>
          <w:b/>
          <w:i/>
          <w:noProof/>
          <w:sz w:val="24"/>
        </w:rPr>
        <w:t>Tõkete ennetamine ja kõrvaldamine vabakaubanduslepingute komiteede kaudu</w:t>
      </w:r>
    </w:p>
    <w:p w14:paraId="58BD5F36" w14:textId="77777777" w:rsidR="0046536F" w:rsidRPr="00570F0D" w:rsidRDefault="0046536F" w:rsidP="001C62C3">
      <w:pPr>
        <w:spacing w:after="0"/>
        <w:jc w:val="both"/>
        <w:rPr>
          <w:rFonts w:ascii="Times New Roman" w:hAnsi="Times New Roman" w:cs="Times New Roman"/>
          <w:noProof/>
          <w:sz w:val="24"/>
          <w:szCs w:val="24"/>
        </w:rPr>
      </w:pPr>
    </w:p>
    <w:p w14:paraId="6E621D47" w14:textId="4925F928" w:rsidR="00653A97" w:rsidRPr="00570F0D" w:rsidRDefault="00B42E05" w:rsidP="001C62C3">
      <w:pPr>
        <w:spacing w:after="0"/>
        <w:jc w:val="both"/>
        <w:rPr>
          <w:rFonts w:ascii="Times New Roman" w:hAnsi="Times New Roman" w:cs="Times New Roman"/>
          <w:noProof/>
          <w:sz w:val="24"/>
          <w:szCs w:val="24"/>
        </w:rPr>
      </w:pPr>
      <w:r>
        <w:rPr>
          <w:rFonts w:ascii="Times New Roman" w:hAnsi="Times New Roman"/>
          <w:noProof/>
          <w:sz w:val="24"/>
        </w:rPr>
        <w:t>Kogemus võimalike kaubandustõketega tegelemisel on korduvalt näidanud, et EL on kõige tulemuslikum siis, kui suudab tuvastada ja ette näha uusi õiguslikke või regulatiivseid tõkkeid juba enne nende jõustumist. See on ka üks põhjusi, miks nii WTOs kui ka ELi kaubanduslepingute juhtimisstruktuurides pööratakse suurt tähelepanu läbipaistvusele ja varajase hoiatamise mehhanismidele. Ennetamine on ühtlasi väga oluline ka VKEde jaoks, kelle ressursid võimalike arengusuundade jälgimiseks eksporditurgudel võivad olla piiratud.</w:t>
      </w:r>
    </w:p>
    <w:p w14:paraId="22FA7E81" w14:textId="77777777" w:rsidR="00653A97" w:rsidRPr="00570F0D" w:rsidRDefault="00653A97" w:rsidP="001C62C3">
      <w:pPr>
        <w:spacing w:after="0"/>
        <w:jc w:val="both"/>
        <w:rPr>
          <w:rFonts w:ascii="Times New Roman" w:hAnsi="Times New Roman" w:cs="Times New Roman"/>
          <w:noProof/>
          <w:sz w:val="24"/>
          <w:szCs w:val="24"/>
        </w:rPr>
      </w:pPr>
    </w:p>
    <w:p w14:paraId="16A5321A" w14:textId="58F8588F" w:rsidR="00F43D70" w:rsidRPr="00570F0D" w:rsidRDefault="00E03B60" w:rsidP="00F43D70">
      <w:pPr>
        <w:spacing w:after="0"/>
        <w:jc w:val="both"/>
        <w:rPr>
          <w:rFonts w:ascii="Times New Roman" w:hAnsi="Times New Roman" w:cs="Times New Roman"/>
          <w:noProof/>
          <w:sz w:val="24"/>
          <w:szCs w:val="24"/>
        </w:rPr>
      </w:pPr>
      <w:r>
        <w:rPr>
          <w:rFonts w:ascii="Times New Roman" w:hAnsi="Times New Roman"/>
          <w:noProof/>
          <w:sz w:val="24"/>
        </w:rPr>
        <w:t xml:space="preserve">Kõige tulemuslikumad on olnud ühised meetmed, st komisjoni, ELi delegatsioonide, liikmesriikide ja partnerriikides ning ELis tegutsevate ettevõtjate ressursside koondamine. Näiteks aitas </w:t>
      </w:r>
      <w:r>
        <w:rPr>
          <w:rFonts w:ascii="Times New Roman" w:hAnsi="Times New Roman"/>
          <w:b/>
          <w:noProof/>
          <w:sz w:val="24"/>
        </w:rPr>
        <w:t>ELi ja Ühendkuningriigi kaubandus- ja koostöölepingu</w:t>
      </w:r>
      <w:r>
        <w:rPr>
          <w:rFonts w:ascii="Times New Roman" w:hAnsi="Times New Roman"/>
          <w:noProof/>
          <w:sz w:val="24"/>
        </w:rPr>
        <w:t xml:space="preserve"> alusel võetud kooskõlastatud meede hiljuti ära hoida võimaliku tõkke kehtestamise, mis oleks tekkinud meretuuleenergia investeeringute toetuste kaudu Ühendkuningriigi programmi „Sustainable Industry Rewards“ raames, mille eelarve oli 646 miljonit eurot. EL vaidlustas selle meetme edukalt 2022. aastal.</w:t>
      </w:r>
    </w:p>
    <w:p w14:paraId="5A7FD833" w14:textId="77777777" w:rsidR="00F43D70" w:rsidRPr="00756E4E" w:rsidRDefault="00F43D70" w:rsidP="00F43D70">
      <w:pPr>
        <w:spacing w:after="0"/>
        <w:jc w:val="both"/>
        <w:rPr>
          <w:rFonts w:ascii="Times New Roman" w:hAnsi="Times New Roman"/>
          <w:noProof/>
          <w:sz w:val="24"/>
        </w:rPr>
      </w:pPr>
    </w:p>
    <w:p w14:paraId="577C6D41" w14:textId="59869F51" w:rsidR="00D24BB1" w:rsidRPr="00570F0D" w:rsidRDefault="00472B22" w:rsidP="004F12FE">
      <w:pPr>
        <w:spacing w:after="0"/>
        <w:jc w:val="both"/>
        <w:rPr>
          <w:rFonts w:ascii="Times New Roman" w:hAnsi="Times New Roman" w:cs="Times New Roman"/>
          <w:noProof/>
          <w:sz w:val="24"/>
          <w:szCs w:val="24"/>
        </w:rPr>
      </w:pPr>
      <w:r>
        <w:rPr>
          <w:rFonts w:ascii="Times New Roman" w:hAnsi="Times New Roman"/>
          <w:noProof/>
          <w:sz w:val="24"/>
        </w:rPr>
        <w:t>Võimekuse suurendamiseks uurivad komisjon ja liikmesriigid jätkuvalt praktilisi võimalusi kolmandates riikides ELi delegatsioonide ja liikmesriikide saatkondade vahel teabevahetuse hõlbustamiseks.</w:t>
      </w:r>
    </w:p>
    <w:p w14:paraId="51900B23" w14:textId="77777777" w:rsidR="004F12FE" w:rsidRPr="00955CE4" w:rsidRDefault="004F12FE" w:rsidP="004F12FE">
      <w:pPr>
        <w:spacing w:after="0"/>
        <w:rPr>
          <w:rFonts w:ascii="Times New Roman" w:hAnsi="Times New Roman"/>
          <w:b/>
          <w:i/>
          <w:noProof/>
          <w:sz w:val="24"/>
        </w:rPr>
      </w:pPr>
    </w:p>
    <w:p w14:paraId="7B0480D5" w14:textId="65216A97" w:rsidR="00EC49FB" w:rsidRPr="00955CE4" w:rsidRDefault="00514BD6" w:rsidP="00EC49FB">
      <w:pPr>
        <w:rPr>
          <w:rFonts w:ascii="Times New Roman" w:hAnsi="Times New Roman"/>
          <w:b/>
          <w:i/>
          <w:noProof/>
          <w:sz w:val="24"/>
        </w:rPr>
      </w:pPr>
      <w:r>
        <w:rPr>
          <w:rFonts w:ascii="Times New Roman" w:hAnsi="Times New Roman"/>
          <w:b/>
          <w:i/>
          <w:noProof/>
          <w:sz w:val="24"/>
        </w:rPr>
        <w:t>Kaubanduslepingud on olnud lähteplatvormiks koostööle vastastikust huvi pakkuvates valdkondades</w:t>
      </w:r>
    </w:p>
    <w:p w14:paraId="3471DD3B" w14:textId="1D8C700A" w:rsidR="00E83115" w:rsidRPr="00756E4E" w:rsidRDefault="009C17BE" w:rsidP="008F675E">
      <w:pPr>
        <w:jc w:val="both"/>
        <w:rPr>
          <w:rFonts w:ascii="Times New Roman" w:hAnsi="Times New Roman"/>
          <w:noProof/>
          <w:sz w:val="24"/>
        </w:rPr>
      </w:pPr>
      <w:r>
        <w:rPr>
          <w:rFonts w:ascii="Times New Roman" w:hAnsi="Times New Roman"/>
          <w:noProof/>
          <w:sz w:val="24"/>
        </w:rPr>
        <w:t>Erinevate tehniliste eeskirjadega tegelemine eri jurisdiktsioonides mõjutab oluliselt välismaal toimuva äritegevusega seotud kulusid ja keerukust. Sel põhjusel kasutab EL oma kaubanduslepinguid vahendina, et hõlbustada regulatiivset koostööd vastastikust huvi pakkuvates valdkondades, vähendades kulusid teineteise lähenemisviiside vastastikuse tunnustamise kaudu ning edendades nendevahelist sidusust. Järgnevalt on toodud mõned näited edukast koostööst 2024. aastal.</w:t>
      </w:r>
    </w:p>
    <w:p w14:paraId="7F3BC194" w14:textId="25398E65" w:rsidR="009C17BE" w:rsidRPr="00756E4E" w:rsidRDefault="008276FC" w:rsidP="008F675E">
      <w:pPr>
        <w:pStyle w:val="ListParagraph"/>
        <w:numPr>
          <w:ilvl w:val="0"/>
          <w:numId w:val="21"/>
        </w:numPr>
        <w:jc w:val="both"/>
        <w:rPr>
          <w:rFonts w:ascii="Times New Roman" w:hAnsi="Times New Roman"/>
          <w:noProof/>
          <w:sz w:val="24"/>
        </w:rPr>
      </w:pPr>
      <w:r>
        <w:rPr>
          <w:rFonts w:ascii="Times New Roman" w:hAnsi="Times New Roman"/>
          <w:noProof/>
          <w:sz w:val="24"/>
        </w:rPr>
        <w:t xml:space="preserve">Euroopa Ravimiameti ja Kanada tervishoiuministeeriumi regulatiivse teabevahetuse kaudu, mis toimub </w:t>
      </w:r>
      <w:r>
        <w:rPr>
          <w:rFonts w:ascii="Times New Roman" w:hAnsi="Times New Roman"/>
          <w:b/>
          <w:noProof/>
          <w:sz w:val="24"/>
        </w:rPr>
        <w:t>ELi ja Kanada regulatiivse koostööfoorumi</w:t>
      </w:r>
      <w:r>
        <w:rPr>
          <w:rFonts w:ascii="Times New Roman" w:hAnsi="Times New Roman"/>
          <w:noProof/>
          <w:sz w:val="24"/>
        </w:rPr>
        <w:t xml:space="preserve"> raames, on võimalik parandada juurdepääsu pediaatrilistele ravimitele. Kanada vesinikuühenduse ja organisatsiooni Hydrogen Europe vahelised arutelud viisid 2024. aasta juunis </w:t>
      </w:r>
      <w:r>
        <w:rPr>
          <w:rFonts w:ascii="Times New Roman" w:hAnsi="Times New Roman"/>
          <w:b/>
          <w:noProof/>
          <w:sz w:val="24"/>
        </w:rPr>
        <w:t>vastastikuse mõistmise memorandumi</w:t>
      </w:r>
      <w:r>
        <w:rPr>
          <w:rFonts w:ascii="Times New Roman" w:hAnsi="Times New Roman"/>
          <w:noProof/>
          <w:sz w:val="24"/>
        </w:rPr>
        <w:t xml:space="preserve"> allkirjastamiseni ning samal ajal jätkuvad arutelud vesinikenergia reguleerimise, säästvate tavade ja tehisintellekti teemadel.</w:t>
      </w:r>
    </w:p>
    <w:p w14:paraId="00609AD8" w14:textId="77777777" w:rsidR="00723D64" w:rsidRPr="00756E4E" w:rsidRDefault="00723D64" w:rsidP="008F675E">
      <w:pPr>
        <w:pStyle w:val="ListParagraph"/>
        <w:jc w:val="both"/>
        <w:rPr>
          <w:rFonts w:ascii="Times New Roman" w:hAnsi="Times New Roman"/>
          <w:noProof/>
          <w:sz w:val="24"/>
        </w:rPr>
      </w:pPr>
    </w:p>
    <w:p w14:paraId="1DB6C438" w14:textId="1EA37152" w:rsidR="5A7E4553" w:rsidRPr="00756E4E" w:rsidRDefault="009C17BE" w:rsidP="008F675E">
      <w:pPr>
        <w:pStyle w:val="ListParagraph"/>
        <w:numPr>
          <w:ilvl w:val="0"/>
          <w:numId w:val="20"/>
        </w:numPr>
        <w:spacing w:after="0"/>
        <w:jc w:val="both"/>
        <w:rPr>
          <w:rFonts w:ascii="Times New Roman" w:hAnsi="Times New Roman"/>
          <w:noProof/>
          <w:sz w:val="24"/>
        </w:rPr>
      </w:pPr>
      <w:r>
        <w:rPr>
          <w:rFonts w:ascii="Times New Roman" w:hAnsi="Times New Roman"/>
          <w:noProof/>
          <w:sz w:val="24"/>
        </w:rPr>
        <w:t xml:space="preserve">Samuti on turulepääsu hõlbustanud vastavushindamise </w:t>
      </w:r>
      <w:r>
        <w:rPr>
          <w:rFonts w:ascii="Times New Roman" w:hAnsi="Times New Roman"/>
          <w:b/>
          <w:noProof/>
          <w:sz w:val="24"/>
        </w:rPr>
        <w:t>vastastikuse tunnustamise lepingud</w:t>
      </w:r>
      <w:r>
        <w:rPr>
          <w:rFonts w:ascii="Times New Roman" w:hAnsi="Times New Roman"/>
          <w:noProof/>
          <w:sz w:val="24"/>
        </w:rPr>
        <w:t>, mis on lõpetanud vajaduse kuluka topelttestimise järele. 2024. aastal akrediteeriti üks uus ELi vastavushindamisasutus 1999. aasta ELi ja USA vastastikuse tunnustamise lepingu</w:t>
      </w:r>
      <w:r>
        <w:rPr>
          <w:rStyle w:val="FootnoteReference"/>
          <w:rFonts w:ascii="Times New Roman" w:hAnsi="Times New Roman"/>
          <w:noProof/>
          <w:sz w:val="24"/>
        </w:rPr>
        <w:footnoteReference w:id="28"/>
      </w:r>
      <w:r>
        <w:rPr>
          <w:rFonts w:ascii="Times New Roman" w:hAnsi="Times New Roman"/>
          <w:noProof/>
          <w:sz w:val="24"/>
        </w:rPr>
        <w:t xml:space="preserve"> alusel ning kahe ELi vastavushindamisasutuse akrediteeringut pikendati ELi ja Jaapani vastastikuse tunnustamise lepingu alusel.</w:t>
      </w:r>
    </w:p>
    <w:p w14:paraId="745C4C9F" w14:textId="77777777" w:rsidR="00B87FD5" w:rsidRPr="00756E4E" w:rsidRDefault="00B87FD5" w:rsidP="00B87FD5">
      <w:pPr>
        <w:spacing w:after="0"/>
        <w:rPr>
          <w:rFonts w:ascii="Times New Roman" w:hAnsi="Times New Roman"/>
          <w:noProof/>
          <w:sz w:val="24"/>
        </w:rPr>
      </w:pPr>
    </w:p>
    <w:p w14:paraId="7B0480E5" w14:textId="2B5734D8" w:rsidR="00EC49FB" w:rsidRPr="00955CE4" w:rsidRDefault="00DA6AD5" w:rsidP="008D2940">
      <w:pPr>
        <w:pStyle w:val="ListParagraph"/>
        <w:numPr>
          <w:ilvl w:val="0"/>
          <w:numId w:val="11"/>
        </w:numPr>
        <w:spacing w:after="0"/>
        <w:jc w:val="both"/>
        <w:rPr>
          <w:rFonts w:ascii="Times New Roman" w:hAnsi="Times New Roman"/>
          <w:b/>
          <w:noProof/>
          <w:sz w:val="24"/>
        </w:rPr>
      </w:pPr>
      <w:r>
        <w:rPr>
          <w:rFonts w:ascii="Times New Roman" w:hAnsi="Times New Roman"/>
          <w:b/>
          <w:noProof/>
          <w:sz w:val="24"/>
        </w:rPr>
        <w:t>Fookuses kaubandus ja kestlik areng</w:t>
      </w:r>
    </w:p>
    <w:p w14:paraId="0D46E1D9" w14:textId="77777777" w:rsidR="00362976" w:rsidRPr="00955CE4" w:rsidRDefault="00362976" w:rsidP="00362976">
      <w:pPr>
        <w:spacing w:after="0"/>
        <w:jc w:val="both"/>
        <w:rPr>
          <w:rFonts w:ascii="Times New Roman" w:hAnsi="Times New Roman"/>
          <w:b/>
          <w:i/>
          <w:noProof/>
          <w:sz w:val="24"/>
        </w:rPr>
      </w:pPr>
    </w:p>
    <w:p w14:paraId="0BA7FB81" w14:textId="5FE218B2" w:rsidR="00362976" w:rsidRPr="00955CE4" w:rsidRDefault="00281D55" w:rsidP="39F0467E">
      <w:pPr>
        <w:pStyle w:val="NormalWeb"/>
        <w:spacing w:after="0"/>
        <w:jc w:val="both"/>
        <w:rPr>
          <w:i/>
          <w:noProof/>
          <w:highlight w:val="yellow"/>
        </w:rPr>
      </w:pPr>
      <w:r>
        <w:rPr>
          <w:noProof/>
        </w:rPr>
        <w:t>Komisjon jätkas 2024. aastal kaubanduse ja kestliku arengu poliitika läbivaatamise</w:t>
      </w:r>
      <w:r>
        <w:rPr>
          <w:rStyle w:val="FootnoteReference"/>
          <w:noProof/>
        </w:rPr>
        <w:footnoteReference w:id="29"/>
      </w:r>
      <w:r>
        <w:rPr>
          <w:noProof/>
        </w:rPr>
        <w:t xml:space="preserve"> elluviimist, tunnistades kaubanduse ja kestliku arengu rolli kaubanduspoliitikas.</w:t>
      </w:r>
    </w:p>
    <w:p w14:paraId="16616C0E" w14:textId="77777777" w:rsidR="00362976" w:rsidRPr="00955CE4" w:rsidRDefault="00362976" w:rsidP="00362976">
      <w:pPr>
        <w:pStyle w:val="NormalWeb"/>
        <w:spacing w:after="0"/>
        <w:jc w:val="both"/>
        <w:rPr>
          <w:i/>
          <w:noProof/>
        </w:rPr>
      </w:pPr>
    </w:p>
    <w:p w14:paraId="631897A5" w14:textId="40B3D918" w:rsidR="00362976" w:rsidRPr="00955CE4" w:rsidRDefault="002A355D" w:rsidP="00362976">
      <w:pPr>
        <w:pStyle w:val="NormalWeb"/>
        <w:spacing w:after="0"/>
        <w:jc w:val="both"/>
        <w:rPr>
          <w:noProof/>
        </w:rPr>
      </w:pPr>
      <w:bookmarkStart w:id="40" w:name="_Hlk196925219"/>
      <w:r>
        <w:rPr>
          <w:noProof/>
        </w:rPr>
        <w:t xml:space="preserve">Komisjon jätkas 14 ELi lepingus, mis sisaldavad kaubanduse ja kestliku arengu sätteid, </w:t>
      </w:r>
      <w:r>
        <w:rPr>
          <w:b/>
          <w:bCs/>
          <w:noProof/>
        </w:rPr>
        <w:t>riigipõhiste prioriteetide määratlemist</w:t>
      </w:r>
      <w:r>
        <w:rPr>
          <w:noProof/>
        </w:rPr>
        <w:t xml:space="preserve"> töö, sooliste aspektide, keskkonna, kliima ja kodanikuühiskonna valdkonnas, tehes seda </w:t>
      </w:r>
      <w:r>
        <w:rPr>
          <w:b/>
          <w:bCs/>
          <w:noProof/>
        </w:rPr>
        <w:t>tihedas koostöös</w:t>
      </w:r>
      <w:r>
        <w:rPr>
          <w:noProof/>
        </w:rPr>
        <w:t xml:space="preserve"> nende lepingute alusel loodud </w:t>
      </w:r>
      <w:bookmarkStart w:id="41" w:name="_Hlk160576121"/>
      <w:r>
        <w:rPr>
          <w:b/>
          <w:noProof/>
        </w:rPr>
        <w:t>ELi sisenõuanderühmadega</w:t>
      </w:r>
      <w:bookmarkEnd w:id="41"/>
      <w:r>
        <w:rPr>
          <w:noProof/>
        </w:rPr>
        <w:t>.</w:t>
      </w:r>
      <w:r>
        <w:rPr>
          <w:i/>
          <w:noProof/>
        </w:rPr>
        <w:t xml:space="preserve"> </w:t>
      </w:r>
      <w:r>
        <w:rPr>
          <w:noProof/>
        </w:rPr>
        <w:t xml:space="preserve">Kolm uusimat lepingut – </w:t>
      </w:r>
      <w:r>
        <w:rPr>
          <w:b/>
          <w:noProof/>
        </w:rPr>
        <w:t>ELi ja Tšiili vaheline ajutine kaubandusleping</w:t>
      </w:r>
      <w:r>
        <w:rPr>
          <w:noProof/>
        </w:rPr>
        <w:t xml:space="preserve">, </w:t>
      </w:r>
      <w:r>
        <w:rPr>
          <w:b/>
          <w:noProof/>
        </w:rPr>
        <w:t>ELi ja Keenia majanduspartnerlusleping</w:t>
      </w:r>
      <w:r>
        <w:rPr>
          <w:noProof/>
        </w:rPr>
        <w:t xml:space="preserve"> ning </w:t>
      </w:r>
      <w:r>
        <w:rPr>
          <w:b/>
          <w:noProof/>
        </w:rPr>
        <w:t>ELi ja Uus-Meremaa vabakaubandusleping</w:t>
      </w:r>
      <w:r>
        <w:rPr>
          <w:noProof/>
        </w:rPr>
        <w:t> – sisaldavad samuti siduvaid sätteid soolise võrdõiguslikkuse, naiste mõjuvõimu suurendamise ja tööõiguste kohta.</w:t>
      </w:r>
    </w:p>
    <w:p w14:paraId="319C4D1C" w14:textId="77777777" w:rsidR="004F12FE" w:rsidRPr="00570F0D" w:rsidRDefault="004F12FE" w:rsidP="004F12FE">
      <w:pPr>
        <w:spacing w:after="0"/>
        <w:jc w:val="both"/>
        <w:rPr>
          <w:rFonts w:ascii="Times New Roman" w:eastAsia="Times New Roman" w:hAnsi="Times New Roman" w:cs="Times New Roman"/>
          <w:noProof/>
          <w:sz w:val="24"/>
          <w:szCs w:val="24"/>
        </w:rPr>
      </w:pPr>
      <w:bookmarkStart w:id="42" w:name="_Hlk201069250"/>
    </w:p>
    <w:p w14:paraId="315C48D7" w14:textId="140F9C39" w:rsidR="004F12FE" w:rsidRPr="00570F0D" w:rsidRDefault="004F12FE" w:rsidP="004F12FE">
      <w:pPr>
        <w:jc w:val="both"/>
        <w:rPr>
          <w:rFonts w:ascii="Times New Roman" w:eastAsia="Times New Roman" w:hAnsi="Times New Roman" w:cs="Times New Roman"/>
          <w:noProof/>
          <w:sz w:val="24"/>
          <w:szCs w:val="24"/>
        </w:rPr>
      </w:pPr>
      <w:r>
        <w:rPr>
          <w:rFonts w:ascii="Times New Roman" w:hAnsi="Times New Roman"/>
          <w:noProof/>
          <w:sz w:val="24"/>
        </w:rPr>
        <w:t xml:space="preserve">Komisjon sõlmis 2024. aastal lepingu sõltumatu konsultandiga, et teha </w:t>
      </w:r>
      <w:r>
        <w:rPr>
          <w:rFonts w:ascii="Times New Roman" w:hAnsi="Times New Roman"/>
          <w:b/>
          <w:noProof/>
          <w:sz w:val="24"/>
        </w:rPr>
        <w:t>järelhindamine ELi vabakaubanduslepingute mõju kohta peamistele keskkonnaaspektidele, sealhulgas kliimale</w:t>
      </w:r>
      <w:r>
        <w:rPr>
          <w:rFonts w:ascii="Times New Roman" w:hAnsi="Times New Roman"/>
          <w:noProof/>
          <w:sz w:val="24"/>
        </w:rPr>
        <w:t>. 2025. aasta veebruaris avaldatud hindamine</w:t>
      </w:r>
      <w:r>
        <w:rPr>
          <w:rStyle w:val="FootnoteReference"/>
          <w:rFonts w:ascii="Times New Roman" w:eastAsia="Times New Roman" w:hAnsi="Times New Roman" w:cs="Times New Roman"/>
          <w:noProof/>
          <w:sz w:val="24"/>
          <w:szCs w:val="24"/>
        </w:rPr>
        <w:footnoteReference w:id="30"/>
      </w:r>
      <w:r>
        <w:rPr>
          <w:rFonts w:ascii="Times New Roman" w:hAnsi="Times New Roman"/>
          <w:noProof/>
          <w:sz w:val="24"/>
        </w:rPr>
        <w:t xml:space="preserve"> pakub kvalitatiivset analüüsi keskkonna- ja kliimasätete mõjust seitsmes ELi kaubanduslepingus, tuginedes dokumendianalüüsile ja intervjuudele erinevate sidusrühmadega. Hindamisele lisandub 20 juhtumiuuringut, mis hõlmavad kokku 11 partnerriiki.</w:t>
      </w:r>
    </w:p>
    <w:p w14:paraId="3C633047" w14:textId="77777777" w:rsidR="004F12FE" w:rsidRPr="00570F0D" w:rsidRDefault="004F12FE" w:rsidP="004F12FE">
      <w:pPr>
        <w:pStyle w:val="ListParagraph"/>
        <w:numPr>
          <w:ilvl w:val="0"/>
          <w:numId w:val="35"/>
        </w:numPr>
        <w:jc w:val="both"/>
        <w:rPr>
          <w:rFonts w:ascii="Times New Roman" w:eastAsia="Times New Roman" w:hAnsi="Times New Roman" w:cs="Times New Roman"/>
          <w:noProof/>
          <w:sz w:val="24"/>
          <w:szCs w:val="24"/>
        </w:rPr>
      </w:pPr>
      <w:r>
        <w:rPr>
          <w:rFonts w:ascii="Times New Roman" w:hAnsi="Times New Roman"/>
          <w:noProof/>
          <w:sz w:val="24"/>
        </w:rPr>
        <w:t>Hindamise üldine järeldus oli, et vabakaubanduslepingute keskkonnasätted on avaldanud partnerriikides positiivset mõju keskkonnale ja kliimale ning eelkõige ei ole need viinud keskkonna- ega kliimastandardite leevendamiseni kaubanduse soodustamise või investeeringute meelitamise eesmärgil.</w:t>
      </w:r>
    </w:p>
    <w:p w14:paraId="443FFB45" w14:textId="77777777" w:rsidR="004F12FE" w:rsidRPr="00570F0D" w:rsidRDefault="004F12FE" w:rsidP="004F12FE">
      <w:pPr>
        <w:pStyle w:val="ListParagraph"/>
        <w:jc w:val="both"/>
        <w:rPr>
          <w:rFonts w:ascii="Times New Roman" w:eastAsia="Times New Roman" w:hAnsi="Times New Roman" w:cs="Times New Roman"/>
          <w:noProof/>
          <w:sz w:val="24"/>
          <w:szCs w:val="24"/>
        </w:rPr>
      </w:pPr>
    </w:p>
    <w:p w14:paraId="659759FC" w14:textId="77777777" w:rsidR="004F12FE" w:rsidRPr="00570F0D" w:rsidRDefault="004F12FE" w:rsidP="004F12FE">
      <w:pPr>
        <w:pStyle w:val="ListParagraph"/>
        <w:numPr>
          <w:ilvl w:val="0"/>
          <w:numId w:val="35"/>
        </w:numPr>
        <w:spacing w:after="0"/>
        <w:jc w:val="both"/>
        <w:rPr>
          <w:rFonts w:ascii="Times New Roman" w:hAnsi="Times New Roman" w:cs="Times New Roman"/>
          <w:noProof/>
          <w:color w:val="222222"/>
          <w:sz w:val="24"/>
          <w:szCs w:val="24"/>
        </w:rPr>
      </w:pPr>
      <w:r>
        <w:rPr>
          <w:rFonts w:ascii="Times New Roman" w:hAnsi="Times New Roman"/>
          <w:noProof/>
          <w:sz w:val="24"/>
        </w:rPr>
        <w:t>Täpsemalt leiti, et ELi vabakaubanduslepingute kliima- ja keskkonnasätted on üldiselt saavutanud oma eesmärgid ja olnud tulemuslikud. Neid peeti ka tõhusateks, kuna eesmärkide saavutamisest saadav kasu ületas sidusrühmade jaoks kaasnevad kulud.</w:t>
      </w:r>
    </w:p>
    <w:p w14:paraId="7A64032B" w14:textId="77777777" w:rsidR="004F12FE" w:rsidRPr="00570F0D" w:rsidRDefault="004F12FE" w:rsidP="004F12FE">
      <w:pPr>
        <w:pStyle w:val="ListParagraph"/>
        <w:rPr>
          <w:rFonts w:ascii="Times New Roman" w:eastAsia="Times New Roman" w:hAnsi="Times New Roman" w:cs="Times New Roman"/>
          <w:noProof/>
          <w:sz w:val="24"/>
          <w:szCs w:val="24"/>
        </w:rPr>
      </w:pPr>
    </w:p>
    <w:p w14:paraId="69DA74AA" w14:textId="77777777" w:rsidR="004F12FE" w:rsidRPr="00570F0D" w:rsidRDefault="004F12FE" w:rsidP="004F12FE">
      <w:pPr>
        <w:pStyle w:val="ListParagraph"/>
        <w:numPr>
          <w:ilvl w:val="0"/>
          <w:numId w:val="35"/>
        </w:numPr>
        <w:spacing w:after="0"/>
        <w:jc w:val="both"/>
        <w:rPr>
          <w:rFonts w:ascii="Times New Roman" w:hAnsi="Times New Roman" w:cs="Times New Roman"/>
          <w:noProof/>
          <w:color w:val="222222"/>
          <w:sz w:val="24"/>
          <w:szCs w:val="24"/>
        </w:rPr>
      </w:pPr>
      <w:r>
        <w:rPr>
          <w:rFonts w:ascii="Times New Roman" w:hAnsi="Times New Roman"/>
          <w:noProof/>
          <w:sz w:val="24"/>
        </w:rPr>
        <w:t>Lõpuks järeldati hindamises, et ELi vabakaubanduslepingute keskkonnasätted on sidusad ja asjakohased.</w:t>
      </w:r>
      <w:bookmarkEnd w:id="42"/>
    </w:p>
    <w:bookmarkEnd w:id="40"/>
    <w:p w14:paraId="591F70C1" w14:textId="77777777" w:rsidR="00362976" w:rsidRPr="00955CE4" w:rsidRDefault="00362976" w:rsidP="00362976">
      <w:pPr>
        <w:pStyle w:val="NormalWeb"/>
        <w:spacing w:after="0"/>
        <w:jc w:val="both"/>
        <w:rPr>
          <w:i/>
          <w:noProof/>
        </w:rPr>
      </w:pPr>
    </w:p>
    <w:p w14:paraId="02DD593A" w14:textId="6746B340" w:rsidR="005A1B65" w:rsidRPr="00955CE4" w:rsidRDefault="002A355D" w:rsidP="5CD9B66A">
      <w:pPr>
        <w:pStyle w:val="NormalWeb"/>
        <w:jc w:val="both"/>
        <w:rPr>
          <w:b/>
          <w:noProof/>
        </w:rPr>
      </w:pPr>
      <w:r>
        <w:rPr>
          <w:noProof/>
        </w:rPr>
        <w:t xml:space="preserve">Teine 2024. aasta prioriteet oli jälgida edusamme esimese </w:t>
      </w:r>
      <w:r>
        <w:rPr>
          <w:b/>
          <w:noProof/>
        </w:rPr>
        <w:t>kaubanduse ja kestliku arenguga seotud kaebuse</w:t>
      </w:r>
      <w:r>
        <w:rPr>
          <w:noProof/>
        </w:rPr>
        <w:t xml:space="preserve"> menetlemisel, mille üks valitsusväline organisatsioon esitas 2022. aasta mais komisjoni ühtsele kontaktpunktile seoses töötajate õigustega </w:t>
      </w:r>
      <w:r>
        <w:rPr>
          <w:b/>
          <w:noProof/>
        </w:rPr>
        <w:t>Peruu</w:t>
      </w:r>
      <w:r>
        <w:rPr>
          <w:noProof/>
        </w:rPr>
        <w:t xml:space="preserve"> ja </w:t>
      </w:r>
      <w:r>
        <w:rPr>
          <w:b/>
          <w:noProof/>
        </w:rPr>
        <w:t>Colombia</w:t>
      </w:r>
      <w:r>
        <w:rPr>
          <w:noProof/>
        </w:rPr>
        <w:t xml:space="preserve"> kaevandussektoris. Dialoog nende riikidega jätkus ka 2024. aastal eesmärgiga tuvastada probleeme nende vastava tööõiguse rakendamisel. Colombia puhul keskenduti aruteludes edusammudele riigisiseste tööreformide elluviimisel. Peruuga tehtava kaubanduse ja kestliku arengu alase koostöö raames avaldati 2024. aasta märtsis ja novembris loetelu tehnilise koostöö meetmetest, eelkõige ühinemisvabaduse, lapstööjõu kasutamise, sunniviisilise töö, mitteametliku töötamise vastase võitluse ja eriti tööinspektsiooni süsteemi tugevdamise valdkonnas. Need tegevused viiakse eelseisvatel aastatel ellu ELi ulatuslike programmide toel.</w:t>
      </w:r>
    </w:p>
    <w:p w14:paraId="776F1D6F" w14:textId="72F2F3CF" w:rsidR="00FE4521" w:rsidRPr="00570F0D" w:rsidRDefault="00FE4521" w:rsidP="5CD9B66A">
      <w:pPr>
        <w:pStyle w:val="NormalWeb"/>
        <w:jc w:val="both"/>
        <w:rPr>
          <w:rFonts w:eastAsia="Times New Roman"/>
          <w:noProof/>
        </w:rPr>
      </w:pPr>
      <w:r>
        <w:rPr>
          <w:noProof/>
        </w:rPr>
        <w:t>Sellest tööst tulenevad positiivsed edasiminekud näitavad kodanikuühiskonna olulist rolli kaubanduse ja kestliku arengu sätete järgimisest teavitamisel ja nende sätete järgimise jälgimisel kolmandates riikides.</w:t>
      </w:r>
    </w:p>
    <w:p w14:paraId="3E637EE8" w14:textId="31390708" w:rsidR="04FBEED8" w:rsidRPr="00955CE4" w:rsidRDefault="04FBEED8" w:rsidP="00884005">
      <w:pPr>
        <w:jc w:val="both"/>
        <w:rPr>
          <w:rFonts w:ascii="Times New Roman" w:hAnsi="Times New Roman"/>
          <w:noProof/>
          <w:sz w:val="24"/>
        </w:rPr>
      </w:pPr>
      <w:bookmarkStart w:id="43" w:name="_Hlk198069448"/>
      <w:r>
        <w:rPr>
          <w:rFonts w:ascii="Times New Roman" w:hAnsi="Times New Roman"/>
          <w:noProof/>
          <w:sz w:val="24"/>
        </w:rPr>
        <w:t xml:space="preserve">2024. aasta märtsis esitati ühtsele kontaktpunktile </w:t>
      </w:r>
      <w:r>
        <w:rPr>
          <w:rFonts w:ascii="Times New Roman" w:hAnsi="Times New Roman"/>
          <w:b/>
          <w:noProof/>
          <w:sz w:val="24"/>
        </w:rPr>
        <w:t>teine ametlik kaebus, mis puudutas kaubanduse ja kestliku arengu poliitikat</w:t>
      </w:r>
      <w:r>
        <w:rPr>
          <w:rFonts w:ascii="Times New Roman" w:hAnsi="Times New Roman"/>
          <w:noProof/>
          <w:sz w:val="24"/>
        </w:rPr>
        <w:t xml:space="preserve">. Kaebus oli seotud </w:t>
      </w:r>
      <w:r>
        <w:rPr>
          <w:rFonts w:ascii="Times New Roman" w:hAnsi="Times New Roman"/>
          <w:b/>
          <w:noProof/>
          <w:sz w:val="24"/>
        </w:rPr>
        <w:t>ELi ja Vietnami vabakaubanduslepingu</w:t>
      </w:r>
      <w:r>
        <w:rPr>
          <w:rFonts w:ascii="Times New Roman" w:hAnsi="Times New Roman"/>
          <w:noProof/>
          <w:sz w:val="24"/>
        </w:rPr>
        <w:t xml:space="preserve"> kaubanduse ja kestliku arengu peatükiga, eelkõige Vietnami kohustusega „jätkata ja tõhustada jõupingutusi järelejäänud põhiliste ILO konventsioonide ratifitseerimiseks“. Komisjoni esialgses hinnangus märgiti, et Vietnam on teinud piiratud edusamme seoses pidevate ja järjepidevate jõupingutustega ILO konventsiooni nr 87 ratifitseerimiseks. Vietnam võttis 27. novembril 2024. aastal vastu uue ametiühinguseaduse. Selles uues seaduses ei ole siiski ette nähtud ILO konventsiooni nr 87 ratifitseerimist ei tingimuse ega nõudena ega tähenda ka konventsiooni nr 87 ratifitseerimist. Vietnami siseasjade ministeerium edastas 21. märtsil 2025. aastal kirjaliku ajakohastatud teabe mitme ELile huvi pakkuvate tööga seotud küsimuse kohta. Kirjas anti ülevaade hiljutistest suundumustest ja esitati Vietnami tõlgendus uuest ametiühinguseadusest, kuid selles ei olnud piisavalt teavet Vietnami varasemate ja kavandatud tegevuste kohta, et hinnata, kas riik täidab ELi ja Vietnami vabakaubanduslepingu alusel võetud kohustust teha jätkuvaid ja järjepidevaid jõupingutusi ILO konventsiooni nr 87 ratifitseerimiseks. Seetõttu on vaja täiendavat analüüsi, milleks komisjon ootab Vietnamilt lisateavet.</w:t>
      </w:r>
    </w:p>
    <w:p w14:paraId="479E24EF" w14:textId="1C9AD1CD" w:rsidR="04FBEED8" w:rsidRPr="00955CE4" w:rsidRDefault="00F43D70" w:rsidP="00884005">
      <w:pPr>
        <w:jc w:val="both"/>
        <w:rPr>
          <w:rFonts w:ascii="Times New Roman" w:hAnsi="Times New Roman"/>
          <w:noProof/>
          <w:sz w:val="24"/>
        </w:rPr>
      </w:pPr>
      <w:r>
        <w:rPr>
          <w:rFonts w:ascii="Times New Roman" w:hAnsi="Times New Roman"/>
          <w:b/>
          <w:noProof/>
          <w:sz w:val="24"/>
        </w:rPr>
        <w:t>Kolmas kaubanduse ja kestliku arenguga seotud kaebus</w:t>
      </w:r>
      <w:r>
        <w:rPr>
          <w:rFonts w:ascii="Times New Roman" w:hAnsi="Times New Roman"/>
          <w:noProof/>
          <w:sz w:val="24"/>
        </w:rPr>
        <w:t>, mis käsitles samuti ELi ja Vietnami vahelist vabakaubanduslepingut, saadi 2025. aasta veebruaris ning see käsitles inimõiguste ja tööõiguste rikkumisi. Komisjon tegeleb praegu selle kaebuse esialgse hindamisega.</w:t>
      </w:r>
    </w:p>
    <w:bookmarkEnd w:id="43"/>
    <w:p w14:paraId="630B397D" w14:textId="67F7BBE0" w:rsidR="00D4070B" w:rsidRPr="00955CE4" w:rsidRDefault="00A07444" w:rsidP="5CD9B66A">
      <w:pPr>
        <w:pStyle w:val="NormalWeb"/>
        <w:jc w:val="both"/>
        <w:rPr>
          <w:noProof/>
        </w:rPr>
      </w:pPr>
      <w:r>
        <w:rPr>
          <w:noProof/>
        </w:rPr>
        <w:t xml:space="preserve">ELi kahepoolsete kaubanduslepingute raames, mis sisaldavad kaubanduse ja kestliku arengu peatükke, on kaubanduse ja kestliku arengu küsimuste arutamiseks loodud </w:t>
      </w:r>
      <w:r>
        <w:rPr>
          <w:b/>
          <w:noProof/>
        </w:rPr>
        <w:t>ühised kaubanduse ja kestliku arengu komiteed</w:t>
      </w:r>
      <w:r>
        <w:rPr>
          <w:noProof/>
        </w:rPr>
        <w:t>.</w:t>
      </w:r>
    </w:p>
    <w:p w14:paraId="2C31E718" w14:textId="6823E97B" w:rsidR="00BB02E0" w:rsidRPr="00955CE4" w:rsidRDefault="00C85C4B" w:rsidP="5CD9B66A">
      <w:pPr>
        <w:pStyle w:val="NormalWeb"/>
        <w:jc w:val="both"/>
        <w:rPr>
          <w:noProof/>
        </w:rPr>
      </w:pPr>
      <w:r>
        <w:rPr>
          <w:noProof/>
        </w:rPr>
        <w:t>Järgnevalt on esitatud näited 2024. aastal saavutatud konkreetsetest edusammudest tööõiguste ja keskkonnaalaste põhiliste konventsioonide ratifitseerimisel ja rakendamisel, mis on ajendanud partnerriike ajakohastama oma riigisiseseid õigusraamistikke vastavalt nende ELiga sõlmitud lepingute sätetele.</w:t>
      </w:r>
    </w:p>
    <w:p w14:paraId="162F33B5" w14:textId="41E4FB09" w:rsidR="00FE4521" w:rsidRPr="00955CE4" w:rsidRDefault="3D5D6208" w:rsidP="008D2940">
      <w:pPr>
        <w:pStyle w:val="NormalWeb"/>
        <w:numPr>
          <w:ilvl w:val="0"/>
          <w:numId w:val="9"/>
        </w:numPr>
        <w:jc w:val="both"/>
        <w:rPr>
          <w:noProof/>
        </w:rPr>
      </w:pPr>
      <w:bookmarkStart w:id="44" w:name="_Hlk167456307"/>
      <w:r>
        <w:rPr>
          <w:b/>
          <w:noProof/>
          <w:color w:val="222222"/>
        </w:rPr>
        <w:t>Colombia</w:t>
      </w:r>
      <w:r>
        <w:rPr>
          <w:noProof/>
          <w:color w:val="222222"/>
        </w:rPr>
        <w:t xml:space="preserve"> ratifitseeris 6. detsembril 2024 ILO konventsiooni nr C156 (perekondlike kohustustega töötajate konventsioon). </w:t>
      </w:r>
      <w:r>
        <w:rPr>
          <w:b/>
          <w:noProof/>
          <w:color w:val="222222"/>
        </w:rPr>
        <w:t>Guatemala</w:t>
      </w:r>
      <w:r>
        <w:rPr>
          <w:noProof/>
          <w:color w:val="222222"/>
        </w:rPr>
        <w:t xml:space="preserve"> ratifitseeris 6. augustil 2024 ILO konventsiooni nr C191 (turvalise ja tervisliku töökeskkonna konventsioon). </w:t>
      </w:r>
      <w:r>
        <w:rPr>
          <w:b/>
          <w:noProof/>
          <w:color w:val="222222"/>
        </w:rPr>
        <w:t>Moldova</w:t>
      </w:r>
      <w:r>
        <w:rPr>
          <w:noProof/>
          <w:color w:val="222222"/>
        </w:rPr>
        <w:t xml:space="preserve"> ratifitseeris 19. märtsil 2024 ILO konventsiooni nr C190 (vägivalla ja ahistamise vastu võitlemise konventsioon)</w:t>
      </w:r>
      <w:r>
        <w:rPr>
          <w:noProof/>
        </w:rPr>
        <w:t>.</w:t>
      </w:r>
    </w:p>
    <w:p w14:paraId="1AD35EA3" w14:textId="5CF674F5" w:rsidR="00C72321" w:rsidRPr="00955CE4" w:rsidRDefault="00FE4521" w:rsidP="00507EC5">
      <w:pPr>
        <w:pStyle w:val="NormalWeb"/>
        <w:numPr>
          <w:ilvl w:val="0"/>
          <w:numId w:val="9"/>
        </w:numPr>
        <w:jc w:val="both"/>
        <w:rPr>
          <w:noProof/>
          <w:color w:val="222222"/>
        </w:rPr>
      </w:pPr>
      <w:r>
        <w:rPr>
          <w:b/>
          <w:noProof/>
          <w:color w:val="222222"/>
        </w:rPr>
        <w:t>Moldova</w:t>
      </w:r>
      <w:r>
        <w:rPr>
          <w:noProof/>
          <w:color w:val="222222"/>
        </w:rPr>
        <w:t xml:space="preserve"> tegi samuti edusamme </w:t>
      </w:r>
      <w:r>
        <w:rPr>
          <w:b/>
          <w:noProof/>
          <w:color w:val="222222"/>
        </w:rPr>
        <w:t>töö ja keskkonnaga</w:t>
      </w:r>
      <w:r>
        <w:rPr>
          <w:noProof/>
          <w:color w:val="222222"/>
        </w:rPr>
        <w:t xml:space="preserve"> seotud </w:t>
      </w:r>
      <w:r>
        <w:rPr>
          <w:b/>
          <w:noProof/>
          <w:color w:val="222222"/>
        </w:rPr>
        <w:t>riigisisese korra täiustamisel</w:t>
      </w:r>
      <w:r>
        <w:rPr>
          <w:noProof/>
          <w:color w:val="222222"/>
        </w:rPr>
        <w:t>.</w:t>
      </w:r>
      <w:r>
        <w:rPr>
          <w:b/>
          <w:noProof/>
          <w:color w:val="222222"/>
        </w:rPr>
        <w:t xml:space="preserve"> </w:t>
      </w:r>
      <w:bookmarkEnd w:id="44"/>
      <w:r>
        <w:rPr>
          <w:noProof/>
          <w:color w:val="222222"/>
        </w:rPr>
        <w:t xml:space="preserve">Moldova võttis vastu kliimaseaduse, millega kehtestatakse õigusraamistik 2050. aastaks kasvuhoonegaaside nullnetoheiteni jõudmiseks. Lisaks käivitati 2024. aastal Moldova vähese heitega arengu programm aastani 2030 ning avaldati ökodisaini nõuded 21 energiaalasele tootele. Tööinspektsioonide osas teatas Moldova seadusmuudatustest, mis lubavad etteteatamata kontrolle, et aidata tuvastada ja reguleerida deklareerimata tööd. Selles valdkonnas tegi edusamme ka </w:t>
      </w:r>
      <w:r>
        <w:rPr>
          <w:b/>
          <w:noProof/>
          <w:color w:val="222222"/>
        </w:rPr>
        <w:t>Gruusia</w:t>
      </w:r>
      <w:r>
        <w:rPr>
          <w:noProof/>
          <w:color w:val="222222"/>
        </w:rPr>
        <w:t>, kes tugevdas oma tööinspektsioonisüsteemi täiendava värbamise, koolituse ja suutlikkuse suurendamise kaudu. Riik võttis vastu ka oma riikliku kliimamuutuste strateegia aastani 2030.</w:t>
      </w:r>
    </w:p>
    <w:p w14:paraId="5F5E8E98" w14:textId="4811D6D7" w:rsidR="00FC65A8" w:rsidRPr="00955CE4" w:rsidRDefault="007F361F" w:rsidP="00756E4E">
      <w:pPr>
        <w:pStyle w:val="NormalWeb"/>
        <w:jc w:val="both"/>
        <w:rPr>
          <w:noProof/>
        </w:rPr>
      </w:pPr>
      <w:r>
        <w:rPr>
          <w:noProof/>
        </w:rPr>
        <w:t xml:space="preserve">Nii nagu varasematelgi aastatel, kasutas komisjon ELi kaubanduslepingute alusel moodustatud </w:t>
      </w:r>
      <w:r>
        <w:rPr>
          <w:b/>
          <w:noProof/>
        </w:rPr>
        <w:t>kaubanduse ja kestliku arengu komiteesid</w:t>
      </w:r>
      <w:r>
        <w:rPr>
          <w:noProof/>
        </w:rPr>
        <w:t xml:space="preserve">, et kaasata partnerid kõige olulisemate kaubanduse ja kestliku arengu poliitika läbivaatamisega seotud küsimuste arutamisse ning </w:t>
      </w:r>
      <w:r>
        <w:rPr>
          <w:b/>
          <w:noProof/>
        </w:rPr>
        <w:t>tõhustada koostööd keskkonna- ja kliimaküsimustes ning sooküsimustes</w:t>
      </w:r>
      <w:r>
        <w:rPr>
          <w:noProof/>
        </w:rPr>
        <w:t>.</w:t>
      </w:r>
      <w:r>
        <w:rPr>
          <w:b/>
          <w:noProof/>
        </w:rPr>
        <w:t xml:space="preserve"> </w:t>
      </w:r>
      <w:r>
        <w:rPr>
          <w:noProof/>
        </w:rPr>
        <w:t>Tööd tehti eelkõige sihipärase poliitikadialoogi ja roheliste partnerluste kaudu. Järgnevalt on esitatud näited 2024. aastal saavutatud edusammudest.</w:t>
      </w:r>
    </w:p>
    <w:p w14:paraId="541FA3A6" w14:textId="7A6F641C" w:rsidR="00507EC5" w:rsidRPr="00570F0D" w:rsidRDefault="00B75FC5" w:rsidP="00B75FC5">
      <w:pPr>
        <w:pStyle w:val="NormalWeb"/>
        <w:numPr>
          <w:ilvl w:val="0"/>
          <w:numId w:val="10"/>
        </w:numPr>
        <w:jc w:val="both"/>
        <w:rPr>
          <w:noProof/>
        </w:rPr>
      </w:pPr>
      <w:r>
        <w:rPr>
          <w:b/>
          <w:noProof/>
        </w:rPr>
        <w:t>EL ja Lõuna-Korea</w:t>
      </w:r>
      <w:r>
        <w:rPr>
          <w:noProof/>
        </w:rPr>
        <w:t xml:space="preserve"> süvendasid koostööd 2023. aasta mais sisse seatud </w:t>
      </w:r>
      <w:r>
        <w:rPr>
          <w:b/>
          <w:noProof/>
        </w:rPr>
        <w:t>rohepartnerluse</w:t>
      </w:r>
      <w:r>
        <w:rPr>
          <w:noProof/>
        </w:rPr>
        <w:t xml:space="preserve"> raames, mis hõlmab kaubandusega seotud küsimusi, nagu meretuuleenergia, laevandussektori süsinikuheite vähendamine, ringmajandus ja süsiniku piirimeede.</w:t>
      </w:r>
    </w:p>
    <w:p w14:paraId="4FB7B74A" w14:textId="55400EA1" w:rsidR="00B75FC5" w:rsidRPr="00955CE4" w:rsidRDefault="00B17D9E" w:rsidP="00B75FC5">
      <w:pPr>
        <w:pStyle w:val="NormalWeb"/>
        <w:numPr>
          <w:ilvl w:val="0"/>
          <w:numId w:val="10"/>
        </w:numPr>
        <w:jc w:val="both"/>
        <w:rPr>
          <w:noProof/>
        </w:rPr>
      </w:pPr>
      <w:r>
        <w:rPr>
          <w:b/>
          <w:noProof/>
        </w:rPr>
        <w:t>EL ja Jaapan</w:t>
      </w:r>
      <w:r>
        <w:rPr>
          <w:noProof/>
        </w:rPr>
        <w:t xml:space="preserve"> tõhustasid </w:t>
      </w:r>
      <w:r>
        <w:rPr>
          <w:b/>
          <w:noProof/>
        </w:rPr>
        <w:t>roheliidu</w:t>
      </w:r>
      <w:r>
        <w:rPr>
          <w:noProof/>
        </w:rPr>
        <w:t xml:space="preserve"> raames koostööd sellistes valdkondades nagu süsiniku hinnastamine, meretuuleenergia ning süsiniku kogumine ja kasutamine.</w:t>
      </w:r>
    </w:p>
    <w:p w14:paraId="05FA6AE7" w14:textId="1F7EE11D" w:rsidR="00FC65A8" w:rsidRPr="00955CE4" w:rsidRDefault="00B75FC5" w:rsidP="008D2940">
      <w:pPr>
        <w:pStyle w:val="NormalWeb"/>
        <w:numPr>
          <w:ilvl w:val="0"/>
          <w:numId w:val="10"/>
        </w:numPr>
        <w:jc w:val="both"/>
        <w:rPr>
          <w:noProof/>
        </w:rPr>
      </w:pPr>
      <w:r>
        <w:rPr>
          <w:noProof/>
        </w:rPr>
        <w:t xml:space="preserve">EL ja </w:t>
      </w:r>
      <w:r>
        <w:rPr>
          <w:b/>
          <w:noProof/>
        </w:rPr>
        <w:t>Singapur</w:t>
      </w:r>
      <w:r>
        <w:rPr>
          <w:noProof/>
        </w:rPr>
        <w:t xml:space="preserve"> tihendasid koostööd rohepööret toetava tehnoloogia valdkonnas.</w:t>
      </w:r>
    </w:p>
    <w:p w14:paraId="2CB43652" w14:textId="2FF762D1" w:rsidR="4BF36D01" w:rsidRPr="00955CE4" w:rsidRDefault="002E2B69" w:rsidP="1D606522">
      <w:pPr>
        <w:pStyle w:val="NormalWeb"/>
        <w:numPr>
          <w:ilvl w:val="0"/>
          <w:numId w:val="10"/>
        </w:numPr>
        <w:jc w:val="both"/>
        <w:rPr>
          <w:noProof/>
          <w:color w:val="111111"/>
          <w:sz w:val="27"/>
        </w:rPr>
      </w:pPr>
      <w:r>
        <w:rPr>
          <w:noProof/>
        </w:rPr>
        <w:t xml:space="preserve">Alustati dialoogi ELi ja </w:t>
      </w:r>
      <w:r>
        <w:rPr>
          <w:b/>
          <w:noProof/>
        </w:rPr>
        <w:t>Kesk-Ameerika</w:t>
      </w:r>
      <w:r>
        <w:rPr>
          <w:noProof/>
        </w:rPr>
        <w:t xml:space="preserve"> vahel ning ELi ja </w:t>
      </w:r>
      <w:r>
        <w:rPr>
          <w:b/>
          <w:noProof/>
        </w:rPr>
        <w:t>Peruu, Colombia ning Ecuadori</w:t>
      </w:r>
      <w:r>
        <w:rPr>
          <w:noProof/>
        </w:rPr>
        <w:t xml:space="preserve"> vahel, et tugevdada nende vastavate kaubanduslepingute kestlikkuse mõõtme rakendamist.</w:t>
      </w:r>
    </w:p>
    <w:p w14:paraId="2FD441B8" w14:textId="32AFEDD9" w:rsidR="00D24BB1" w:rsidRPr="00570F0D" w:rsidRDefault="00507EC5" w:rsidP="00D24BB1">
      <w:pPr>
        <w:numPr>
          <w:ilvl w:val="0"/>
          <w:numId w:val="10"/>
        </w:numPr>
        <w:jc w:val="both"/>
        <w:rPr>
          <w:rFonts w:ascii="Times New Roman" w:hAnsi="Times New Roman" w:cs="Times New Roman"/>
          <w:noProof/>
          <w:sz w:val="24"/>
          <w:szCs w:val="24"/>
        </w:rPr>
      </w:pPr>
      <w:r>
        <w:rPr>
          <w:rFonts w:ascii="Times New Roman" w:hAnsi="Times New Roman"/>
          <w:b/>
          <w:noProof/>
          <w:sz w:val="24"/>
        </w:rPr>
        <w:t>EL ja Kanada</w:t>
      </w:r>
      <w:r>
        <w:rPr>
          <w:rFonts w:ascii="Times New Roman" w:hAnsi="Times New Roman"/>
          <w:noProof/>
          <w:sz w:val="24"/>
        </w:rPr>
        <w:t xml:space="preserve"> pidasid arutelusid seoses </w:t>
      </w:r>
      <w:r>
        <w:rPr>
          <w:rFonts w:ascii="Times New Roman" w:hAnsi="Times New Roman"/>
          <w:b/>
          <w:noProof/>
          <w:sz w:val="24"/>
        </w:rPr>
        <w:t>CETA kaubanduse ja soolise võrdõiguslikkuse alase soovituse</w:t>
      </w:r>
      <w:r>
        <w:rPr>
          <w:rStyle w:val="FootnoteReference"/>
          <w:rFonts w:ascii="Times New Roman" w:hAnsi="Times New Roman" w:cs="Times New Roman"/>
          <w:bCs/>
          <w:iCs/>
          <w:noProof/>
          <w:sz w:val="24"/>
          <w:szCs w:val="24"/>
        </w:rPr>
        <w:footnoteReference w:id="31"/>
      </w:r>
      <w:r>
        <w:rPr>
          <w:rFonts w:ascii="Times New Roman" w:hAnsi="Times New Roman"/>
          <w:noProof/>
          <w:sz w:val="24"/>
        </w:rPr>
        <w:t xml:space="preserve"> rakendamisega. Korraldati üritusi, et jagada teavet mitmesuguste valdkondade poliitika, õigusaktide ja parimate tavade kohta. 19. märtsil 2024 toimus 2024. aasta kodanikuühiskonna foorumi raames kaubandust, soolist võrdõiguslikkust ja VKEsid käsitlev töötuba ning 2024. aasta aprillis korraldati Torontos üritus, mille eesmärk oli toetada naisi rahvusvahelises kaubanduses.</w:t>
      </w:r>
    </w:p>
    <w:p w14:paraId="12999280" w14:textId="3291B039" w:rsidR="008031A5" w:rsidRPr="00955CE4" w:rsidRDefault="00152D33" w:rsidP="00920F4B">
      <w:pPr>
        <w:pStyle w:val="NormalWeb"/>
        <w:spacing w:after="0" w:line="240" w:lineRule="auto"/>
        <w:jc w:val="both"/>
        <w:rPr>
          <w:noProof/>
          <w:color w:val="222222"/>
        </w:rPr>
      </w:pPr>
      <w:r>
        <w:rPr>
          <w:noProof/>
          <w:color w:val="222222"/>
        </w:rPr>
        <w:t xml:space="preserve">Kaubanduse ja kestliku arengu peatükkide alusel loodud struktuurid olid samuti olulised foorumid, kus ELi partnerid said </w:t>
      </w:r>
      <w:r>
        <w:rPr>
          <w:b/>
          <w:noProof/>
          <w:color w:val="222222"/>
        </w:rPr>
        <w:t>süvendada oma arusaamist hiljuti kavandatud või vastu võetud ELi õigusaktidest kestlikkuse kohta</w:t>
      </w:r>
      <w:r>
        <w:rPr>
          <w:noProof/>
          <w:color w:val="222222"/>
        </w:rPr>
        <w:t>, millest osa on eri partnerite jaoks olnud tõsine mureküsimus. Näiteks korraldas komisjon ettevalmistusena viimaseks Uus-Meremaaga toimunud kaubanduse ja kestliku arengu komitee istungiks kohtumisi metsade raadamise teemal, kus osalesid ELi ja Uus-Meremaa kestliku metsamajandamise eksperdid.</w:t>
      </w:r>
    </w:p>
    <w:p w14:paraId="1937A552" w14:textId="77777777" w:rsidR="0091278A" w:rsidRPr="00955CE4" w:rsidRDefault="0091278A" w:rsidP="00362976">
      <w:pPr>
        <w:shd w:val="clear" w:color="auto" w:fill="FFFFFF"/>
        <w:spacing w:after="0" w:line="161" w:lineRule="atLeast"/>
        <w:jc w:val="both"/>
        <w:rPr>
          <w:rFonts w:ascii="Times New Roman" w:hAnsi="Times New Roman"/>
          <w:b/>
          <w:i/>
          <w:noProof/>
          <w:color w:val="222222"/>
          <w:sz w:val="24"/>
        </w:rPr>
      </w:pPr>
    </w:p>
    <w:p w14:paraId="7678B35B" w14:textId="300CE7D0" w:rsidR="00362976" w:rsidRPr="00955CE4" w:rsidRDefault="00362976" w:rsidP="00362976">
      <w:pPr>
        <w:shd w:val="clear" w:color="auto" w:fill="FFFFFF"/>
        <w:spacing w:after="0" w:line="161" w:lineRule="atLeast"/>
        <w:jc w:val="both"/>
        <w:rPr>
          <w:rFonts w:ascii="Times New Roman" w:hAnsi="Times New Roman"/>
          <w:b/>
          <w:i/>
          <w:noProof/>
          <w:color w:val="222222"/>
          <w:sz w:val="24"/>
        </w:rPr>
      </w:pPr>
      <w:r>
        <w:rPr>
          <w:rFonts w:ascii="Times New Roman" w:hAnsi="Times New Roman"/>
          <w:b/>
          <w:i/>
          <w:noProof/>
          <w:color w:val="222222"/>
          <w:sz w:val="24"/>
        </w:rPr>
        <w:t>EL on jätkanud kestlikkuse eesmärke toetava tehnilise koostöö rahastamist</w:t>
      </w:r>
    </w:p>
    <w:p w14:paraId="0F85AE76" w14:textId="77777777" w:rsidR="00362976" w:rsidRPr="00955CE4" w:rsidRDefault="00362976" w:rsidP="00362976">
      <w:pPr>
        <w:shd w:val="clear" w:color="auto" w:fill="FFFFFF"/>
        <w:spacing w:after="0" w:line="161" w:lineRule="atLeast"/>
        <w:jc w:val="both"/>
        <w:rPr>
          <w:rFonts w:ascii="Times New Roman" w:hAnsi="Times New Roman"/>
          <w:noProof/>
          <w:color w:val="222222"/>
          <w:sz w:val="24"/>
        </w:rPr>
      </w:pPr>
    </w:p>
    <w:p w14:paraId="3CFBAE7E" w14:textId="30422F0C" w:rsidR="00980B70" w:rsidRPr="00955CE4" w:rsidRDefault="00EE7AFE" w:rsidP="00A66859">
      <w:pPr>
        <w:pStyle w:val="NormalWeb"/>
        <w:spacing w:after="0"/>
        <w:jc w:val="both"/>
        <w:rPr>
          <w:noProof/>
          <w:color w:val="222222"/>
        </w:rPr>
      </w:pPr>
      <w:r>
        <w:rPr>
          <w:noProof/>
          <w:color w:val="222222"/>
        </w:rPr>
        <w:t xml:space="preserve">ELi kaubanduslepingute kestliku arengu aspektide rakendamisel ja täitmise tagamisel on komisjon edusammude tegemiseks üldjuhul tuginenud partneritele pakutavatele stiimulitele, samal ajal kui komisjonil on olnud võimalik kasutada ka vaidluste lahendamise mehhanismi. EL jätkas 2024. aastal koostööprojektide elluviimist </w:t>
      </w:r>
      <w:r>
        <w:rPr>
          <w:b/>
          <w:noProof/>
          <w:color w:val="222222"/>
        </w:rPr>
        <w:t>Kesk-Ameerikas</w:t>
      </w:r>
      <w:r>
        <w:rPr>
          <w:rStyle w:val="FootnoteReference"/>
          <w:noProof/>
          <w:color w:val="222222"/>
        </w:rPr>
        <w:footnoteReference w:id="32"/>
      </w:r>
      <w:r>
        <w:rPr>
          <w:noProof/>
          <w:color w:val="222222"/>
        </w:rPr>
        <w:t xml:space="preserve"> ja </w:t>
      </w:r>
      <w:r>
        <w:rPr>
          <w:b/>
          <w:noProof/>
          <w:color w:val="222222"/>
        </w:rPr>
        <w:t>Kagu-Aasias</w:t>
      </w:r>
      <w:r>
        <w:rPr>
          <w:noProof/>
          <w:color w:val="222222"/>
        </w:rPr>
        <w:t>, sealhulgas projekti „Trade for decent work“ teises etapis (4 miljonit eurot aastatel 2024–2027), mille eesmärk on parandada tööstandardite rakendamist, eelkõige Bangladeshis, Mongoolias, Filipiinidel ja Vietnamis. Algatuse „Responsible business conduct for green, digital and resilient supply chains in Asia“ (vastutustundlik äritegevus keskkonnahoidlike, digitaalsete ja vastupidavate tarneahelate tagamiseks Aasias) raames jätkas EL OECD ja selle piirkondlike partnerite töö toetamist, tugevdades suutlikkust rakendada rahvusvaheliselt kokku lepitud vastutustundliku ettevõtluse standardeid ning suurendades teadlikkust selle kohta.</w:t>
      </w:r>
    </w:p>
    <w:p w14:paraId="7ABDE0BB" w14:textId="77777777" w:rsidR="00F11561" w:rsidRPr="00955CE4" w:rsidRDefault="00F11561" w:rsidP="01D906B8">
      <w:pPr>
        <w:shd w:val="clear" w:color="auto" w:fill="FFFFFF" w:themeFill="background1"/>
        <w:spacing w:after="0" w:line="161" w:lineRule="atLeast"/>
        <w:jc w:val="both"/>
        <w:rPr>
          <w:rFonts w:ascii="Times New Roman" w:hAnsi="Times New Roman"/>
          <w:b/>
          <w:i/>
          <w:noProof/>
          <w:sz w:val="24"/>
        </w:rPr>
      </w:pPr>
      <w:bookmarkStart w:id="45" w:name="_Hlk196748287"/>
    </w:p>
    <w:p w14:paraId="667611E7" w14:textId="1A23466E" w:rsidR="00362976" w:rsidRPr="00955CE4" w:rsidRDefault="00C72321" w:rsidP="01D906B8">
      <w:pPr>
        <w:shd w:val="clear" w:color="auto" w:fill="FFFFFF" w:themeFill="background1"/>
        <w:spacing w:after="0" w:line="161" w:lineRule="atLeast"/>
        <w:jc w:val="both"/>
        <w:rPr>
          <w:rFonts w:ascii="Times New Roman" w:hAnsi="Times New Roman"/>
          <w:b/>
          <w:i/>
          <w:noProof/>
          <w:sz w:val="24"/>
        </w:rPr>
      </w:pPr>
      <w:r>
        <w:rPr>
          <w:rFonts w:ascii="Times New Roman" w:hAnsi="Times New Roman"/>
          <w:b/>
          <w:i/>
          <w:noProof/>
          <w:sz w:val="24"/>
        </w:rPr>
        <w:t>Koostöö sisenõuanderühmadega</w:t>
      </w:r>
    </w:p>
    <w:p w14:paraId="37D7C80A" w14:textId="77777777" w:rsidR="00C72321" w:rsidRPr="00955CE4" w:rsidRDefault="00C72321" w:rsidP="00362976">
      <w:pPr>
        <w:shd w:val="clear" w:color="auto" w:fill="FFFFFF"/>
        <w:spacing w:after="0" w:line="161" w:lineRule="atLeast"/>
        <w:jc w:val="both"/>
        <w:rPr>
          <w:rFonts w:ascii="Times New Roman" w:hAnsi="Times New Roman"/>
          <w:noProof/>
          <w:color w:val="222222"/>
          <w:sz w:val="24"/>
        </w:rPr>
      </w:pPr>
    </w:p>
    <w:p w14:paraId="0AD43423" w14:textId="50407E85" w:rsidR="008E0CA1" w:rsidRPr="00955CE4" w:rsidRDefault="00573F44" w:rsidP="008E0CA1">
      <w:pPr>
        <w:spacing w:after="0"/>
        <w:jc w:val="both"/>
        <w:rPr>
          <w:rFonts w:ascii="Times New Roman" w:hAnsi="Times New Roman"/>
          <w:noProof/>
          <w:color w:val="222222"/>
          <w:sz w:val="24"/>
        </w:rPr>
      </w:pPr>
      <w:bookmarkStart w:id="46" w:name="_Hlk201218879"/>
      <w:r>
        <w:rPr>
          <w:rFonts w:ascii="Times New Roman" w:hAnsi="Times New Roman"/>
          <w:b/>
          <w:noProof/>
          <w:color w:val="222222"/>
          <w:sz w:val="24"/>
        </w:rPr>
        <w:t>ELi projekt</w:t>
      </w:r>
      <w:r>
        <w:rPr>
          <w:rFonts w:ascii="Times New Roman" w:hAnsi="Times New Roman"/>
          <w:noProof/>
          <w:color w:val="222222"/>
          <w:sz w:val="24"/>
        </w:rPr>
        <w:t xml:space="preserve">, mille eesmärk oli toetada kaubanduslepingute alusel loodud kodanikuühiskonna mehhanismide rakendamist ja mille jaoks sõlmis komisjon 2018. aastal </w:t>
      </w:r>
      <w:r>
        <w:rPr>
          <w:rFonts w:ascii="Times New Roman" w:hAnsi="Times New Roman"/>
          <w:b/>
          <w:noProof/>
          <w:color w:val="222222"/>
          <w:sz w:val="24"/>
        </w:rPr>
        <w:t>3 miljoni euro suuruse eelarvega</w:t>
      </w:r>
      <w:r>
        <w:rPr>
          <w:rFonts w:ascii="Times New Roman" w:hAnsi="Times New Roman"/>
          <w:noProof/>
          <w:color w:val="222222"/>
          <w:sz w:val="24"/>
        </w:rPr>
        <w:t xml:space="preserve"> lepingu, lõpetati 2024. aasta lõpus. Tänu sisenõuanderühmadelt saadud sisendile luuakse </w:t>
      </w:r>
      <w:r>
        <w:rPr>
          <w:rFonts w:ascii="Times New Roman" w:hAnsi="Times New Roman"/>
          <w:b/>
          <w:noProof/>
          <w:color w:val="222222"/>
          <w:sz w:val="24"/>
        </w:rPr>
        <w:t>uus rahastamisvahend</w:t>
      </w:r>
      <w:r>
        <w:rPr>
          <w:rFonts w:ascii="Times New Roman" w:hAnsi="Times New Roman"/>
          <w:noProof/>
          <w:color w:val="222222"/>
          <w:sz w:val="24"/>
        </w:rPr>
        <w:t xml:space="preserve"> sisenõuanderühmade töö toetamiseks, mille abil on võimalik toetada nende tegevust mitmes vabakaubanduslepingu partnerriigis, sealhulgas Andide ja Kesk-Ameerika riikides. Uus toetusvahend (</w:t>
      </w:r>
      <w:r>
        <w:rPr>
          <w:rFonts w:ascii="Times New Roman" w:hAnsi="Times New Roman"/>
          <w:b/>
          <w:noProof/>
          <w:color w:val="222222"/>
          <w:sz w:val="24"/>
        </w:rPr>
        <w:t>1,5 miljoni euro</w:t>
      </w:r>
      <w:r>
        <w:rPr>
          <w:rFonts w:ascii="Times New Roman" w:hAnsi="Times New Roman"/>
          <w:noProof/>
          <w:color w:val="222222"/>
          <w:sz w:val="24"/>
        </w:rPr>
        <w:t xml:space="preserve"> suuruse eelarvega kaheks aastaks, mida on võimalik üks kord pikendada) rahastab sisenõuanderühmade tööd nii ELis kui ka arenguriikidest partnerriikides. Projekti uue lepingu ulatust on kohandatud, et arvestada sisenõuanderühmade liikmete vajadustega, näiteks vajadusega saada täiendavat eksperditeavet, kasutada kohtumistel protokollijaid ning pakkuda partnerriikides tegutsevatele sisenõuanderühmadele sekretariaadituge kohtumiste korraldamisel.</w:t>
      </w:r>
    </w:p>
    <w:bookmarkEnd w:id="46"/>
    <w:p w14:paraId="11636907" w14:textId="77777777" w:rsidR="008E0CA1" w:rsidRPr="00955CE4" w:rsidRDefault="008E0CA1" w:rsidP="007E5862">
      <w:pPr>
        <w:shd w:val="clear" w:color="auto" w:fill="FFFFFF" w:themeFill="background1"/>
        <w:spacing w:after="0"/>
        <w:jc w:val="both"/>
        <w:rPr>
          <w:rFonts w:ascii="Times New Roman" w:hAnsi="Times New Roman"/>
          <w:noProof/>
          <w:color w:val="222222"/>
          <w:sz w:val="24"/>
        </w:rPr>
      </w:pPr>
    </w:p>
    <w:p w14:paraId="2556EB3E" w14:textId="51BEB2B5" w:rsidR="008E0CA1" w:rsidRPr="00955CE4" w:rsidRDefault="00362976" w:rsidP="007E5862">
      <w:pPr>
        <w:shd w:val="clear" w:color="auto" w:fill="FFFFFF" w:themeFill="background1"/>
        <w:spacing w:after="0"/>
        <w:jc w:val="both"/>
        <w:rPr>
          <w:rFonts w:ascii="Times New Roman" w:hAnsi="Times New Roman"/>
          <w:noProof/>
          <w:color w:val="222222"/>
          <w:sz w:val="24"/>
        </w:rPr>
      </w:pPr>
      <w:r>
        <w:rPr>
          <w:rFonts w:ascii="Times New Roman" w:hAnsi="Times New Roman"/>
          <w:noProof/>
          <w:color w:val="222222"/>
          <w:sz w:val="24"/>
        </w:rPr>
        <w:t xml:space="preserve">Sisenõuanderühmad, kes </w:t>
      </w:r>
      <w:r>
        <w:rPr>
          <w:rFonts w:ascii="Times New Roman" w:hAnsi="Times New Roman"/>
          <w:b/>
          <w:noProof/>
          <w:color w:val="222222"/>
          <w:sz w:val="24"/>
        </w:rPr>
        <w:t>jälgivad olukorda</w:t>
      </w:r>
      <w:r>
        <w:rPr>
          <w:rFonts w:ascii="Times New Roman" w:hAnsi="Times New Roman"/>
          <w:noProof/>
          <w:color w:val="222222"/>
          <w:sz w:val="24"/>
        </w:rPr>
        <w:t xml:space="preserve"> partnerriikides kohapeal, aitavad komisjonil kujundada oma seisukohta kaubanduse ja kestliku arengu kohustuste täitmise tagamisel. Järgnevalt on toodud mõned näited.</w:t>
      </w:r>
    </w:p>
    <w:p w14:paraId="55E78874" w14:textId="77777777" w:rsidR="00F30755" w:rsidRPr="00955CE4" w:rsidRDefault="00F30755" w:rsidP="007E5862">
      <w:pPr>
        <w:shd w:val="clear" w:color="auto" w:fill="FFFFFF" w:themeFill="background1"/>
        <w:spacing w:after="0"/>
        <w:jc w:val="both"/>
        <w:rPr>
          <w:rFonts w:ascii="Times New Roman" w:hAnsi="Times New Roman"/>
          <w:noProof/>
          <w:color w:val="222222"/>
          <w:sz w:val="24"/>
        </w:rPr>
      </w:pPr>
    </w:p>
    <w:tbl>
      <w:tblPr>
        <w:tblStyle w:val="TableGrid"/>
        <w:tblW w:w="0" w:type="auto"/>
        <w:tblLook w:val="04A0" w:firstRow="1" w:lastRow="0" w:firstColumn="1" w:lastColumn="0" w:noHBand="0" w:noVBand="1"/>
      </w:tblPr>
      <w:tblGrid>
        <w:gridCol w:w="9212"/>
      </w:tblGrid>
      <w:tr w:rsidR="00C03798" w:rsidRPr="00570F0D" w14:paraId="4554F67A" w14:textId="77777777" w:rsidTr="1D606522">
        <w:tc>
          <w:tcPr>
            <w:tcW w:w="9212" w:type="dxa"/>
          </w:tcPr>
          <w:p w14:paraId="02409632" w14:textId="2C13C121" w:rsidR="00C03798" w:rsidRPr="00955CE4" w:rsidRDefault="00920F4B" w:rsidP="00A07444">
            <w:pPr>
              <w:spacing w:line="276" w:lineRule="auto"/>
              <w:jc w:val="both"/>
              <w:rPr>
                <w:rFonts w:ascii="Times New Roman" w:hAnsi="Times New Roman"/>
                <w:b/>
                <w:noProof/>
                <w:sz w:val="24"/>
              </w:rPr>
            </w:pPr>
            <w:bookmarkStart w:id="47" w:name="_Hlk201332994"/>
            <w:bookmarkStart w:id="48" w:name="_Hlk198042708"/>
            <w:r>
              <w:rPr>
                <w:rFonts w:ascii="Times New Roman" w:hAnsi="Times New Roman"/>
                <w:b/>
                <w:noProof/>
                <w:sz w:val="24"/>
              </w:rPr>
              <w:t>Näited sisenõuanderühmade sisendist</w:t>
            </w:r>
          </w:p>
          <w:p w14:paraId="02CEAFB8" w14:textId="77777777" w:rsidR="00C03798" w:rsidRPr="00955CE4" w:rsidRDefault="00C03798" w:rsidP="00A07444">
            <w:pPr>
              <w:shd w:val="clear" w:color="auto" w:fill="FFFFFF"/>
              <w:ind w:left="360"/>
              <w:jc w:val="both"/>
              <w:rPr>
                <w:rFonts w:ascii="Times New Roman" w:hAnsi="Times New Roman"/>
                <w:noProof/>
                <w:color w:val="222222"/>
                <w:sz w:val="24"/>
              </w:rPr>
            </w:pPr>
          </w:p>
          <w:p w14:paraId="1370F85E" w14:textId="1E6080AF" w:rsidR="006C1C6E" w:rsidRPr="00955CE4" w:rsidRDefault="00827762" w:rsidP="008D2940">
            <w:pPr>
              <w:pStyle w:val="ListParagraph"/>
              <w:numPr>
                <w:ilvl w:val="0"/>
                <w:numId w:val="5"/>
              </w:numPr>
              <w:shd w:val="clear" w:color="auto" w:fill="FFFFFF" w:themeFill="background1"/>
              <w:jc w:val="both"/>
              <w:rPr>
                <w:rFonts w:ascii="Times New Roman" w:hAnsi="Times New Roman"/>
                <w:noProof/>
                <w:color w:val="222222"/>
                <w:sz w:val="24"/>
              </w:rPr>
            </w:pPr>
            <w:r>
              <w:rPr>
                <w:rFonts w:ascii="Times New Roman" w:hAnsi="Times New Roman"/>
                <w:noProof/>
                <w:color w:val="222222"/>
                <w:sz w:val="24"/>
              </w:rPr>
              <w:t xml:space="preserve">ELi kodanikuühiskonna organisatsioonide Vietnamis tõstatatud küsimused, mis olid seotud mõne keskkonnaaktivisti või ametiühingute esindaja </w:t>
            </w:r>
            <w:r>
              <w:rPr>
                <w:rFonts w:ascii="Times New Roman" w:hAnsi="Times New Roman"/>
                <w:b/>
                <w:noProof/>
                <w:color w:val="222222"/>
                <w:sz w:val="24"/>
              </w:rPr>
              <w:t>inimõiguste rikkumistega</w:t>
            </w:r>
            <w:r>
              <w:rPr>
                <w:rFonts w:ascii="Times New Roman" w:hAnsi="Times New Roman"/>
                <w:noProof/>
                <w:color w:val="222222"/>
                <w:sz w:val="24"/>
              </w:rPr>
              <w:t>, toetasid ELi arutelusid Vietnamiga sel teemal.</w:t>
            </w:r>
          </w:p>
          <w:p w14:paraId="6FF4F900" w14:textId="77777777" w:rsidR="006C1C6E" w:rsidRPr="00955CE4" w:rsidRDefault="006C1C6E" w:rsidP="005E4EA6">
            <w:pPr>
              <w:shd w:val="clear" w:color="auto" w:fill="FFFFFF"/>
              <w:jc w:val="both"/>
              <w:rPr>
                <w:rFonts w:ascii="Times New Roman" w:hAnsi="Times New Roman"/>
                <w:noProof/>
                <w:color w:val="222222"/>
                <w:sz w:val="24"/>
              </w:rPr>
            </w:pPr>
          </w:p>
          <w:p w14:paraId="4E9F6EBC" w14:textId="452F39E7" w:rsidR="00C03798" w:rsidRPr="00570F0D" w:rsidRDefault="26325528" w:rsidP="008D2940">
            <w:pPr>
              <w:pStyle w:val="ListParagraph"/>
              <w:numPr>
                <w:ilvl w:val="0"/>
                <w:numId w:val="5"/>
              </w:numPr>
              <w:shd w:val="clear" w:color="auto" w:fill="FFFFFF" w:themeFill="background1"/>
              <w:jc w:val="both"/>
              <w:rPr>
                <w:rFonts w:ascii="Times New Roman" w:hAnsi="Times New Roman" w:cs="Times New Roman"/>
                <w:noProof/>
                <w:color w:val="222222"/>
                <w:sz w:val="24"/>
                <w:szCs w:val="24"/>
              </w:rPr>
            </w:pPr>
            <w:r>
              <w:rPr>
                <w:rFonts w:ascii="Times New Roman" w:hAnsi="Times New Roman"/>
                <w:b/>
                <w:noProof/>
                <w:color w:val="222222"/>
                <w:sz w:val="24"/>
              </w:rPr>
              <w:t>ELi ja Kanada sisenõuanderühma</w:t>
            </w:r>
            <w:r>
              <w:rPr>
                <w:rFonts w:ascii="Times New Roman" w:hAnsi="Times New Roman"/>
                <w:noProof/>
                <w:color w:val="222222"/>
                <w:sz w:val="24"/>
              </w:rPr>
              <w:t xml:space="preserve"> esitatud teave aitas mõlemal poolel edendada ELi ja Kanada kaubanduse ja kestliku arengu ühise </w:t>
            </w:r>
            <w:r>
              <w:rPr>
                <w:rFonts w:ascii="Times New Roman" w:hAnsi="Times New Roman"/>
                <w:b/>
                <w:noProof/>
                <w:color w:val="222222"/>
                <w:sz w:val="24"/>
              </w:rPr>
              <w:t>tööplaani</w:t>
            </w:r>
            <w:r>
              <w:rPr>
                <w:rFonts w:ascii="Times New Roman" w:hAnsi="Times New Roman"/>
                <w:noProof/>
                <w:color w:val="222222"/>
                <w:sz w:val="24"/>
              </w:rPr>
              <w:t xml:space="preserve"> elluviimist.</w:t>
            </w:r>
          </w:p>
          <w:p w14:paraId="55680ECB" w14:textId="77777777" w:rsidR="00790DB9" w:rsidRPr="00570F0D" w:rsidRDefault="00790DB9" w:rsidP="00790DB9">
            <w:pPr>
              <w:pStyle w:val="ListParagraph"/>
              <w:rPr>
                <w:rFonts w:ascii="Times New Roman" w:hAnsi="Times New Roman" w:cs="Times New Roman"/>
                <w:noProof/>
                <w:color w:val="222222"/>
                <w:sz w:val="24"/>
                <w:szCs w:val="24"/>
              </w:rPr>
            </w:pPr>
          </w:p>
          <w:p w14:paraId="1CABA7F4" w14:textId="0AC50AEC" w:rsidR="00790DB9" w:rsidRPr="00756E4E" w:rsidRDefault="00827762" w:rsidP="00827762">
            <w:pPr>
              <w:pStyle w:val="ListParagraph"/>
              <w:numPr>
                <w:ilvl w:val="0"/>
                <w:numId w:val="5"/>
              </w:numPr>
              <w:shd w:val="clear" w:color="auto" w:fill="FFFFFF" w:themeFill="background1"/>
              <w:jc w:val="both"/>
              <w:rPr>
                <w:rFonts w:ascii="Times New Roman" w:hAnsi="Times New Roman"/>
                <w:noProof/>
                <w:color w:val="222222"/>
                <w:sz w:val="24"/>
              </w:rPr>
            </w:pPr>
            <w:r>
              <w:rPr>
                <w:rFonts w:ascii="Times New Roman" w:hAnsi="Times New Roman"/>
                <w:b/>
                <w:noProof/>
                <w:color w:val="222222"/>
                <w:sz w:val="24"/>
              </w:rPr>
              <w:t>ELi ja Jaapani sisenõuanderühma</w:t>
            </w:r>
            <w:r>
              <w:rPr>
                <w:rFonts w:ascii="Times New Roman" w:hAnsi="Times New Roman"/>
                <w:noProof/>
                <w:color w:val="222222"/>
                <w:sz w:val="24"/>
              </w:rPr>
              <w:t xml:space="preserve"> toodud näited heitsid valgust Jaapanis korraldatud ulatuslikule reklaamikampaaniale, mida reklaami järelevalve organisatsioon uuris väidetava rohepesu tõttu. See andis sisendit aruteludele juba ELis tavaks oleva reguleeritud lähenemisviisi eeliste üle selles valdkonnas.</w:t>
            </w:r>
          </w:p>
          <w:p w14:paraId="005705C0" w14:textId="77777777" w:rsidR="00790DB9" w:rsidRPr="00756E4E" w:rsidRDefault="00790DB9" w:rsidP="00790DB9">
            <w:pPr>
              <w:pStyle w:val="ListParagraph"/>
              <w:shd w:val="clear" w:color="auto" w:fill="FFFFFF" w:themeFill="background1"/>
              <w:jc w:val="both"/>
              <w:rPr>
                <w:rFonts w:ascii="Times New Roman" w:hAnsi="Times New Roman"/>
                <w:noProof/>
                <w:color w:val="222222"/>
                <w:sz w:val="24"/>
              </w:rPr>
            </w:pPr>
          </w:p>
          <w:p w14:paraId="257CF1CC" w14:textId="23DEEAAE" w:rsidR="00790DB9" w:rsidRPr="00756E4E" w:rsidRDefault="61295A0B" w:rsidP="00A76F1F">
            <w:pPr>
              <w:pStyle w:val="ListParagraph"/>
              <w:numPr>
                <w:ilvl w:val="0"/>
                <w:numId w:val="5"/>
              </w:numPr>
              <w:shd w:val="clear" w:color="auto" w:fill="FFFFFF" w:themeFill="background1"/>
              <w:jc w:val="both"/>
              <w:rPr>
                <w:rFonts w:ascii="Times New Roman" w:hAnsi="Times New Roman"/>
                <w:noProof/>
                <w:color w:val="222222"/>
                <w:sz w:val="24"/>
              </w:rPr>
            </w:pPr>
            <w:r>
              <w:rPr>
                <w:rFonts w:ascii="Times New Roman" w:hAnsi="Times New Roman"/>
                <w:noProof/>
                <w:color w:val="222222"/>
                <w:sz w:val="24"/>
              </w:rPr>
              <w:t xml:space="preserve">Poliitilise ebakindluse ja demokraatia taandumise taustal tõstatasid Gruusia kodanikuühiskonna organisatsioonid küsimuse selle kohta, kas </w:t>
            </w:r>
            <w:r>
              <w:rPr>
                <w:rFonts w:ascii="Times New Roman" w:hAnsi="Times New Roman"/>
                <w:b/>
                <w:noProof/>
                <w:color w:val="222222"/>
                <w:sz w:val="24"/>
              </w:rPr>
              <w:t>Gruusia eelnõu</w:t>
            </w:r>
            <w:r>
              <w:rPr>
                <w:rFonts w:ascii="Times New Roman" w:hAnsi="Times New Roman"/>
                <w:noProof/>
                <w:color w:val="222222"/>
                <w:sz w:val="24"/>
              </w:rPr>
              <w:t xml:space="preserve"> perekondlike väärtuste ja alaealiste kaitse kohta on kooskõlas ILO konventsioonidega nr 111 (tööhõives ja töökohtadel diskrimineerimise vastane konventsioon) ja nr 190 (vägivalla ja ahistamise vastu võitlemise konventsioon), ning palusid eelnõu tagasi võtta. </w:t>
            </w:r>
          </w:p>
        </w:tc>
      </w:tr>
      <w:bookmarkEnd w:id="45"/>
      <w:bookmarkEnd w:id="47"/>
    </w:tbl>
    <w:p w14:paraId="15ED8BC1" w14:textId="77777777" w:rsidR="00AA3E0A" w:rsidRPr="00955CE4" w:rsidRDefault="00AA3E0A" w:rsidP="007E5862">
      <w:pPr>
        <w:spacing w:after="0" w:line="240" w:lineRule="auto"/>
        <w:jc w:val="both"/>
        <w:rPr>
          <w:rFonts w:ascii="Times New Roman" w:hAnsi="Times New Roman"/>
          <w:noProof/>
          <w:color w:val="222222"/>
          <w:sz w:val="24"/>
          <w:shd w:val="clear" w:color="auto" w:fill="FFFFFF"/>
        </w:rPr>
      </w:pPr>
    </w:p>
    <w:p w14:paraId="09380E8D" w14:textId="24B7EB13" w:rsidR="00DD3A88" w:rsidRPr="00955CE4" w:rsidRDefault="00DD3A88" w:rsidP="00DD3A88">
      <w:pPr>
        <w:pStyle w:val="ListParagraph"/>
        <w:spacing w:after="0"/>
        <w:jc w:val="both"/>
        <w:rPr>
          <w:rFonts w:ascii="Times New Roman" w:hAnsi="Times New Roman"/>
          <w:noProof/>
          <w:color w:val="222222"/>
          <w:sz w:val="24"/>
        </w:rPr>
      </w:pPr>
      <w:bookmarkStart w:id="49" w:name="_Hlk166485839"/>
      <w:bookmarkStart w:id="50" w:name="_Hlk162263044"/>
      <w:bookmarkEnd w:id="48"/>
    </w:p>
    <w:p w14:paraId="0DEB366C" w14:textId="58FEC69C" w:rsidR="00832612" w:rsidRPr="00570F0D" w:rsidRDefault="00832612" w:rsidP="0019751F">
      <w:pPr>
        <w:pStyle w:val="Style1"/>
        <w:numPr>
          <w:ilvl w:val="0"/>
          <w:numId w:val="15"/>
        </w:numPr>
        <w:spacing w:before="0"/>
        <w:rPr>
          <w:rFonts w:cs="Times New Roman"/>
          <w:noProof/>
          <w:szCs w:val="32"/>
        </w:rPr>
      </w:pPr>
      <w:bookmarkStart w:id="51" w:name="_Toc167267056"/>
      <w:bookmarkStart w:id="52" w:name="_Toc167812804"/>
      <w:bookmarkStart w:id="53" w:name="_Toc196862768"/>
      <w:bookmarkStart w:id="54" w:name="_Toc211940628"/>
      <w:bookmarkEnd w:id="49"/>
      <w:r>
        <w:rPr>
          <w:noProof/>
        </w:rPr>
        <w:t>VKEde abistamine oma koha leidmisel maailmakaubanduses</w:t>
      </w:r>
      <w:bookmarkEnd w:id="51"/>
      <w:bookmarkEnd w:id="52"/>
      <w:bookmarkEnd w:id="53"/>
      <w:bookmarkEnd w:id="54"/>
    </w:p>
    <w:p w14:paraId="336A360F" w14:textId="77777777" w:rsidR="00463CCA" w:rsidRPr="00955CE4" w:rsidRDefault="00463CCA" w:rsidP="00E8012D">
      <w:pPr>
        <w:spacing w:after="0"/>
        <w:jc w:val="both"/>
        <w:rPr>
          <w:rFonts w:ascii="Times New Roman" w:hAnsi="Times New Roman"/>
          <w:noProof/>
          <w:sz w:val="24"/>
        </w:rPr>
      </w:pPr>
      <w:bookmarkStart w:id="55" w:name="_Hlk166489536"/>
    </w:p>
    <w:p w14:paraId="3D57F64D" w14:textId="344A50F6" w:rsidR="00E8012D" w:rsidRPr="00955CE4" w:rsidRDefault="00E8012D" w:rsidP="39F0467E">
      <w:pPr>
        <w:spacing w:after="0"/>
        <w:jc w:val="both"/>
        <w:rPr>
          <w:rFonts w:ascii="Times New Roman" w:hAnsi="Times New Roman"/>
          <w:noProof/>
          <w:sz w:val="24"/>
        </w:rPr>
      </w:pPr>
      <w:r>
        <w:rPr>
          <w:rFonts w:ascii="Times New Roman" w:hAnsi="Times New Roman"/>
          <w:noProof/>
          <w:sz w:val="24"/>
        </w:rPr>
        <w:t>Kogu 2024. aasta jooksul jätkas komisjon kindlalt ELi ettevõtjate, eelkõige VKEde toetamist, et nad saaksid ELi kaubanduslepingutest maksimaalselt kasu.</w:t>
      </w:r>
    </w:p>
    <w:p w14:paraId="6C3D2DC8" w14:textId="77777777" w:rsidR="00804828" w:rsidRPr="00955CE4" w:rsidRDefault="00804828" w:rsidP="39F0467E">
      <w:pPr>
        <w:spacing w:after="0"/>
        <w:jc w:val="both"/>
        <w:rPr>
          <w:rFonts w:ascii="Times New Roman" w:hAnsi="Times New Roman"/>
          <w:noProof/>
          <w:sz w:val="24"/>
        </w:rPr>
      </w:pPr>
    </w:p>
    <w:p w14:paraId="7290AEC7" w14:textId="2210CC3B" w:rsidR="00E8012D" w:rsidRPr="00955CE4" w:rsidRDefault="00E8012D" w:rsidP="39F0467E">
      <w:pPr>
        <w:numPr>
          <w:ilvl w:val="0"/>
          <w:numId w:val="3"/>
        </w:numPr>
        <w:jc w:val="both"/>
        <w:rPr>
          <w:rFonts w:ascii="Times New Roman" w:hAnsi="Times New Roman"/>
          <w:b/>
          <w:noProof/>
          <w:sz w:val="24"/>
        </w:rPr>
      </w:pPr>
      <w:r>
        <w:rPr>
          <w:rFonts w:ascii="Times New Roman" w:hAnsi="Times New Roman"/>
          <w:b/>
          <w:noProof/>
          <w:sz w:val="24"/>
        </w:rPr>
        <w:t>Platvormi Access2Markets ajakohastamine ja edendamine</w:t>
      </w:r>
    </w:p>
    <w:p w14:paraId="527DC6BF" w14:textId="6C8094AF" w:rsidR="00804828" w:rsidRPr="00955CE4" w:rsidRDefault="009669E0" w:rsidP="001D412B">
      <w:pPr>
        <w:spacing w:after="0"/>
        <w:jc w:val="both"/>
        <w:rPr>
          <w:rFonts w:ascii="Times New Roman" w:hAnsi="Times New Roman"/>
          <w:noProof/>
          <w:sz w:val="24"/>
        </w:rPr>
      </w:pPr>
      <w:bookmarkStart w:id="56" w:name="_Hlk201332004"/>
      <w:r>
        <w:rPr>
          <w:rFonts w:ascii="Times New Roman" w:hAnsi="Times New Roman"/>
          <w:b/>
          <w:noProof/>
          <w:sz w:val="24"/>
        </w:rPr>
        <w:t>Platvormil Access2Markets</w:t>
      </w:r>
      <w:r>
        <w:rPr>
          <w:rFonts w:ascii="Times New Roman" w:hAnsi="Times New Roman"/>
          <w:noProof/>
          <w:sz w:val="24"/>
        </w:rPr>
        <w:t xml:space="preserve"> on olnud alates selle käivitamisest 2020. aasta oktoobris üle 12 miljoni külastaja. 2024. aastal oli platvormil üle kolme miljoni külastaja, mis on rohkem kui kõigil varasematel aastatel. Samal ajal on komisjon koolitanud 14 000 sidusrühma esindajat platvormi kasutama, et nad saaksid tasuta mitmekeelset teavet enda kasuks rakendada. Platvormi Access2Markets on regulaarselt ajakohastatud, et muuta see rahvusvahelist laienemist kavandavatele Euroopa VKEdele veelgi sujuvamaks, kasutusmugavamaks ja kasulikumaks. Platvorm sisaldab nüüd ka uut teenuste statistikat.</w:t>
      </w:r>
    </w:p>
    <w:p w14:paraId="413A93CB" w14:textId="77777777" w:rsidR="00804828" w:rsidRPr="00955CE4" w:rsidRDefault="00804828" w:rsidP="00804828">
      <w:pPr>
        <w:pStyle w:val="ListParagraph"/>
        <w:spacing w:after="0"/>
        <w:jc w:val="both"/>
        <w:rPr>
          <w:rFonts w:ascii="Times New Roman" w:hAnsi="Times New Roman"/>
          <w:noProof/>
          <w:sz w:val="24"/>
        </w:rPr>
      </w:pPr>
    </w:p>
    <w:p w14:paraId="0BE9B625" w14:textId="47C992A0" w:rsidR="001D412B" w:rsidRPr="00570F0D" w:rsidRDefault="00164590" w:rsidP="001D412B">
      <w:pPr>
        <w:numPr>
          <w:ilvl w:val="0"/>
          <w:numId w:val="45"/>
        </w:numPr>
        <w:pBdr>
          <w:top w:val="single" w:sz="4" w:space="4" w:color="000000"/>
          <w:left w:val="single" w:sz="4" w:space="31" w:color="000000"/>
          <w:bottom w:val="single" w:sz="4" w:space="4" w:color="000000"/>
          <w:right w:val="single" w:sz="4" w:space="4" w:color="000000"/>
        </w:pBdr>
        <w:spacing w:after="0" w:line="240" w:lineRule="auto"/>
        <w:contextualSpacing/>
        <w:jc w:val="both"/>
        <w:textAlignment w:val="baseline"/>
        <w:rPr>
          <w:rFonts w:ascii="Times New Roman" w:eastAsia="Times New Roman" w:hAnsi="Times New Roman" w:cs="Times New Roman"/>
          <w:noProof/>
          <w:sz w:val="24"/>
          <w:szCs w:val="24"/>
        </w:rPr>
      </w:pPr>
      <w:r>
        <w:rPr>
          <w:rFonts w:ascii="Times New Roman" w:hAnsi="Times New Roman"/>
          <w:b/>
          <w:noProof/>
          <w:sz w:val="24"/>
        </w:rPr>
        <w:t>Päritolureeglite enesehindamisvahend</w:t>
      </w:r>
      <w:r>
        <w:rPr>
          <w:rFonts w:ascii="Times New Roman" w:hAnsi="Times New Roman"/>
          <w:noProof/>
          <w:sz w:val="24"/>
        </w:rPr>
        <w:t xml:space="preserve"> (ROSA) on väärtuslik tööriist, mis võimaldab ettevõtjatel hinnata, kas nende tooted vastavad ELi kaubanduslepingu kohase sooduskohtlemise tingimustele. 2024. aastal tehti vahendisse olulisi parandusi: see on nüüd saadaval kõigis ELi keeltes ning selle haaret laiendati Uus-Meremaaga sõlmitud vabakaubanduslepingule. Vahend hõlmab nüüd 32 lepingut ning üldiste tariifsete soodustuste kava tingimusi.</w:t>
      </w:r>
    </w:p>
    <w:p w14:paraId="1FFD6D07" w14:textId="77777777" w:rsidR="001D412B" w:rsidRPr="00570F0D" w:rsidRDefault="001D412B" w:rsidP="001D412B">
      <w:pPr>
        <w:pBdr>
          <w:top w:val="single" w:sz="4" w:space="4" w:color="000000"/>
          <w:left w:val="single" w:sz="4" w:space="31" w:color="000000"/>
          <w:bottom w:val="single" w:sz="4" w:space="4" w:color="000000"/>
          <w:right w:val="single" w:sz="4" w:space="4" w:color="000000"/>
        </w:pBdr>
        <w:spacing w:after="0" w:line="240" w:lineRule="auto"/>
        <w:ind w:left="1080"/>
        <w:jc w:val="both"/>
        <w:textAlignment w:val="baseline"/>
        <w:rPr>
          <w:rFonts w:ascii="Times New Roman" w:eastAsia="Times New Roman" w:hAnsi="Times New Roman" w:cs="Times New Roman"/>
          <w:noProof/>
          <w:sz w:val="24"/>
          <w:szCs w:val="24"/>
          <w:lang w:eastAsia="en-IE"/>
        </w:rPr>
      </w:pPr>
    </w:p>
    <w:p w14:paraId="5A8497E3" w14:textId="52F30F5F" w:rsidR="001D412B" w:rsidRPr="00570F0D" w:rsidRDefault="001D412B" w:rsidP="00A76F1F">
      <w:pPr>
        <w:numPr>
          <w:ilvl w:val="0"/>
          <w:numId w:val="45"/>
        </w:numPr>
        <w:pBdr>
          <w:top w:val="single" w:sz="4" w:space="4" w:color="000000"/>
          <w:left w:val="single" w:sz="4" w:space="31" w:color="000000"/>
          <w:bottom w:val="single" w:sz="4" w:space="4" w:color="000000"/>
          <w:right w:val="single" w:sz="4" w:space="4" w:color="000000"/>
        </w:pBdr>
        <w:spacing w:after="0" w:line="240" w:lineRule="auto"/>
        <w:contextualSpacing/>
        <w:jc w:val="both"/>
        <w:textAlignment w:val="baseline"/>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b/>
          <w:noProof/>
          <w:sz w:val="24"/>
        </w:rPr>
        <w:t>Minu kaubandusabi – teenused ja investeeringud</w:t>
      </w:r>
      <w:r>
        <w:rPr>
          <w:rFonts w:ascii="Times New Roman" w:hAnsi="Times New Roman"/>
          <w:noProof/>
          <w:sz w:val="24"/>
        </w:rPr>
        <w:t>“ on 2022. aastal kasutusele võetud veebipõhine vahend, mille kaudu antakse praktilist teavet nõuete kohta, mida ELi teenuseosutajad peavad täitma EList eksportimisel. Seda kasutatakse keskmiselt 2 000 korda kuus. Pärast laiendamist 2024. aastal hõlmab vahend enam kui 100 teenusesektorit, sealhulgas äri- ja kutseteenuseid, finantsteenuseid, telekommunikatsiooniteenuseid ja transporditeenuseid kaheksas riigis: Kanadas, Hiinas, Hongkongis, Jaapanis, Norras, Šveitsis, Ühendkuningriigis ja Ameerika Ühendriikides. 2025. aastal lisati vahendisse teave Brasiilia, India, Mehhiko ja Lõuna-Aafrika kohta.</w:t>
      </w:r>
    </w:p>
    <w:p w14:paraId="58F7F87B" w14:textId="77777777" w:rsidR="00A76F1F" w:rsidRPr="00570F0D" w:rsidRDefault="00A76F1F" w:rsidP="00756E4E">
      <w:pPr>
        <w:pBdr>
          <w:top w:val="single" w:sz="4" w:space="4" w:color="000000"/>
          <w:left w:val="single" w:sz="4" w:space="31" w:color="000000"/>
          <w:bottom w:val="single" w:sz="4" w:space="4" w:color="000000"/>
          <w:right w:val="single" w:sz="4" w:space="4" w:color="000000"/>
        </w:pBdr>
        <w:spacing w:after="0" w:line="240" w:lineRule="auto"/>
        <w:ind w:left="1080"/>
        <w:contextualSpacing/>
        <w:jc w:val="both"/>
        <w:textAlignment w:val="baseline"/>
        <w:rPr>
          <w:rFonts w:ascii="Times New Roman" w:eastAsia="Times New Roman" w:hAnsi="Times New Roman" w:cs="Times New Roman"/>
          <w:noProof/>
          <w:sz w:val="24"/>
          <w:szCs w:val="24"/>
          <w:lang w:eastAsia="en-IE"/>
        </w:rPr>
      </w:pPr>
    </w:p>
    <w:p w14:paraId="00E5D620" w14:textId="4D3A28C9" w:rsidR="00442321" w:rsidRPr="00570F0D" w:rsidRDefault="00AC1D1D" w:rsidP="00442321">
      <w:pPr>
        <w:numPr>
          <w:ilvl w:val="0"/>
          <w:numId w:val="45"/>
        </w:numPr>
        <w:pBdr>
          <w:top w:val="single" w:sz="4" w:space="4" w:color="000000"/>
          <w:left w:val="single" w:sz="4" w:space="31" w:color="000000"/>
          <w:bottom w:val="single" w:sz="4" w:space="4" w:color="000000"/>
          <w:right w:val="single" w:sz="4" w:space="4" w:color="000000"/>
        </w:pBdr>
        <w:spacing w:after="0" w:line="240" w:lineRule="auto"/>
        <w:contextualSpacing/>
        <w:jc w:val="both"/>
        <w:textAlignment w:val="baseline"/>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b/>
          <w:noProof/>
          <w:sz w:val="24"/>
        </w:rPr>
        <w:t>Minu kaubandusabi – hanked</w:t>
      </w:r>
      <w:r>
        <w:rPr>
          <w:rFonts w:ascii="Times New Roman" w:hAnsi="Times New Roman"/>
          <w:noProof/>
          <w:sz w:val="24"/>
        </w:rPr>
        <w:t>“ aitab ELi ettevõtjatel kindlaks teha, kas konkreetne riigihange on hõlmatud mõne ELi kahepoolse kaubanduslepinguga. Vahend hõlmab Ameerika Ühendriike, Kanadat, Jaapanit ja Ühendkuningriiki ning alates 2025. aastast ka Šveitsi, Norrat, Islandit, Liechtensteini, Albaaniat, Bosnia ja Hertsegoviinat, Serbiat, Põhja-Makedooniat, Kosovot ja Montenegrot.</w:t>
      </w:r>
    </w:p>
    <w:p w14:paraId="00706003" w14:textId="77777777" w:rsidR="00442321" w:rsidRPr="00570F0D" w:rsidRDefault="00442321" w:rsidP="00442321">
      <w:pPr>
        <w:pBdr>
          <w:top w:val="single" w:sz="4" w:space="4" w:color="000000"/>
          <w:left w:val="single" w:sz="4" w:space="31" w:color="000000"/>
          <w:bottom w:val="single" w:sz="4" w:space="4" w:color="000000"/>
          <w:right w:val="single" w:sz="4" w:space="4" w:color="000000"/>
        </w:pBdr>
        <w:spacing w:after="0" w:line="240" w:lineRule="auto"/>
        <w:ind w:left="1080"/>
        <w:contextualSpacing/>
        <w:jc w:val="both"/>
        <w:textAlignment w:val="baseline"/>
        <w:rPr>
          <w:rFonts w:ascii="Times New Roman" w:eastAsia="Times New Roman" w:hAnsi="Times New Roman" w:cs="Times New Roman"/>
          <w:noProof/>
          <w:sz w:val="24"/>
          <w:szCs w:val="24"/>
          <w:lang w:eastAsia="en-IE"/>
        </w:rPr>
      </w:pPr>
    </w:p>
    <w:p w14:paraId="3C047534" w14:textId="3A238C6A" w:rsidR="00A76F1F" w:rsidRPr="00570F0D" w:rsidRDefault="00A76F1F" w:rsidP="00A76F1F">
      <w:pPr>
        <w:numPr>
          <w:ilvl w:val="0"/>
          <w:numId w:val="45"/>
        </w:numPr>
        <w:pBdr>
          <w:top w:val="single" w:sz="4" w:space="4" w:color="000000"/>
          <w:left w:val="single" w:sz="4" w:space="31" w:color="000000"/>
          <w:bottom w:val="single" w:sz="4" w:space="4" w:color="000000"/>
          <w:right w:val="single" w:sz="4" w:space="4" w:color="000000"/>
        </w:pBdr>
        <w:spacing w:after="0" w:line="240" w:lineRule="auto"/>
        <w:contextualSpacing/>
        <w:jc w:val="both"/>
        <w:textAlignment w:val="baseline"/>
        <w:rPr>
          <w:rFonts w:ascii="Times New Roman" w:eastAsia="Times New Roman" w:hAnsi="Times New Roman" w:cs="Times New Roman"/>
          <w:noProof/>
          <w:sz w:val="24"/>
          <w:szCs w:val="24"/>
        </w:rPr>
      </w:pPr>
      <w:r>
        <w:rPr>
          <w:rFonts w:ascii="Times New Roman" w:hAnsi="Times New Roman"/>
          <w:noProof/>
          <w:sz w:val="24"/>
        </w:rPr>
        <w:t xml:space="preserve">Platvormile Access2Markets 2023. aastal lisatud </w:t>
      </w:r>
      <w:r>
        <w:rPr>
          <w:rFonts w:ascii="Times New Roman" w:hAnsi="Times New Roman"/>
          <w:b/>
          <w:noProof/>
          <w:sz w:val="24"/>
        </w:rPr>
        <w:t>Access2Conformity</w:t>
      </w:r>
      <w:r>
        <w:rPr>
          <w:rFonts w:ascii="Times New Roman" w:hAnsi="Times New Roman"/>
          <w:noProof/>
          <w:sz w:val="24"/>
        </w:rPr>
        <w:t xml:space="preserve"> aitab ELi eksportijatel kindlaks teha, kus neil on ELis võimalik lasta oma toodete vastavust kontrollida ja sertifitseerida, kui nad ekspordivad kolmandatesse riikidesse, millel on ELiga vastastikuse tunnustamise leping. Praegu hõlmab vahend Ameerika Ühendriike, Austraaliat, Jaapanit, Kanadat, Šveitsi ja Uus-Meremaad.</w:t>
      </w:r>
    </w:p>
    <w:p w14:paraId="366B6DE9" w14:textId="77777777" w:rsidR="00A76F1F" w:rsidRPr="00570F0D" w:rsidRDefault="00A76F1F" w:rsidP="00A76F1F">
      <w:pPr>
        <w:pBdr>
          <w:top w:val="single" w:sz="4" w:space="4" w:color="000000"/>
          <w:left w:val="single" w:sz="4" w:space="31" w:color="000000"/>
          <w:bottom w:val="single" w:sz="4" w:space="4" w:color="000000"/>
          <w:right w:val="single" w:sz="4" w:space="4" w:color="000000"/>
        </w:pBdr>
        <w:spacing w:after="0" w:line="240" w:lineRule="auto"/>
        <w:ind w:left="1080"/>
        <w:contextualSpacing/>
        <w:jc w:val="both"/>
        <w:textAlignment w:val="baseline"/>
        <w:rPr>
          <w:rFonts w:ascii="Times New Roman" w:eastAsia="Times New Roman" w:hAnsi="Times New Roman" w:cs="Times New Roman"/>
          <w:noProof/>
          <w:sz w:val="24"/>
          <w:szCs w:val="24"/>
          <w:lang w:eastAsia="en-IE"/>
        </w:rPr>
      </w:pPr>
    </w:p>
    <w:p w14:paraId="4C0F8C26" w14:textId="6511589C" w:rsidR="001D412B" w:rsidRPr="00570F0D" w:rsidRDefault="001D412B" w:rsidP="001D412B">
      <w:pPr>
        <w:numPr>
          <w:ilvl w:val="0"/>
          <w:numId w:val="45"/>
        </w:numPr>
        <w:pBdr>
          <w:top w:val="single" w:sz="4" w:space="4" w:color="000000"/>
          <w:left w:val="single" w:sz="4" w:space="31" w:color="000000"/>
          <w:bottom w:val="single" w:sz="4" w:space="4" w:color="000000"/>
          <w:right w:val="single" w:sz="4" w:space="4" w:color="000000"/>
        </w:pBdr>
        <w:spacing w:after="0" w:line="240" w:lineRule="auto"/>
        <w:contextualSpacing/>
        <w:jc w:val="both"/>
        <w:textAlignment w:val="baseline"/>
        <w:rPr>
          <w:rFonts w:ascii="Times New Roman" w:eastAsia="Times New Roman" w:hAnsi="Times New Roman" w:cs="Times New Roman"/>
          <w:noProof/>
          <w:sz w:val="24"/>
          <w:szCs w:val="24"/>
        </w:rPr>
      </w:pPr>
      <w:r>
        <w:rPr>
          <w:rFonts w:ascii="Times New Roman" w:hAnsi="Times New Roman"/>
          <w:b/>
          <w:noProof/>
          <w:sz w:val="24"/>
        </w:rPr>
        <w:t>Procurement4Buyers</w:t>
      </w:r>
      <w:r>
        <w:rPr>
          <w:rFonts w:ascii="Times New Roman" w:hAnsi="Times New Roman"/>
          <w:noProof/>
          <w:sz w:val="24"/>
        </w:rPr>
        <w:t xml:space="preserve"> lisati platvormile Access2Markets 2024. aasta juunis. See aitab ELi hankijatel mõista, millised nende hanked tuleks avada mittediskrimineerivalt teatud kolmandate riikide pakkujatele, kaupadele ja teenustele. Nii tagatakse ELi riigihangete kohustuste läbipaistvus kolmandate riikide suhtes.</w:t>
      </w:r>
    </w:p>
    <w:p w14:paraId="51BDBC8A" w14:textId="77777777" w:rsidR="00F30755" w:rsidRPr="00955CE4" w:rsidRDefault="00F30755" w:rsidP="00F30755">
      <w:pPr>
        <w:spacing w:after="0"/>
        <w:ind w:left="720"/>
        <w:contextualSpacing/>
        <w:jc w:val="both"/>
        <w:rPr>
          <w:rFonts w:ascii="Times New Roman" w:hAnsi="Times New Roman"/>
          <w:noProof/>
          <w:sz w:val="24"/>
        </w:rPr>
      </w:pPr>
      <w:bookmarkStart w:id="57" w:name="_Hlk198220885"/>
      <w:bookmarkEnd w:id="56"/>
    </w:p>
    <w:p w14:paraId="4E26CB46" w14:textId="77777777" w:rsidR="008E0CA1" w:rsidRPr="00955CE4" w:rsidRDefault="008E0CA1" w:rsidP="00F30755">
      <w:pPr>
        <w:spacing w:after="0"/>
        <w:ind w:left="720"/>
        <w:contextualSpacing/>
        <w:jc w:val="both"/>
        <w:rPr>
          <w:rFonts w:ascii="Times New Roman" w:hAnsi="Times New Roman"/>
          <w:noProof/>
          <w:sz w:val="24"/>
        </w:rPr>
      </w:pPr>
    </w:p>
    <w:bookmarkEnd w:id="55"/>
    <w:bookmarkEnd w:id="57"/>
    <w:p w14:paraId="6BF9B93E" w14:textId="6DC4AA39" w:rsidR="00832612" w:rsidRPr="00955CE4" w:rsidRDefault="00832612" w:rsidP="008D2940">
      <w:pPr>
        <w:numPr>
          <w:ilvl w:val="0"/>
          <w:numId w:val="3"/>
        </w:numPr>
        <w:spacing w:after="0"/>
        <w:jc w:val="both"/>
        <w:rPr>
          <w:rFonts w:ascii="Times New Roman" w:hAnsi="Times New Roman"/>
          <w:b/>
          <w:noProof/>
          <w:sz w:val="24"/>
        </w:rPr>
      </w:pPr>
      <w:r>
        <w:rPr>
          <w:rFonts w:ascii="Times New Roman" w:hAnsi="Times New Roman"/>
          <w:b/>
          <w:noProof/>
          <w:sz w:val="24"/>
        </w:rPr>
        <w:t>VKEde abistamine rahvusvahelistest kaubanduslepingutest võimalikult suure kasu saamisel</w:t>
      </w:r>
    </w:p>
    <w:p w14:paraId="66446B7E" w14:textId="77777777" w:rsidR="00832612" w:rsidRPr="00955CE4" w:rsidRDefault="00832612" w:rsidP="00832612">
      <w:pPr>
        <w:spacing w:after="0"/>
        <w:jc w:val="both"/>
        <w:rPr>
          <w:rFonts w:ascii="Times New Roman" w:hAnsi="Times New Roman"/>
          <w:b/>
          <w:noProof/>
          <w:sz w:val="24"/>
        </w:rPr>
      </w:pPr>
    </w:p>
    <w:p w14:paraId="1A630902" w14:textId="159ECA78" w:rsidR="00463CCA" w:rsidRPr="00756E4E" w:rsidRDefault="00DB4670" w:rsidP="006F2D41">
      <w:pPr>
        <w:spacing w:after="0"/>
        <w:jc w:val="both"/>
        <w:rPr>
          <w:rFonts w:ascii="Times New Roman" w:hAnsi="Times New Roman"/>
          <w:noProof/>
          <w:sz w:val="24"/>
        </w:rPr>
      </w:pPr>
      <w:r>
        <w:rPr>
          <w:rFonts w:ascii="Times New Roman" w:hAnsi="Times New Roman"/>
          <w:noProof/>
          <w:sz w:val="24"/>
        </w:rPr>
        <w:t>Rahvusvaheline kaubandus toob majandusele, ettevõtjatele ja tarbijatele mitmesuguseid eeliseid. 2023. aasta andmete kohaselt moodustasid EList eksportivatest ettevõtjatest ligikaudu 95 % VKEd, kuid nende ekspordi väärtus oli vaid 30 % kogu ekspordist. 2024. aastal tõhustas komisjon taas jõupingutusi, et aidata VKEdel oma rahvusvahelist haaret suurendada.</w:t>
      </w:r>
    </w:p>
    <w:p w14:paraId="37ACFB71" w14:textId="77777777" w:rsidR="00C90E5F" w:rsidRPr="00756E4E" w:rsidRDefault="00C90E5F" w:rsidP="00756E4E">
      <w:pPr>
        <w:spacing w:after="0" w:line="279" w:lineRule="auto"/>
        <w:jc w:val="both"/>
        <w:rPr>
          <w:rFonts w:ascii="Times New Roman" w:hAnsi="Times New Roman"/>
          <w:b/>
          <w:i/>
          <w:noProof/>
          <w:sz w:val="24"/>
        </w:rPr>
      </w:pPr>
    </w:p>
    <w:p w14:paraId="32FDBD11" w14:textId="2927DF31" w:rsidR="001F4964" w:rsidRPr="00756E4E" w:rsidRDefault="001F4964" w:rsidP="0005471A">
      <w:pPr>
        <w:spacing w:after="160" w:line="279" w:lineRule="auto"/>
        <w:jc w:val="both"/>
        <w:rPr>
          <w:rFonts w:ascii="Times New Roman" w:hAnsi="Times New Roman"/>
          <w:b/>
          <w:i/>
          <w:noProof/>
          <w:sz w:val="24"/>
        </w:rPr>
      </w:pPr>
      <w:r>
        <w:rPr>
          <w:rFonts w:ascii="Times New Roman" w:hAnsi="Times New Roman"/>
          <w:b/>
          <w:i/>
          <w:noProof/>
          <w:sz w:val="24"/>
        </w:rPr>
        <w:t>Euroopa ettevõtlusvõrgustik</w:t>
      </w:r>
    </w:p>
    <w:p w14:paraId="4B4B0E91" w14:textId="43310CF0" w:rsidR="001F4964" w:rsidRPr="00570F0D" w:rsidRDefault="001F4964" w:rsidP="001F4964">
      <w:pPr>
        <w:jc w:val="both"/>
        <w:rPr>
          <w:rFonts w:ascii="Times New Roman" w:hAnsi="Times New Roman" w:cs="Times New Roman"/>
          <w:noProof/>
          <w:sz w:val="24"/>
          <w:szCs w:val="24"/>
        </w:rPr>
      </w:pPr>
      <w:r>
        <w:rPr>
          <w:rFonts w:ascii="Times New Roman" w:hAnsi="Times New Roman"/>
          <w:noProof/>
          <w:sz w:val="24"/>
        </w:rPr>
        <w:t>Euroopa ettevõtlusvõrgustik</w:t>
      </w:r>
      <w:r>
        <w:rPr>
          <w:rStyle w:val="FootnoteReference"/>
          <w:rFonts w:ascii="Times New Roman" w:hAnsi="Times New Roman" w:cs="Times New Roman"/>
          <w:noProof/>
          <w:sz w:val="24"/>
          <w:szCs w:val="24"/>
        </w:rPr>
        <w:footnoteReference w:id="33"/>
      </w:r>
      <w:r>
        <w:rPr>
          <w:rFonts w:ascii="Times New Roman" w:hAnsi="Times New Roman"/>
          <w:noProof/>
          <w:sz w:val="24"/>
        </w:rPr>
        <w:t xml:space="preserve"> (EEN) toetab rahvusvaheliste ambitsioonidega VKEsid, sh idu- ja kasvufirmasid. Võrgustik pakub äripartnerite leidmise teenuseid, turule sisenemise ning ekspordi- ja imporditoetust ning soovitusi regulatiivsetes küsimustes.</w:t>
      </w:r>
    </w:p>
    <w:p w14:paraId="197A9EE7" w14:textId="1A3B13DF" w:rsidR="001F4964" w:rsidRPr="00570F0D" w:rsidRDefault="001F4964" w:rsidP="001F4964">
      <w:pPr>
        <w:jc w:val="both"/>
        <w:rPr>
          <w:rFonts w:ascii="Times New Roman" w:hAnsi="Times New Roman" w:cs="Times New Roman"/>
          <w:noProof/>
          <w:sz w:val="24"/>
          <w:szCs w:val="24"/>
        </w:rPr>
      </w:pPr>
      <w:r>
        <w:rPr>
          <w:rFonts w:ascii="Times New Roman" w:hAnsi="Times New Roman"/>
          <w:noProof/>
          <w:sz w:val="24"/>
        </w:rPr>
        <w:t>Selle eesmärgi saavutamiseks tegi EEN tihedat koostööd kontaktpunktidega ELi VKEde jaoks olulistel rahvusvahelistel turgudel, sealhulgas Jaapanis, Lõuna-Koreas, Singapuris, Vietnamis, Indias, Kanadas, Tšiilis, Ühendkuningriigis ja Ameerika Ühendriikides.</w:t>
      </w:r>
    </w:p>
    <w:p w14:paraId="102ECFAC" w14:textId="1F67E6FE" w:rsidR="001F4964" w:rsidRPr="00570F0D" w:rsidRDefault="001F4964" w:rsidP="001F4964">
      <w:pPr>
        <w:jc w:val="both"/>
        <w:rPr>
          <w:rFonts w:ascii="Times New Roman" w:hAnsi="Times New Roman" w:cs="Times New Roman"/>
          <w:noProof/>
          <w:sz w:val="24"/>
          <w:szCs w:val="24"/>
        </w:rPr>
      </w:pPr>
      <w:r>
        <w:rPr>
          <w:rFonts w:ascii="Times New Roman" w:hAnsi="Times New Roman"/>
          <w:noProof/>
          <w:sz w:val="24"/>
        </w:rPr>
        <w:t>30. septembril 2024 avaldati avatud kutse</w:t>
      </w:r>
      <w:r>
        <w:rPr>
          <w:rStyle w:val="FootnoteReference"/>
          <w:rFonts w:ascii="Times New Roman" w:hAnsi="Times New Roman" w:cs="Times New Roman"/>
          <w:noProof/>
          <w:sz w:val="24"/>
          <w:szCs w:val="24"/>
        </w:rPr>
        <w:footnoteReference w:id="34"/>
      </w:r>
      <w:r>
        <w:rPr>
          <w:rFonts w:ascii="Times New Roman" w:hAnsi="Times New Roman"/>
          <w:noProof/>
          <w:sz w:val="24"/>
        </w:rPr>
        <w:t xml:space="preserve"> EENi tugevdamiseks ja selle laiendamiseks täiendavatesse strateegilistesse kolmandatesse riikidesse. Eesmärk oli kaasata EENi uusi ettevõtlust toetavaid organisatsioone – nn rahvusvahelisi võrgustikupartnereid – ja kasutada nende kohapealseid kogemusi.</w:t>
      </w:r>
    </w:p>
    <w:p w14:paraId="12C0B252" w14:textId="025628C7" w:rsidR="00034EE0" w:rsidRPr="00570F0D" w:rsidRDefault="00034EE0" w:rsidP="00034EE0">
      <w:pPr>
        <w:jc w:val="both"/>
        <w:rPr>
          <w:rFonts w:ascii="Times New Roman" w:hAnsi="Times New Roman" w:cs="Times New Roman"/>
          <w:noProof/>
          <w:sz w:val="24"/>
          <w:szCs w:val="24"/>
        </w:rPr>
      </w:pPr>
      <w:r>
        <w:rPr>
          <w:rFonts w:ascii="Times New Roman" w:hAnsi="Times New Roman"/>
          <w:noProof/>
          <w:sz w:val="24"/>
        </w:rPr>
        <w:t>2024. aasta detsembris saatis EEN veebipõhise küsitluse oma nõustajatele, kes osutavad ettevõtjatele rahvusvahelistumise teenuseid. Küsitluse peamised järeldused olid järgmised.</w:t>
      </w:r>
    </w:p>
    <w:p w14:paraId="2BE5FC15" w14:textId="3C871A23" w:rsidR="001D412B" w:rsidRPr="00570F0D" w:rsidRDefault="001D412B" w:rsidP="001D412B">
      <w:pPr>
        <w:numPr>
          <w:ilvl w:val="0"/>
          <w:numId w:val="42"/>
        </w:numPr>
        <w:pBdr>
          <w:top w:val="single" w:sz="4" w:space="4" w:color="000000"/>
          <w:left w:val="single" w:sz="4" w:space="4" w:color="000000"/>
          <w:bottom w:val="single" w:sz="4" w:space="4" w:color="000000"/>
          <w:right w:val="single" w:sz="4" w:space="4" w:color="000000"/>
        </w:pBdr>
        <w:spacing w:after="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 xml:space="preserve">Umbes </w:t>
      </w:r>
      <w:r>
        <w:rPr>
          <w:rFonts w:ascii="Times New Roman" w:hAnsi="Times New Roman"/>
          <w:b/>
          <w:noProof/>
          <w:sz w:val="24"/>
        </w:rPr>
        <w:t>kolmandikul</w:t>
      </w:r>
      <w:r>
        <w:rPr>
          <w:rFonts w:ascii="Times New Roman" w:hAnsi="Times New Roman"/>
          <w:noProof/>
          <w:sz w:val="24"/>
        </w:rPr>
        <w:t xml:space="preserve"> EENi nõustajatest oli kliente, kes soovisid abi </w:t>
      </w:r>
      <w:r>
        <w:rPr>
          <w:rFonts w:ascii="Times New Roman" w:hAnsi="Times New Roman"/>
          <w:b/>
          <w:noProof/>
          <w:sz w:val="24"/>
        </w:rPr>
        <w:t>ELi kaubanduslepingutega</w:t>
      </w:r>
      <w:r>
        <w:rPr>
          <w:rFonts w:ascii="Times New Roman" w:hAnsi="Times New Roman"/>
          <w:noProof/>
          <w:sz w:val="24"/>
        </w:rPr>
        <w:t xml:space="preserve"> seotud tariifisoodustuste kasutamisel ja regulatiivsel kooskõlastamisel.</w:t>
      </w:r>
    </w:p>
    <w:p w14:paraId="12DAF523" w14:textId="19F3C7CA" w:rsidR="001D412B" w:rsidRPr="00570F0D" w:rsidRDefault="001D412B" w:rsidP="001D412B">
      <w:pPr>
        <w:numPr>
          <w:ilvl w:val="0"/>
          <w:numId w:val="42"/>
        </w:numPr>
        <w:pBdr>
          <w:top w:val="single" w:sz="4" w:space="4" w:color="000000"/>
          <w:left w:val="single" w:sz="4" w:space="4" w:color="000000"/>
          <w:bottom w:val="single" w:sz="4" w:space="4" w:color="000000"/>
          <w:right w:val="single" w:sz="4" w:space="4" w:color="000000"/>
        </w:pBdr>
        <w:spacing w:after="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Ligikaudu 45 % EENi nõustajatest pakkus regulaarselt tuge seoses ELi kaubanduslepingutega. Üle kolmandiku suunas kliente edasi rohkem spetsialiseerunud teenusepakkujate juurde.</w:t>
      </w:r>
    </w:p>
    <w:p w14:paraId="705CBF6C" w14:textId="6EFB62AD" w:rsidR="001D412B" w:rsidRPr="00570F0D" w:rsidRDefault="001D412B" w:rsidP="001D412B">
      <w:pPr>
        <w:numPr>
          <w:ilvl w:val="0"/>
          <w:numId w:val="42"/>
        </w:numPr>
        <w:pBdr>
          <w:top w:val="single" w:sz="4" w:space="4" w:color="000000"/>
          <w:left w:val="single" w:sz="4" w:space="4" w:color="000000"/>
          <w:bottom w:val="single" w:sz="4" w:space="4" w:color="000000"/>
          <w:right w:val="single" w:sz="4" w:space="4" w:color="000000"/>
        </w:pBdr>
        <w:spacing w:after="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 xml:space="preserve">Üle </w:t>
      </w:r>
      <w:r>
        <w:rPr>
          <w:rFonts w:ascii="Times New Roman" w:hAnsi="Times New Roman"/>
          <w:b/>
          <w:noProof/>
          <w:sz w:val="24"/>
        </w:rPr>
        <w:t>40 % EENi nõustajatest</w:t>
      </w:r>
      <w:r>
        <w:rPr>
          <w:rFonts w:ascii="Times New Roman" w:hAnsi="Times New Roman"/>
          <w:noProof/>
          <w:sz w:val="24"/>
        </w:rPr>
        <w:t xml:space="preserve"> on klientidele osutatud kaubandusteenuste kaudu juba saavutanud tulemusi ja/või toonud kaasa </w:t>
      </w:r>
      <w:r>
        <w:rPr>
          <w:rFonts w:ascii="Times New Roman" w:hAnsi="Times New Roman"/>
          <w:b/>
          <w:noProof/>
          <w:sz w:val="24"/>
        </w:rPr>
        <w:t>edulugusid</w:t>
      </w:r>
      <w:r>
        <w:rPr>
          <w:rFonts w:ascii="Times New Roman" w:hAnsi="Times New Roman"/>
          <w:noProof/>
          <w:sz w:val="24"/>
        </w:rPr>
        <w:t>.</w:t>
      </w:r>
    </w:p>
    <w:p w14:paraId="658466AD" w14:textId="7B828DDE" w:rsidR="00034EE0" w:rsidRPr="00570F0D" w:rsidRDefault="001D412B" w:rsidP="00F30755">
      <w:pPr>
        <w:numPr>
          <w:ilvl w:val="0"/>
          <w:numId w:val="42"/>
        </w:numPr>
        <w:pBdr>
          <w:top w:val="single" w:sz="4" w:space="4" w:color="000000"/>
          <w:left w:val="single" w:sz="4" w:space="4" w:color="000000"/>
          <w:bottom w:val="single" w:sz="4" w:space="4" w:color="000000"/>
          <w:right w:val="single" w:sz="4" w:space="4" w:color="000000"/>
        </w:pBdr>
        <w:spacing w:after="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Üle kahe kolmandiku EENi nõustajatest kasutas regulaarselt (või vähemalt aeg-ajalt) ELi platvormi Access2Markets.</w:t>
      </w:r>
    </w:p>
    <w:p w14:paraId="68D2B8B4" w14:textId="77777777" w:rsidR="00442321" w:rsidRPr="00570F0D" w:rsidRDefault="00442321" w:rsidP="00DD3A88">
      <w:pPr>
        <w:spacing w:after="0"/>
        <w:jc w:val="both"/>
        <w:rPr>
          <w:rFonts w:ascii="Times New Roman" w:hAnsi="Times New Roman" w:cs="Times New Roman"/>
          <w:noProof/>
          <w:sz w:val="24"/>
          <w:szCs w:val="24"/>
        </w:rPr>
      </w:pPr>
    </w:p>
    <w:p w14:paraId="701AF4B9" w14:textId="3B4DF0DB" w:rsidR="00EB7E33" w:rsidRPr="00570F0D" w:rsidRDefault="00034EE0" w:rsidP="00EB7E33">
      <w:pPr>
        <w:jc w:val="both"/>
        <w:rPr>
          <w:rFonts w:ascii="Times New Roman" w:hAnsi="Times New Roman" w:cs="Times New Roman"/>
          <w:noProof/>
          <w:sz w:val="24"/>
          <w:szCs w:val="24"/>
        </w:rPr>
      </w:pPr>
      <w:r>
        <w:rPr>
          <w:rFonts w:ascii="Times New Roman" w:hAnsi="Times New Roman"/>
          <w:noProof/>
          <w:sz w:val="24"/>
        </w:rPr>
        <w:t>2024. aastal toetas ja korraldas EEN YouTube’i</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vahendusel edastatud veebiseminare, millega tutvustati ELi kaubanduslepinguid, sealhulgas veebiseminarid järgmistel teemadel:</w:t>
      </w:r>
    </w:p>
    <w:p w14:paraId="552B5CBC" w14:textId="381DD5DB" w:rsidR="00EB7E33" w:rsidRPr="00570F0D" w:rsidRDefault="00A76F1F" w:rsidP="00A07444">
      <w:pPr>
        <w:pStyle w:val="ListParagraph"/>
        <w:numPr>
          <w:ilvl w:val="0"/>
          <w:numId w:val="14"/>
        </w:numPr>
        <w:spacing w:after="0" w:line="279" w:lineRule="auto"/>
        <w:jc w:val="both"/>
        <w:rPr>
          <w:rFonts w:ascii="Times New Roman" w:hAnsi="Times New Roman" w:cs="Times New Roman"/>
          <w:noProof/>
          <w:sz w:val="24"/>
          <w:szCs w:val="24"/>
        </w:rPr>
      </w:pPr>
      <w:r>
        <w:rPr>
          <w:rFonts w:ascii="Times New Roman" w:hAnsi="Times New Roman"/>
          <w:noProof/>
          <w:sz w:val="24"/>
        </w:rPr>
        <w:t>testimine ja sertifitseerimine ekspordiks – vastavushindamise valdkonna vastastikuse tunnustamise lepingute eelised;</w:t>
      </w:r>
    </w:p>
    <w:p w14:paraId="15E3E401" w14:textId="77777777" w:rsidR="00A07444" w:rsidRPr="00570F0D" w:rsidRDefault="00A07444" w:rsidP="00A07444">
      <w:pPr>
        <w:pStyle w:val="ListParagraph"/>
        <w:spacing w:after="0" w:line="279" w:lineRule="auto"/>
        <w:jc w:val="both"/>
        <w:rPr>
          <w:rFonts w:ascii="Times New Roman" w:hAnsi="Times New Roman" w:cs="Times New Roman"/>
          <w:noProof/>
          <w:sz w:val="24"/>
          <w:szCs w:val="24"/>
        </w:rPr>
      </w:pPr>
    </w:p>
    <w:p w14:paraId="6CF02176" w14:textId="3EFF820D" w:rsidR="00A07444" w:rsidRPr="00570F0D" w:rsidRDefault="00EB7E33" w:rsidP="00A07444">
      <w:pPr>
        <w:pStyle w:val="ListParagraph"/>
        <w:numPr>
          <w:ilvl w:val="0"/>
          <w:numId w:val="14"/>
        </w:numPr>
        <w:spacing w:after="0" w:line="279" w:lineRule="auto"/>
        <w:jc w:val="both"/>
        <w:rPr>
          <w:rFonts w:ascii="Times New Roman" w:hAnsi="Times New Roman" w:cs="Times New Roman"/>
          <w:noProof/>
          <w:sz w:val="24"/>
          <w:szCs w:val="24"/>
        </w:rPr>
      </w:pPr>
      <w:r>
        <w:rPr>
          <w:rFonts w:ascii="Times New Roman" w:hAnsi="Times New Roman"/>
          <w:noProof/>
          <w:sz w:val="24"/>
        </w:rPr>
        <w:t>äritegevus Uus-Meremaal: kuidas rakendada ELi ja Uus-Meremaa vabakaubanduslepingut;</w:t>
      </w:r>
    </w:p>
    <w:p w14:paraId="2F50875B" w14:textId="77777777" w:rsidR="00A07444" w:rsidRPr="00570F0D" w:rsidRDefault="00A07444" w:rsidP="00A07444">
      <w:pPr>
        <w:pStyle w:val="ListParagraph"/>
        <w:spacing w:after="160" w:line="279" w:lineRule="auto"/>
        <w:jc w:val="both"/>
        <w:rPr>
          <w:rFonts w:ascii="Times New Roman" w:hAnsi="Times New Roman" w:cs="Times New Roman"/>
          <w:noProof/>
          <w:sz w:val="24"/>
          <w:szCs w:val="24"/>
        </w:rPr>
      </w:pPr>
    </w:p>
    <w:p w14:paraId="16BA700B" w14:textId="393F1589" w:rsidR="00EB7E33" w:rsidRPr="00570F0D" w:rsidRDefault="00EB7E33" w:rsidP="00A07444">
      <w:pPr>
        <w:pStyle w:val="ListParagraph"/>
        <w:numPr>
          <w:ilvl w:val="0"/>
          <w:numId w:val="14"/>
        </w:numPr>
        <w:spacing w:after="0" w:line="278"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äritegevus Vietnamis: kohaliku põllumajandus- ja toidusektori võimaluste uurimine.</w:t>
      </w:r>
    </w:p>
    <w:p w14:paraId="1F074BEA" w14:textId="77777777" w:rsidR="00A07444" w:rsidRPr="00570F0D" w:rsidRDefault="00A07444" w:rsidP="00D033DB">
      <w:pPr>
        <w:spacing w:after="0" w:line="278" w:lineRule="auto"/>
        <w:jc w:val="both"/>
        <w:rPr>
          <w:rFonts w:ascii="Times New Roman" w:hAnsi="Times New Roman" w:cs="Times New Roman"/>
          <w:noProof/>
          <w:sz w:val="24"/>
          <w:szCs w:val="24"/>
        </w:rPr>
      </w:pPr>
    </w:p>
    <w:p w14:paraId="1903D3FD" w14:textId="442A0D66" w:rsidR="0049676D" w:rsidRPr="00570F0D" w:rsidRDefault="00EB7E33" w:rsidP="006D5977">
      <w:pPr>
        <w:spacing w:after="240" w:line="278" w:lineRule="auto"/>
        <w:jc w:val="both"/>
        <w:rPr>
          <w:rFonts w:ascii="Times New Roman" w:hAnsi="Times New Roman" w:cs="Times New Roman"/>
          <w:noProof/>
          <w:sz w:val="24"/>
          <w:szCs w:val="24"/>
        </w:rPr>
      </w:pPr>
      <w:r>
        <w:rPr>
          <w:rFonts w:ascii="Times New Roman" w:hAnsi="Times New Roman"/>
          <w:noProof/>
          <w:sz w:val="24"/>
        </w:rPr>
        <w:t>Euroopa ettevõtlusvõrgustiku ärinõustajate töö konkreetsete tulemustega ja näidetega selle kohta, kuidas ärinõustajad on aidanud Euroopa VKEdel ära kasutada kaubandusvõimalusi, on võimalik tutvuda Euroopa ettevõtlusvõrgustiku veebisaidil</w:t>
      </w:r>
      <w:r>
        <w:rPr>
          <w:rStyle w:val="FootnoteReference"/>
          <w:rFonts w:ascii="Times New Roman" w:hAnsi="Times New Roman" w:cs="Times New Roman"/>
          <w:noProof/>
          <w:sz w:val="24"/>
          <w:szCs w:val="24"/>
        </w:rPr>
        <w:footnoteReference w:id="36"/>
      </w:r>
      <w:r>
        <w:rPr>
          <w:rFonts w:ascii="Times New Roman" w:hAnsi="Times New Roman"/>
          <w:noProof/>
          <w:sz w:val="24"/>
        </w:rPr>
        <w:t>.</w:t>
      </w:r>
    </w:p>
    <w:p w14:paraId="77EBE4E5" w14:textId="1F5B9F87" w:rsidR="005819D0" w:rsidRPr="00756E4E" w:rsidRDefault="005819D0" w:rsidP="0005471A">
      <w:pPr>
        <w:spacing w:after="160" w:line="279" w:lineRule="auto"/>
        <w:jc w:val="both"/>
        <w:rPr>
          <w:rFonts w:ascii="Times New Roman" w:hAnsi="Times New Roman"/>
          <w:b/>
          <w:i/>
          <w:noProof/>
          <w:sz w:val="24"/>
        </w:rPr>
      </w:pPr>
      <w:r>
        <w:rPr>
          <w:rFonts w:ascii="Times New Roman" w:hAnsi="Times New Roman"/>
          <w:b/>
          <w:i/>
          <w:noProof/>
          <w:sz w:val="24"/>
        </w:rPr>
        <w:t>Turulepääsu päevad</w:t>
      </w:r>
    </w:p>
    <w:p w14:paraId="2FB91403" w14:textId="70451727" w:rsidR="005819D0" w:rsidRPr="00756E4E" w:rsidRDefault="005819D0" w:rsidP="005819D0">
      <w:pPr>
        <w:jc w:val="both"/>
        <w:rPr>
          <w:rFonts w:ascii="Times New Roman" w:hAnsi="Times New Roman"/>
          <w:noProof/>
          <w:sz w:val="24"/>
        </w:rPr>
      </w:pPr>
      <w:r>
        <w:rPr>
          <w:rFonts w:ascii="Times New Roman" w:hAnsi="Times New Roman"/>
          <w:noProof/>
          <w:sz w:val="24"/>
        </w:rPr>
        <w:t xml:space="preserve">Komisjon jätkas koostöös liikmesriikidega turulepääsu päevade korraldamist. Need erinevates ELi riikides toimuvad üritused on aidanud suurendada ettevõtjate teadlikkust ELi kaubanduslepingute eelistest nii riiklikul kui ka kohalikul tasandil. </w:t>
      </w:r>
      <w:bookmarkStart w:id="58" w:name="_Hlk198114844"/>
      <w:r>
        <w:rPr>
          <w:rFonts w:ascii="Times New Roman" w:hAnsi="Times New Roman"/>
          <w:noProof/>
          <w:sz w:val="24"/>
        </w:rPr>
        <w:t>2024. aastal korraldati turulepääsu päevi Prantsusmaal, Austrias, Saksamaal, Belgias, Madalmaades ja Ungaris. Üritustel osales ka kaubandusvaldkonna juhtiv järelevalveametnik; kokku tõid need kolmandate riikide turgudele pääsemisega seotud väljakutsete ja kaubanduslepingute konkurentsieeliste teemalised arutelud kokku ligi 700 sidusrühma esindajat.</w:t>
      </w:r>
    </w:p>
    <w:bookmarkEnd w:id="58"/>
    <w:p w14:paraId="6A418371" w14:textId="25961D32" w:rsidR="005819D0" w:rsidRPr="00756E4E" w:rsidRDefault="005819D0" w:rsidP="0005471A">
      <w:pPr>
        <w:spacing w:after="160" w:line="279" w:lineRule="auto"/>
        <w:jc w:val="both"/>
        <w:rPr>
          <w:rFonts w:ascii="Times New Roman" w:hAnsi="Times New Roman"/>
          <w:b/>
          <w:i/>
          <w:noProof/>
          <w:sz w:val="24"/>
        </w:rPr>
      </w:pPr>
      <w:r>
        <w:rPr>
          <w:rFonts w:ascii="Times New Roman" w:hAnsi="Times New Roman"/>
          <w:b/>
          <w:i/>
          <w:noProof/>
          <w:sz w:val="24"/>
        </w:rPr>
        <w:t>ELi VKEde rahvusvahelistumise strateegia uuring</w:t>
      </w:r>
    </w:p>
    <w:p w14:paraId="695E996B" w14:textId="77356C73" w:rsidR="005819D0" w:rsidRPr="00570F0D" w:rsidRDefault="005819D0" w:rsidP="005819D0">
      <w:pPr>
        <w:jc w:val="both"/>
        <w:rPr>
          <w:rFonts w:ascii="Times New Roman" w:hAnsi="Times New Roman" w:cs="Times New Roman"/>
          <w:noProof/>
          <w:sz w:val="24"/>
          <w:szCs w:val="24"/>
        </w:rPr>
      </w:pPr>
      <w:r>
        <w:rPr>
          <w:rFonts w:ascii="Times New Roman" w:hAnsi="Times New Roman"/>
          <w:noProof/>
          <w:sz w:val="24"/>
        </w:rPr>
        <w:t>3. veebruaril 2025 avaldas</w:t>
      </w:r>
      <w:r>
        <w:rPr>
          <w:rStyle w:val="FootnoteReference"/>
          <w:rFonts w:ascii="Times New Roman" w:hAnsi="Times New Roman"/>
          <w:noProof/>
          <w:sz w:val="24"/>
        </w:rPr>
        <w:footnoteReference w:id="37"/>
      </w:r>
      <w:r>
        <w:rPr>
          <w:rFonts w:ascii="Times New Roman" w:hAnsi="Times New Roman"/>
          <w:noProof/>
          <w:sz w:val="24"/>
        </w:rPr>
        <w:t xml:space="preserve"> komisjon ELi VKEde rahvusvahelistumise strateegia uuringu. Uuringus kaardistati ja analüüsiti olemasolevaid riiklikke ja ELi tugimeetmeid, tuvastati lüngad, kattuvused ja võimalikud täiustused. Selles esitati ka soovitused olemasolevate riiklike ja ELi ressursside tõhusamaks kasutamiseks. Uuringu tulemusi tutvustati 7. veebruaril 2025 toimunud töötoas</w:t>
      </w:r>
      <w:r>
        <w:rPr>
          <w:rStyle w:val="FootnoteReference"/>
          <w:rFonts w:ascii="Times New Roman" w:hAnsi="Times New Roman" w:cs="Times New Roman"/>
          <w:noProof/>
          <w:sz w:val="24"/>
          <w:szCs w:val="24"/>
        </w:rPr>
        <w:footnoteReference w:id="38"/>
      </w:r>
      <w:r>
        <w:rPr>
          <w:rFonts w:ascii="Times New Roman" w:hAnsi="Times New Roman"/>
          <w:noProof/>
          <w:sz w:val="24"/>
        </w:rPr>
        <w:t>. Komisjon tegutseb uuringu põhisoovituste rakendamiseks.</w:t>
      </w:r>
    </w:p>
    <w:p w14:paraId="29D5D345" w14:textId="5514E064" w:rsidR="00B41055" w:rsidRPr="00756E4E" w:rsidRDefault="00B41055" w:rsidP="0005471A">
      <w:pPr>
        <w:spacing w:after="160" w:line="279" w:lineRule="auto"/>
        <w:jc w:val="both"/>
        <w:rPr>
          <w:rFonts w:ascii="Times New Roman" w:hAnsi="Times New Roman"/>
          <w:b/>
          <w:i/>
          <w:noProof/>
          <w:sz w:val="24"/>
        </w:rPr>
      </w:pPr>
      <w:r>
        <w:rPr>
          <w:rFonts w:ascii="Times New Roman" w:hAnsi="Times New Roman"/>
          <w:b/>
          <w:i/>
          <w:noProof/>
          <w:sz w:val="24"/>
        </w:rPr>
        <w:t>ELi kaubanduslepingutes sisalduvate VKEsid käsitlevate peatükkide rakendamine</w:t>
      </w:r>
    </w:p>
    <w:p w14:paraId="0B16BFEF" w14:textId="1931C866" w:rsidR="00B41055" w:rsidRPr="00756E4E" w:rsidRDefault="00B41055" w:rsidP="00B41055">
      <w:pPr>
        <w:jc w:val="both"/>
        <w:rPr>
          <w:rFonts w:ascii="Times New Roman" w:hAnsi="Times New Roman"/>
          <w:noProof/>
          <w:sz w:val="24"/>
        </w:rPr>
      </w:pPr>
      <w:r>
        <w:rPr>
          <w:rFonts w:ascii="Times New Roman" w:hAnsi="Times New Roman"/>
          <w:b/>
          <w:noProof/>
          <w:sz w:val="24"/>
        </w:rPr>
        <w:t>ELi ja Kanada laiaulatuslik majandus- ja kaubandusleping (CETA)</w:t>
      </w:r>
      <w:r>
        <w:rPr>
          <w:rFonts w:ascii="Times New Roman" w:hAnsi="Times New Roman"/>
          <w:noProof/>
          <w:sz w:val="24"/>
        </w:rPr>
        <w:t>. 2024. aasta detsembris jõudsid EL ja Kanada pärast regulaarseid arutelusid oma VKEde kontaktpunktide vahel kokkuleppele kolmeaastases tegevuskavas</w:t>
      </w:r>
      <w:r>
        <w:rPr>
          <w:rStyle w:val="FootnoteReference"/>
          <w:rFonts w:ascii="Times New Roman" w:hAnsi="Times New Roman"/>
          <w:noProof/>
          <w:sz w:val="24"/>
        </w:rPr>
        <w:footnoteReference w:id="39"/>
      </w:r>
      <w:r>
        <w:rPr>
          <w:rFonts w:ascii="Times New Roman" w:hAnsi="Times New Roman"/>
          <w:noProof/>
          <w:sz w:val="24"/>
        </w:rPr>
        <w:t xml:space="preserve"> (2025–2027), et rakendada CETA lepingu VKEsid käsitlevat soovitust.</w:t>
      </w:r>
    </w:p>
    <w:p w14:paraId="0552251B" w14:textId="4F3F55C7" w:rsidR="00B41055" w:rsidRPr="00756E4E" w:rsidRDefault="00B41055" w:rsidP="00B41055">
      <w:pPr>
        <w:jc w:val="both"/>
        <w:rPr>
          <w:rFonts w:ascii="Times New Roman" w:hAnsi="Times New Roman"/>
          <w:noProof/>
          <w:sz w:val="24"/>
        </w:rPr>
      </w:pPr>
      <w:r>
        <w:rPr>
          <w:rFonts w:ascii="Times New Roman" w:hAnsi="Times New Roman"/>
          <w:b/>
          <w:noProof/>
          <w:sz w:val="24"/>
        </w:rPr>
        <w:t>ELi-Jaapani majanduspartnerlusleping</w:t>
      </w:r>
      <w:r>
        <w:rPr>
          <w:rFonts w:ascii="Times New Roman" w:hAnsi="Times New Roman"/>
          <w:noProof/>
          <w:sz w:val="24"/>
        </w:rPr>
        <w:t>. 20. septembril 2024 toimus ELi ja Jaapani VKEde kontaktpunktide neljas kohtumine ELi-Jaapani majanduspartnerluslepingu raames ning sellele järgnes 11. novembril 2024 Brüsselis eraldi kohtumine. Mõlemad pooled teatasid majanduspartnerluslepingu teabevahetussätete rakendamise viimastest algatustest ning muudest tegevustest, millega julgustada rohkem VKEsid majanduspartnerluslepingu võimalusi kasutama. Kontaktpunktide ühistegevuse aruanne on kättesaadav veebis</w:t>
      </w:r>
      <w:r>
        <w:rPr>
          <w:rStyle w:val="FootnoteReference"/>
          <w:rFonts w:ascii="Times New Roman" w:hAnsi="Times New Roman"/>
          <w:noProof/>
          <w:sz w:val="24"/>
        </w:rPr>
        <w:footnoteReference w:id="40"/>
      </w:r>
      <w:r>
        <w:rPr>
          <w:rFonts w:ascii="Times New Roman" w:hAnsi="Times New Roman"/>
          <w:noProof/>
          <w:sz w:val="24"/>
        </w:rPr>
        <w:t>. Lisaks oli ELi-Jaapani tööstuskoostöö keskusel</w:t>
      </w:r>
      <w:r>
        <w:rPr>
          <w:rStyle w:val="FootnoteReference"/>
          <w:rFonts w:ascii="Times New Roman" w:hAnsi="Times New Roman"/>
          <w:noProof/>
          <w:sz w:val="24"/>
        </w:rPr>
        <w:footnoteReference w:id="41"/>
      </w:r>
      <w:r>
        <w:rPr>
          <w:rFonts w:ascii="Times New Roman" w:hAnsi="Times New Roman"/>
          <w:noProof/>
          <w:sz w:val="24"/>
        </w:rPr>
        <w:t xml:space="preserve"> VKEde toetamisel jätkuvalt keskne roll. Näited ELi VKEde edukast turulepääsust Jaapanis on samuti kättesaadavad veebis</w:t>
      </w:r>
      <w:r>
        <w:rPr>
          <w:rStyle w:val="FootnoteReference"/>
          <w:rFonts w:ascii="Times New Roman" w:hAnsi="Times New Roman"/>
          <w:noProof/>
          <w:sz w:val="24"/>
        </w:rPr>
        <w:footnoteReference w:id="42"/>
      </w:r>
      <w:r>
        <w:rPr>
          <w:rFonts w:ascii="Times New Roman" w:hAnsi="Times New Roman"/>
          <w:noProof/>
          <w:sz w:val="24"/>
        </w:rPr>
        <w:t>.</w:t>
      </w:r>
    </w:p>
    <w:p w14:paraId="1EEA8BD3" w14:textId="54366F46" w:rsidR="00DD3A88" w:rsidRPr="00756E4E" w:rsidRDefault="00B41055" w:rsidP="00967D0C">
      <w:pPr>
        <w:jc w:val="both"/>
        <w:rPr>
          <w:rFonts w:ascii="Times New Roman" w:hAnsi="Times New Roman"/>
          <w:noProof/>
          <w:sz w:val="24"/>
        </w:rPr>
      </w:pPr>
      <w:r>
        <w:rPr>
          <w:rFonts w:ascii="Times New Roman" w:hAnsi="Times New Roman"/>
          <w:b/>
          <w:noProof/>
          <w:sz w:val="24"/>
        </w:rPr>
        <w:t>ELi ja Uus-Meremaa vabakaubandusleping</w:t>
      </w:r>
      <w:r>
        <w:rPr>
          <w:rFonts w:ascii="Times New Roman" w:hAnsi="Times New Roman"/>
          <w:noProof/>
          <w:sz w:val="24"/>
        </w:rPr>
        <w:t>. Pärast ELi ja Uus-Meremaa vabakaubanduslepingu jõustumist 1. mail 2024 toimus 11. detsembril 2024 ELi ja Uus-Meremaa VKEde kontaktpunktide esimene kohtumine. Arutati edenemist VKEde peatüki teabevahetuskohustuste rakendamisel, huvipakkuvaid teemasid tulevasteks kohtumisteks ja edasise töö korraldust.</w:t>
      </w:r>
    </w:p>
    <w:p w14:paraId="3E898ADC" w14:textId="50575392" w:rsidR="006B467A" w:rsidRPr="00756E4E" w:rsidRDefault="006B467A" w:rsidP="0005471A">
      <w:pPr>
        <w:spacing w:after="160" w:line="279" w:lineRule="auto"/>
        <w:jc w:val="both"/>
        <w:rPr>
          <w:rFonts w:ascii="Times New Roman" w:hAnsi="Times New Roman"/>
          <w:b/>
          <w:i/>
          <w:noProof/>
          <w:sz w:val="24"/>
        </w:rPr>
      </w:pPr>
      <w:r>
        <w:rPr>
          <w:rFonts w:ascii="Times New Roman" w:hAnsi="Times New Roman"/>
          <w:b/>
          <w:i/>
          <w:noProof/>
          <w:sz w:val="24"/>
        </w:rPr>
        <w:t>Maailma Kaubandusorganisatsioon (WTO)</w:t>
      </w:r>
    </w:p>
    <w:p w14:paraId="3DA0DEB5" w14:textId="6FE807F9" w:rsidR="006B467A" w:rsidRPr="00756E4E" w:rsidRDefault="00F342A6" w:rsidP="00914EEF">
      <w:pPr>
        <w:jc w:val="both"/>
        <w:rPr>
          <w:rFonts w:ascii="Times New Roman" w:hAnsi="Times New Roman"/>
          <w:noProof/>
          <w:sz w:val="24"/>
        </w:rPr>
      </w:pPr>
      <w:r>
        <w:rPr>
          <w:rFonts w:ascii="Times New Roman" w:hAnsi="Times New Roman"/>
          <w:noProof/>
          <w:sz w:val="24"/>
        </w:rPr>
        <w:t>2024. aastal andis EL panuse algatusse „Global Trade Helpdesk“,</w:t>
      </w:r>
      <w:r>
        <w:rPr>
          <w:rStyle w:val="FootnoteReference"/>
          <w:rFonts w:ascii="Times New Roman" w:hAnsi="Times New Roman" w:cs="Times New Roman"/>
          <w:noProof/>
          <w:sz w:val="24"/>
          <w:szCs w:val="24"/>
        </w:rPr>
        <w:footnoteReference w:id="43"/>
      </w:r>
      <w:r>
        <w:rPr>
          <w:rFonts w:ascii="Times New Roman" w:hAnsi="Times New Roman"/>
          <w:noProof/>
          <w:sz w:val="24"/>
        </w:rPr>
        <w:t xml:space="preserve"> mida veavad ühiselt WTO, Rahvusvaheline Kaubanduskeskus ja ÜRO Kaubandus- ja Arengukonverents, et lihtsustada turu-uuringuid, koondades kaubandus- ja ärialase teabe ühele veebiplatvormile. EL osales WTO 13. ministrite konverentsil, mis toimus 26. veebruarist kuni 2. märtsini 2024 Abu Dhabis. Sellel konverentsil avaldati kaks dokumenti – „Access to finance for women-led micro, small and medium-sized enterprises (‘MSMEs’): a compendium of financial inclusion initiatives“ (naiste juhitud mikro-, väike- ja keskmise suurusega ettevõtjate (MVKEde) juurdepääs rahastamisele: finantskaasamise algatuste kogumik)</w:t>
      </w:r>
      <w:r>
        <w:rPr>
          <w:rStyle w:val="FootnoteReference"/>
          <w:rFonts w:ascii="Times New Roman" w:hAnsi="Times New Roman" w:cs="Times New Roman"/>
          <w:noProof/>
          <w:sz w:val="24"/>
          <w:szCs w:val="24"/>
        </w:rPr>
        <w:footnoteReference w:id="44"/>
      </w:r>
      <w:r>
        <w:rPr>
          <w:rFonts w:ascii="Times New Roman" w:hAnsi="Times New Roman"/>
          <w:noProof/>
          <w:sz w:val="24"/>
        </w:rPr>
        <w:t xml:space="preserve"> ja „A compendium of special provisions for MSMEs in Authorized Economic Operator (AEO) Programs“ (Volitatud majandusosalist (AEO) käsitlevates programmides MVKEdele ette nähtud erisätete kogumik),</w:t>
      </w:r>
      <w:r>
        <w:rPr>
          <w:rStyle w:val="FootnoteReference"/>
          <w:rFonts w:ascii="Times New Roman" w:hAnsi="Times New Roman" w:cs="Times New Roman"/>
          <w:noProof/>
          <w:sz w:val="24"/>
          <w:szCs w:val="24"/>
        </w:rPr>
        <w:footnoteReference w:id="45"/>
      </w:r>
      <w:r>
        <w:rPr>
          <w:rFonts w:ascii="Times New Roman" w:hAnsi="Times New Roman"/>
          <w:noProof/>
          <w:sz w:val="24"/>
        </w:rPr>
        <w:t xml:space="preserve"> mille koostamisse andis EL märkimisväärse panuse.</w:t>
      </w:r>
    </w:p>
    <w:p w14:paraId="22D985D8" w14:textId="10E2A05D" w:rsidR="007748A6" w:rsidRPr="00756E4E" w:rsidRDefault="0089362D" w:rsidP="00C95110">
      <w:pPr>
        <w:spacing w:after="0"/>
        <w:jc w:val="both"/>
        <w:rPr>
          <w:rFonts w:ascii="Times New Roman" w:hAnsi="Times New Roman"/>
          <w:noProof/>
          <w:sz w:val="24"/>
        </w:rPr>
      </w:pPr>
      <w:r>
        <w:rPr>
          <w:rFonts w:ascii="Times New Roman" w:hAnsi="Times New Roman"/>
          <w:noProof/>
          <w:sz w:val="24"/>
        </w:rPr>
        <w:t>2024. aasta jooksul osales EL WTO MVKEde mitteametliku töörühma</w:t>
      </w:r>
      <w:r>
        <w:rPr>
          <w:rStyle w:val="FootnoteReference"/>
          <w:rFonts w:ascii="Times New Roman" w:hAnsi="Times New Roman"/>
          <w:noProof/>
          <w:sz w:val="24"/>
        </w:rPr>
        <w:footnoteReference w:id="46"/>
      </w:r>
      <w:r>
        <w:rPr>
          <w:rFonts w:ascii="Times New Roman" w:hAnsi="Times New Roman"/>
          <w:noProof/>
          <w:sz w:val="24"/>
        </w:rPr>
        <w:t xml:space="preserve"> (kuhu kuulub 103 riiki) neljal kohtumisel ja tutvustas WTO liikmetele Euroopa ettevõtlusvõrgustikku (EEN), loomade ja taimede tervisetõendite veebiplatvormi TRACES ning meetmeid 2020. aasta detsembris vastu võetud MVKEde paketi rakendamiseks.</w:t>
      </w:r>
    </w:p>
    <w:p w14:paraId="1F86D504" w14:textId="77777777" w:rsidR="00A846DF" w:rsidRPr="00756E4E" w:rsidRDefault="00A846DF" w:rsidP="00C95110">
      <w:pPr>
        <w:spacing w:after="0"/>
        <w:jc w:val="both"/>
        <w:rPr>
          <w:rFonts w:ascii="Times New Roman" w:hAnsi="Times New Roman"/>
          <w:noProof/>
          <w:sz w:val="24"/>
        </w:rPr>
      </w:pPr>
    </w:p>
    <w:p w14:paraId="34B1E9B7" w14:textId="612ECAD4" w:rsidR="00DA6AD5" w:rsidRPr="00570F0D" w:rsidRDefault="0019751F" w:rsidP="00B41751">
      <w:pPr>
        <w:pStyle w:val="Style1"/>
        <w:numPr>
          <w:ilvl w:val="0"/>
          <w:numId w:val="0"/>
        </w:numPr>
        <w:ind w:left="75"/>
        <w:rPr>
          <w:rFonts w:cs="Times New Roman"/>
          <w:noProof/>
          <w:szCs w:val="32"/>
        </w:rPr>
      </w:pPr>
      <w:bookmarkStart w:id="59" w:name="_Hlk161849105"/>
      <w:bookmarkStart w:id="60" w:name="_Toc167267057"/>
      <w:bookmarkStart w:id="61" w:name="_Toc167812805"/>
      <w:bookmarkStart w:id="62" w:name="_Toc196862769"/>
      <w:bookmarkStart w:id="63" w:name="_Toc211940629"/>
      <w:bookmarkStart w:id="64" w:name="_Hlk162204209"/>
      <w:bookmarkEnd w:id="50"/>
      <w:r>
        <w:rPr>
          <w:noProof/>
        </w:rPr>
        <w:t>IV. Tõketega tegelemine ja lahenduste otsimine</w:t>
      </w:r>
      <w:bookmarkEnd w:id="59"/>
      <w:bookmarkEnd w:id="60"/>
      <w:bookmarkEnd w:id="61"/>
      <w:bookmarkEnd w:id="62"/>
      <w:bookmarkEnd w:id="63"/>
    </w:p>
    <w:p w14:paraId="5277E368" w14:textId="5B2805F3" w:rsidR="00DA6AD5" w:rsidRPr="00756E4E" w:rsidRDefault="00DA6AD5" w:rsidP="00DA6AD5">
      <w:pPr>
        <w:spacing w:after="0" w:line="240" w:lineRule="auto"/>
        <w:textAlignment w:val="baseline"/>
        <w:rPr>
          <w:rFonts w:ascii="Times New Roman" w:hAnsi="Times New Roman"/>
          <w:noProof/>
          <w:sz w:val="24"/>
        </w:rPr>
      </w:pPr>
    </w:p>
    <w:p w14:paraId="5C5BED83" w14:textId="54034458" w:rsidR="00DA6AD5" w:rsidRPr="00570F0D" w:rsidRDefault="0019751F" w:rsidP="00383E5B">
      <w:pPr>
        <w:pStyle w:val="Style2"/>
        <w:rPr>
          <w:rFonts w:cs="Times New Roman"/>
          <w:noProof/>
          <w:sz w:val="24"/>
          <w:szCs w:val="24"/>
        </w:rPr>
      </w:pPr>
      <w:bookmarkStart w:id="65" w:name="_Toc167267058"/>
      <w:bookmarkStart w:id="66" w:name="_Toc167812806"/>
      <w:bookmarkStart w:id="67" w:name="_Toc196862770"/>
      <w:bookmarkStart w:id="68" w:name="_Toc211940630"/>
      <w:bookmarkStart w:id="69" w:name="_Hlk167272481"/>
      <w:r>
        <w:rPr>
          <w:noProof/>
          <w:sz w:val="24"/>
        </w:rPr>
        <w:t>IV.1</w:t>
      </w:r>
      <w:r>
        <w:rPr>
          <w:noProof/>
        </w:rPr>
        <w:tab/>
      </w:r>
      <w:r>
        <w:rPr>
          <w:noProof/>
          <w:sz w:val="24"/>
        </w:rPr>
        <w:t>Olukord ja suundumused 2024. aastal</w:t>
      </w:r>
      <w:bookmarkEnd w:id="65"/>
      <w:bookmarkEnd w:id="66"/>
      <w:bookmarkEnd w:id="67"/>
      <w:bookmarkEnd w:id="68"/>
    </w:p>
    <w:bookmarkEnd w:id="69"/>
    <w:p w14:paraId="4DB3A789" w14:textId="77777777" w:rsidR="00DA6AD5" w:rsidRPr="00756E4E" w:rsidRDefault="00DA6AD5" w:rsidP="00DA6AD5">
      <w:pPr>
        <w:spacing w:after="0" w:line="240" w:lineRule="auto"/>
        <w:jc w:val="both"/>
        <w:textAlignment w:val="baseline"/>
        <w:rPr>
          <w:rFonts w:ascii="Times New Roman" w:hAnsi="Times New Roman"/>
          <w:noProof/>
          <w:sz w:val="24"/>
        </w:rPr>
      </w:pPr>
    </w:p>
    <w:p w14:paraId="40251255" w14:textId="578E5E6E" w:rsidR="00F74EB6" w:rsidRPr="00955CE4" w:rsidRDefault="1D8EA505" w:rsidP="00756E4E">
      <w:pPr>
        <w:spacing w:after="0"/>
        <w:jc w:val="both"/>
        <w:rPr>
          <w:rFonts w:ascii="Times New Roman" w:hAnsi="Times New Roman"/>
          <w:noProof/>
          <w:sz w:val="24"/>
        </w:rPr>
      </w:pPr>
      <w:bookmarkStart w:id="70" w:name="_Hlk198303707"/>
      <w:r>
        <w:rPr>
          <w:rFonts w:ascii="Times New Roman" w:hAnsi="Times New Roman"/>
          <w:noProof/>
          <w:sz w:val="24"/>
        </w:rPr>
        <w:t>2024. aastal mõjutas üleilmset kaubandusmaastikku üha enam jätkuvate geopoliitiliste pingete, majanduslike kõikumiste ja kaubanduspoliitika muudatuste koosmõju.</w:t>
      </w:r>
      <w:r>
        <w:rPr>
          <w:rFonts w:ascii="Times New Roman" w:hAnsi="Times New Roman"/>
          <w:b/>
          <w:noProof/>
          <w:sz w:val="24"/>
        </w:rPr>
        <w:t xml:space="preserve"> </w:t>
      </w:r>
      <w:r>
        <w:rPr>
          <w:rFonts w:ascii="Times New Roman" w:hAnsi="Times New Roman"/>
          <w:noProof/>
          <w:sz w:val="24"/>
        </w:rPr>
        <w:t>Riigid ja kaubandusblokid nägid vaeva, et saavutada tasakaal oma tööstuse kaitsmise ning vaba ja õiglase kauplemise süsteemi tagamise vahel.</w:t>
      </w:r>
    </w:p>
    <w:p w14:paraId="4F1DAA8F" w14:textId="1D2B82E3" w:rsidR="00F74EB6" w:rsidRPr="00570F0D" w:rsidRDefault="00F74EB6" w:rsidP="00F74EB6">
      <w:pPr>
        <w:spacing w:after="0"/>
        <w:jc w:val="both"/>
        <w:rPr>
          <w:rFonts w:ascii="Times New Roman" w:eastAsia="Times New Roman" w:hAnsi="Times New Roman" w:cs="Times New Roman"/>
          <w:b/>
          <w:bCs/>
          <w:noProof/>
          <w:sz w:val="24"/>
          <w:szCs w:val="24"/>
        </w:rPr>
      </w:pPr>
    </w:p>
    <w:p w14:paraId="5353E393" w14:textId="0BC9761C" w:rsidR="009B0557" w:rsidRPr="005E4EA6" w:rsidRDefault="0009502C" w:rsidP="00FC7A19">
      <w:pPr>
        <w:jc w:val="both"/>
        <w:rPr>
          <w:rFonts w:ascii="Times New Roman" w:hAnsi="Times New Roman" w:cs="Times New Roman"/>
          <w:noProof/>
          <w:sz w:val="24"/>
          <w:szCs w:val="24"/>
        </w:rPr>
      </w:pPr>
      <w:r>
        <w:rPr>
          <w:rFonts w:ascii="Times New Roman" w:hAnsi="Times New Roman"/>
          <w:noProof/>
          <w:sz w:val="24"/>
        </w:rPr>
        <w:t>Impordipiirangutest, kohaliku sisendi nõuetest, diskrimineerivatest tavadest ja üldisemalt meetmetest, mille eesmärk on impordi asendamine (nt mitteautomaatsed impordilitsentsid mitmesuguste toodete puhul) eelkõige lõunanaabruses,</w:t>
      </w:r>
      <w:r>
        <w:rPr>
          <w:rStyle w:val="FootnoteReference"/>
          <w:rFonts w:ascii="Times New Roman" w:hAnsi="Times New Roman" w:cs="Times New Roman"/>
          <w:noProof/>
          <w:sz w:val="24"/>
          <w:szCs w:val="24"/>
        </w:rPr>
        <w:footnoteReference w:id="47"/>
      </w:r>
      <w:r>
        <w:rPr>
          <w:rFonts w:ascii="Times New Roman" w:hAnsi="Times New Roman"/>
          <w:noProof/>
          <w:sz w:val="24"/>
        </w:rPr>
        <w:t xml:space="preserve"> aga ka Aasias, said mõne ELi partneri jaoks tööstuspoliitika vahendid.</w:t>
      </w:r>
    </w:p>
    <w:p w14:paraId="5959F563" w14:textId="4AC4C2F9" w:rsidR="009B0557" w:rsidRPr="00756E4E" w:rsidRDefault="009B0557" w:rsidP="00756E4E">
      <w:pPr>
        <w:spacing w:after="0"/>
        <w:jc w:val="both"/>
        <w:rPr>
          <w:rFonts w:ascii="Times New Roman" w:hAnsi="Times New Roman"/>
          <w:noProof/>
          <w:sz w:val="24"/>
        </w:rPr>
      </w:pPr>
      <w:bookmarkStart w:id="71" w:name="_Hlk207896929"/>
      <w:r>
        <w:rPr>
          <w:rFonts w:ascii="Times New Roman" w:hAnsi="Times New Roman"/>
          <w:noProof/>
          <w:sz w:val="24"/>
        </w:rPr>
        <w:t>ELi ettevõtjad seisid endiselt silmitsi eksporti piiravate meetmetega, mida rakendatakse (kriitilise) toorme puhul, et luua tööstuse arengule ja töötlemisele poliitilist mänguruumi, eelkõige Kagu-Aasia partnerriikides (nt Indoneesia niklimaagi ekspordikeeld) või Sahara-taguses Aafrikas (nt Ghanas ja Tansaanias või hiljutine Namiibiast ja Zimbabwest pärit liitiumi ekspordikeeld), aga ka Ameerika Ühendriikides, kes on piiranud enam kui 120 riigi, sealhulgas mõne ELi liikmesriigi juurdepääsu kõrgtehnoloogiliste pooljuhtide ekspordile.</w:t>
      </w:r>
    </w:p>
    <w:p w14:paraId="39AFA2E5" w14:textId="3B3C2A76" w:rsidR="00F74EB6" w:rsidRPr="00570F0D" w:rsidRDefault="00F74EB6" w:rsidP="00F74EB6">
      <w:pPr>
        <w:spacing w:after="0"/>
        <w:jc w:val="both"/>
        <w:rPr>
          <w:rFonts w:ascii="Times New Roman" w:hAnsi="Times New Roman" w:cs="Times New Roman"/>
          <w:noProof/>
          <w:sz w:val="24"/>
          <w:szCs w:val="24"/>
        </w:rPr>
      </w:pPr>
    </w:p>
    <w:p w14:paraId="50F585D8" w14:textId="558EC3DA" w:rsidR="00F74EB6" w:rsidRPr="00955CE4" w:rsidRDefault="00F74EB6" w:rsidP="00756E4E">
      <w:pPr>
        <w:spacing w:after="0"/>
        <w:jc w:val="both"/>
        <w:rPr>
          <w:rFonts w:ascii="Times New Roman" w:hAnsi="Times New Roman"/>
          <w:noProof/>
          <w:sz w:val="24"/>
        </w:rPr>
      </w:pPr>
      <w:r>
        <w:rPr>
          <w:rFonts w:ascii="Times New Roman" w:hAnsi="Times New Roman"/>
          <w:b/>
          <w:noProof/>
          <w:sz w:val="24"/>
        </w:rPr>
        <w:t>Kaubandustõkete ja protektsionistlike meetmetega tegelemise</w:t>
      </w:r>
      <w:r>
        <w:rPr>
          <w:rFonts w:ascii="Times New Roman" w:hAnsi="Times New Roman"/>
          <w:noProof/>
          <w:sz w:val="24"/>
        </w:rPr>
        <w:t xml:space="preserve"> tähtsus tuli taas teravalt esile ning oli püsivalt murekohaks, kuna kokku </w:t>
      </w:r>
      <w:r>
        <w:rPr>
          <w:rFonts w:ascii="Times New Roman" w:hAnsi="Times New Roman"/>
          <w:b/>
          <w:noProof/>
          <w:sz w:val="24"/>
        </w:rPr>
        <w:t>registreeriti 23 uut tõket</w:t>
      </w:r>
      <w:r>
        <w:rPr>
          <w:rFonts w:ascii="Times New Roman" w:hAnsi="Times New Roman"/>
          <w:noProof/>
          <w:sz w:val="24"/>
        </w:rPr>
        <w:t>. Enamik neist olid sanitaar- ja fütosanitaarmeetmed (üheksa uut tõket), millele järgnesid tehnilised kaubandustõkked (viis uut tõket) ja teenuste osutamise tõkked (neli uut tõket).</w:t>
      </w:r>
    </w:p>
    <w:bookmarkEnd w:id="70"/>
    <w:bookmarkEnd w:id="71"/>
    <w:p w14:paraId="21AC423B" w14:textId="77777777" w:rsidR="00F30755" w:rsidRPr="00570F0D" w:rsidRDefault="00F30755" w:rsidP="3F109544">
      <w:pPr>
        <w:spacing w:after="0"/>
        <w:jc w:val="both"/>
        <w:rPr>
          <w:rFonts w:ascii="Times New Roman" w:eastAsia="Times New Roman" w:hAnsi="Times New Roman" w:cs="Times New Roman"/>
          <w:noProof/>
          <w:sz w:val="24"/>
          <w:szCs w:val="24"/>
          <w:lang w:eastAsia="en-IE"/>
        </w:rPr>
      </w:pPr>
    </w:p>
    <w:p w14:paraId="7F9F53FB" w14:textId="5C8FC302" w:rsidR="00DA6AD5" w:rsidRPr="00955CE4" w:rsidRDefault="00A54509" w:rsidP="001C62C3">
      <w:pPr>
        <w:pStyle w:val="ListParagraph"/>
        <w:numPr>
          <w:ilvl w:val="0"/>
          <w:numId w:val="28"/>
        </w:numPr>
        <w:spacing w:after="0" w:line="240" w:lineRule="auto"/>
        <w:textAlignment w:val="baseline"/>
        <w:rPr>
          <w:rFonts w:ascii="Times New Roman" w:hAnsi="Times New Roman"/>
          <w:b/>
          <w:noProof/>
          <w:sz w:val="24"/>
        </w:rPr>
      </w:pPr>
      <w:r>
        <w:rPr>
          <w:rFonts w:ascii="Times New Roman" w:hAnsi="Times New Roman"/>
          <w:b/>
          <w:noProof/>
          <w:sz w:val="24"/>
        </w:rPr>
        <w:t>Ülevaade registreeritud kaubandus- ja investeerimistõketest 31. detsembri 2024. aasta seisuga</w:t>
      </w:r>
    </w:p>
    <w:p w14:paraId="60094D82" w14:textId="77777777" w:rsidR="001C62C3" w:rsidRPr="00756E4E" w:rsidRDefault="001C62C3" w:rsidP="001C62C3">
      <w:pPr>
        <w:pStyle w:val="ListParagraph"/>
        <w:spacing w:after="0" w:line="240" w:lineRule="auto"/>
        <w:ind w:left="1080"/>
        <w:textAlignment w:val="baseline"/>
        <w:rPr>
          <w:rFonts w:ascii="Times New Roman" w:hAnsi="Times New Roman"/>
          <w:noProof/>
          <w:sz w:val="24"/>
        </w:rPr>
      </w:pPr>
    </w:p>
    <w:p w14:paraId="5979B112" w14:textId="2EEA4C7E" w:rsidR="005E10AE" w:rsidRPr="00570F0D" w:rsidRDefault="006B6965" w:rsidP="001C62C3">
      <w:pPr>
        <w:spacing w:after="0"/>
        <w:jc w:val="both"/>
        <w:rPr>
          <w:rFonts w:ascii="Times New Roman" w:eastAsia="Times New Roman" w:hAnsi="Times New Roman" w:cs="Times New Roman"/>
          <w:noProof/>
          <w:color w:val="000000" w:themeColor="text1"/>
          <w:sz w:val="24"/>
          <w:szCs w:val="24"/>
        </w:rPr>
      </w:pPr>
      <w:bookmarkStart w:id="72" w:name="_Hlk198303843"/>
      <w:r>
        <w:rPr>
          <w:rFonts w:ascii="Times New Roman" w:hAnsi="Times New Roman"/>
          <w:noProof/>
          <w:color w:val="000000" w:themeColor="text1"/>
          <w:sz w:val="24"/>
        </w:rPr>
        <w:t xml:space="preserve">2024. aasta lõpuks oli komisjoni andmebaasis Access2Markets registreeritud </w:t>
      </w:r>
      <w:r>
        <w:rPr>
          <w:rFonts w:ascii="Times New Roman" w:hAnsi="Times New Roman"/>
          <w:b/>
          <w:noProof/>
          <w:color w:val="000000" w:themeColor="text1"/>
          <w:sz w:val="24"/>
        </w:rPr>
        <w:t>410 turulepääsu tõket 67 kolmandas riigis</w:t>
      </w:r>
      <w:r>
        <w:rPr>
          <w:rFonts w:ascii="Times New Roman" w:hAnsi="Times New Roman"/>
          <w:noProof/>
          <w:color w:val="000000" w:themeColor="text1"/>
          <w:sz w:val="24"/>
        </w:rPr>
        <w:t xml:space="preserve">. </w:t>
      </w:r>
      <w:bookmarkEnd w:id="72"/>
      <w:r>
        <w:rPr>
          <w:rFonts w:ascii="Times New Roman" w:hAnsi="Times New Roman"/>
          <w:noProof/>
          <w:color w:val="000000" w:themeColor="text1"/>
          <w:sz w:val="24"/>
        </w:rPr>
        <w:t>See oli 13 võrra vähem kui 2023. aasta lõpus registreeritud 423 tõket. Vähenemine näitas – nagu ka varasematel aastatel – kaheosalise lähenemisviisi rakendamist: esiteks aktiivset koostööd partnerriikidega ELi eksportijaid mõjutavate kaubandustõkete kõrvaldamiseks ning teiseks korrapäraseid andmebaasi läbivaatamisi eesmärgiga kõrvaldada sellest aegunud kanded, mis enam ei kajasta tegelikke turulepääsu tõkkeid.</w:t>
      </w:r>
    </w:p>
    <w:p w14:paraId="161475F5" w14:textId="77777777" w:rsidR="00A90F49" w:rsidRPr="00570F0D" w:rsidRDefault="00A90F49" w:rsidP="001C62C3">
      <w:pPr>
        <w:spacing w:after="0"/>
        <w:jc w:val="both"/>
        <w:rPr>
          <w:rFonts w:ascii="Times New Roman" w:eastAsia="Times New Roman" w:hAnsi="Times New Roman" w:cs="Times New Roman"/>
          <w:noProof/>
          <w:color w:val="000000" w:themeColor="text1"/>
          <w:sz w:val="24"/>
          <w:szCs w:val="24"/>
        </w:rPr>
      </w:pPr>
    </w:p>
    <w:p w14:paraId="70E42595" w14:textId="1EDCD4E7" w:rsidR="008F675E" w:rsidRPr="00955CE4" w:rsidRDefault="00A90F49" w:rsidP="63D42FF7">
      <w:pPr>
        <w:jc w:val="both"/>
        <w:rPr>
          <w:rFonts w:ascii="Times New Roman" w:hAnsi="Times New Roman"/>
          <w:noProof/>
          <w:color w:val="000000" w:themeColor="text1"/>
          <w:sz w:val="24"/>
        </w:rPr>
      </w:pPr>
      <w:r>
        <w:rPr>
          <w:rFonts w:ascii="Times New Roman" w:hAnsi="Times New Roman"/>
          <w:b/>
          <w:noProof/>
          <w:color w:val="000000" w:themeColor="text1"/>
          <w:sz w:val="24"/>
        </w:rPr>
        <w:t>Geograafilise jaotuse</w:t>
      </w:r>
      <w:r>
        <w:rPr>
          <w:rFonts w:ascii="Times New Roman" w:hAnsi="Times New Roman"/>
          <w:noProof/>
          <w:color w:val="000000" w:themeColor="text1"/>
          <w:sz w:val="24"/>
        </w:rPr>
        <w:t xml:space="preserve"> poolest registreeriti 2024. aastal suurim arv turulepääsu tõkkeid </w:t>
      </w:r>
      <w:r>
        <w:rPr>
          <w:rFonts w:ascii="Times New Roman" w:hAnsi="Times New Roman"/>
          <w:b/>
          <w:noProof/>
          <w:color w:val="000000" w:themeColor="text1"/>
          <w:sz w:val="24"/>
        </w:rPr>
        <w:t>Venemaal (32), Indias (31) ja Hiinas (30)</w:t>
      </w:r>
      <w:r>
        <w:rPr>
          <w:rFonts w:ascii="Times New Roman" w:hAnsi="Times New Roman"/>
          <w:noProof/>
          <w:color w:val="000000" w:themeColor="text1"/>
          <w:sz w:val="24"/>
        </w:rPr>
        <w:t>; neile järgnesid Ameerika Ühendriigid (24) ning Brasiilia ja Indoneesia (mõlemas 18). Üldpilt oli laias laastus 2023. aastaga sarnane, kuid esikolmiku järjestus muutus – Venemaa ja India möödusid Hiinast. Brasiilial ja Indoneesial oli taas võrdne arv tõkkeid. Muude kolmandate riikide seas oli kümme või enam tõket järgmistes: Lõuna-Korea (17), Türgi (14), Malaisia, Austraalia ja Alžeeria (igaühes 11), ning Mehhiko, Tai ja Maroko (igaühes 10). Nagu on näidatud joonisel 6, kehtestas 63 % kaubandustõketest partnerite rühm, kes ei kuulu ELi sooduskaubanduspartnerite hulka.</w:t>
      </w:r>
    </w:p>
    <w:p w14:paraId="0D35A976" w14:textId="328E257D" w:rsidR="003E1C81" w:rsidRPr="00955CE4" w:rsidRDefault="01CB7A47" w:rsidP="00A80A3F">
      <w:pPr>
        <w:rPr>
          <w:rFonts w:ascii="Times New Roman" w:hAnsi="Times New Roman"/>
          <w:b/>
          <w:noProof/>
          <w:sz w:val="24"/>
        </w:rPr>
      </w:pPr>
      <w:r>
        <w:rPr>
          <w:rFonts w:ascii="Times New Roman" w:hAnsi="Times New Roman"/>
          <w:b/>
          <w:noProof/>
          <w:sz w:val="24"/>
        </w:rPr>
        <w:t>Joonis 6.</w:t>
      </w:r>
      <w:r>
        <w:rPr>
          <w:rFonts w:ascii="Times New Roman" w:hAnsi="Times New Roman"/>
          <w:noProof/>
          <w:sz w:val="24"/>
        </w:rPr>
        <w:t xml:space="preserve"> </w:t>
      </w:r>
      <w:r>
        <w:rPr>
          <w:rFonts w:ascii="Times New Roman" w:hAnsi="Times New Roman"/>
          <w:b/>
          <w:noProof/>
          <w:sz w:val="24"/>
        </w:rPr>
        <w:t>Tõkete osakaal lepinguliikide kaupa</w:t>
      </w:r>
    </w:p>
    <w:p w14:paraId="5DECB6A7" w14:textId="17A5B264" w:rsidR="00667909" w:rsidRPr="00570F0D" w:rsidRDefault="003D67CB" w:rsidP="000D755C">
      <w:pPr>
        <w:spacing w:after="0" w:line="240" w:lineRule="auto"/>
        <w:jc w:val="center"/>
        <w:textAlignment w:val="baseline"/>
        <w:rPr>
          <w:rFonts w:ascii="Times New Roman" w:hAnsi="Times New Roman" w:cs="Times New Roman"/>
          <w:noProof/>
          <w:sz w:val="24"/>
          <w:szCs w:val="24"/>
        </w:rPr>
      </w:pPr>
      <w:r w:rsidRPr="00EC7C0E">
        <w:rPr>
          <w:rFonts w:ascii="Times New Roman" w:hAnsi="Times New Roman" w:cs="Times New Roman"/>
          <w:noProof/>
          <w:sz w:val="24"/>
          <w:szCs w:val="24"/>
          <w:lang w:val="en-GB" w:eastAsia="en-GB"/>
        </w:rPr>
        <w:drawing>
          <wp:inline distT="0" distB="0" distL="0" distR="0" wp14:anchorId="4AB974ED" wp14:editId="47C796B1">
            <wp:extent cx="5639587" cy="3419952"/>
            <wp:effectExtent l="0" t="0" r="0" b="9525"/>
            <wp:docPr id="1717508022" name="Picture 1" descr="A diagram of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08022" name="Picture 1" descr="A diagram of a circle with text&#10;&#10;AI-generated content may be incorrect."/>
                    <pic:cNvPicPr/>
                  </pic:nvPicPr>
                  <pic:blipFill>
                    <a:blip r:embed="rId29"/>
                    <a:stretch>
                      <a:fillRect/>
                    </a:stretch>
                  </pic:blipFill>
                  <pic:spPr>
                    <a:xfrm>
                      <a:off x="0" y="0"/>
                      <a:ext cx="5639587" cy="3419952"/>
                    </a:xfrm>
                    <a:prstGeom prst="rect">
                      <a:avLst/>
                    </a:prstGeom>
                  </pic:spPr>
                </pic:pic>
              </a:graphicData>
            </a:graphic>
          </wp:inline>
        </w:drawing>
      </w:r>
    </w:p>
    <w:p w14:paraId="768D383D" w14:textId="77777777" w:rsidR="00EA0301" w:rsidRPr="00955CE4" w:rsidRDefault="00EA0301" w:rsidP="00151B05">
      <w:pPr>
        <w:spacing w:after="0" w:line="240" w:lineRule="auto"/>
        <w:jc w:val="both"/>
        <w:textAlignment w:val="baseline"/>
        <w:rPr>
          <w:rFonts w:ascii="Times New Roman" w:hAnsi="Times New Roman"/>
          <w:noProof/>
          <w:sz w:val="24"/>
        </w:rPr>
      </w:pPr>
    </w:p>
    <w:p w14:paraId="27DD48B8" w14:textId="77777777" w:rsidR="00593852" w:rsidRPr="00955CE4" w:rsidRDefault="00593852" w:rsidP="00756E4E">
      <w:pPr>
        <w:jc w:val="both"/>
        <w:rPr>
          <w:rFonts w:ascii="Times New Roman" w:hAnsi="Times New Roman"/>
          <w:noProof/>
          <w:color w:val="000000" w:themeColor="text1"/>
          <w:sz w:val="24"/>
        </w:rPr>
      </w:pPr>
    </w:p>
    <w:p w14:paraId="7AA33F65" w14:textId="3098CAB7" w:rsidR="00A846DF" w:rsidRPr="00B43E2A" w:rsidRDefault="00107EBF" w:rsidP="00B43E2A">
      <w:pPr>
        <w:jc w:val="both"/>
        <w:rPr>
          <w:rFonts w:ascii="Times New Roman" w:hAnsi="Times New Roman"/>
          <w:b/>
          <w:noProof/>
          <w:color w:val="000000" w:themeColor="text1"/>
          <w:sz w:val="24"/>
        </w:rPr>
      </w:pPr>
      <w:r>
        <w:rPr>
          <w:rFonts w:ascii="Times New Roman" w:hAnsi="Times New Roman"/>
          <w:noProof/>
          <w:color w:val="000000" w:themeColor="text1"/>
          <w:sz w:val="24"/>
        </w:rPr>
        <w:t>Nagu on näidatud joonisel 7, moodustasid sanitaar- ja fütosanitaarmeetmed (SFS-meetmed) 2024. aastal suurima tõkkekategooria – kokku 93 tõket ehk 23 % kõigist registreeritud tõketest, sama palju kui 2024. aastal. Tehnilised kaubandustõkked olid suuruselt teine kategooria 79 tõkkega, samas kui tariifseid meetmeid, tariifiekvivalente ja koguselisi piirangud oli kokku 65. Kolm suurimat kategooriat kokku moodustasid 2024. aasta lõpu seisuga 58 % kõigist aktiivsetest kaubandustõketest.</w:t>
      </w:r>
    </w:p>
    <w:p w14:paraId="25322F88" w14:textId="77777777" w:rsidR="00B43E2A" w:rsidRDefault="00B43E2A" w:rsidP="00756E4E">
      <w:pPr>
        <w:spacing w:after="0"/>
        <w:rPr>
          <w:rFonts w:ascii="Times New Roman" w:hAnsi="Times New Roman"/>
          <w:b/>
          <w:noProof/>
          <w:color w:val="000000" w:themeColor="text1"/>
          <w:sz w:val="24"/>
        </w:rPr>
      </w:pPr>
    </w:p>
    <w:p w14:paraId="31F712C2" w14:textId="77777777" w:rsidR="00B43E2A" w:rsidRDefault="00B43E2A" w:rsidP="00756E4E">
      <w:pPr>
        <w:spacing w:after="0"/>
        <w:rPr>
          <w:rFonts w:ascii="Times New Roman" w:hAnsi="Times New Roman"/>
          <w:b/>
          <w:noProof/>
          <w:color w:val="000000" w:themeColor="text1"/>
          <w:sz w:val="24"/>
        </w:rPr>
      </w:pPr>
    </w:p>
    <w:p w14:paraId="3FC5FF96" w14:textId="77777777" w:rsidR="00B43E2A" w:rsidRDefault="00B43E2A" w:rsidP="00756E4E">
      <w:pPr>
        <w:spacing w:after="0"/>
        <w:rPr>
          <w:rFonts w:ascii="Times New Roman" w:hAnsi="Times New Roman"/>
          <w:b/>
          <w:noProof/>
          <w:color w:val="000000" w:themeColor="text1"/>
          <w:sz w:val="24"/>
        </w:rPr>
      </w:pPr>
    </w:p>
    <w:p w14:paraId="35CECD2C" w14:textId="77777777" w:rsidR="00B43E2A" w:rsidRDefault="00B43E2A" w:rsidP="00756E4E">
      <w:pPr>
        <w:spacing w:after="0"/>
        <w:rPr>
          <w:rFonts w:ascii="Times New Roman" w:hAnsi="Times New Roman"/>
          <w:b/>
          <w:noProof/>
          <w:color w:val="000000" w:themeColor="text1"/>
          <w:sz w:val="24"/>
        </w:rPr>
      </w:pPr>
    </w:p>
    <w:p w14:paraId="33B4B295" w14:textId="77777777" w:rsidR="00B43E2A" w:rsidRDefault="00B43E2A" w:rsidP="00756E4E">
      <w:pPr>
        <w:spacing w:after="0"/>
        <w:rPr>
          <w:rFonts w:ascii="Times New Roman" w:hAnsi="Times New Roman"/>
          <w:b/>
          <w:noProof/>
          <w:color w:val="000000" w:themeColor="text1"/>
          <w:sz w:val="24"/>
        </w:rPr>
      </w:pPr>
    </w:p>
    <w:p w14:paraId="7F1C0950" w14:textId="77777777" w:rsidR="00B43E2A" w:rsidRDefault="00B43E2A" w:rsidP="00756E4E">
      <w:pPr>
        <w:spacing w:after="0"/>
        <w:rPr>
          <w:rFonts w:ascii="Times New Roman" w:hAnsi="Times New Roman"/>
          <w:b/>
          <w:noProof/>
          <w:color w:val="000000" w:themeColor="text1"/>
          <w:sz w:val="24"/>
        </w:rPr>
      </w:pPr>
    </w:p>
    <w:p w14:paraId="1A32EEB4" w14:textId="3633DFC3" w:rsidR="00107EBF" w:rsidRPr="00955CE4" w:rsidRDefault="00107EBF" w:rsidP="00756E4E">
      <w:pPr>
        <w:spacing w:after="0"/>
        <w:rPr>
          <w:rFonts w:ascii="Times New Roman" w:hAnsi="Times New Roman"/>
          <w:b/>
          <w:noProof/>
          <w:color w:val="000000" w:themeColor="text1"/>
          <w:sz w:val="24"/>
        </w:rPr>
      </w:pPr>
      <w:r>
        <w:rPr>
          <w:rFonts w:ascii="Times New Roman" w:hAnsi="Times New Roman"/>
          <w:b/>
          <w:noProof/>
          <w:color w:val="000000" w:themeColor="text1"/>
          <w:sz w:val="24"/>
        </w:rPr>
        <w:t>Joonis 7. Tõkete liigid 2024. aasta lõpu seisuga</w:t>
      </w:r>
    </w:p>
    <w:p w14:paraId="6034BB8F" w14:textId="49513D09" w:rsidR="00107EBF" w:rsidRPr="00756E4E" w:rsidRDefault="00107EBF" w:rsidP="001435CE">
      <w:pPr>
        <w:spacing w:after="0" w:line="240" w:lineRule="auto"/>
        <w:jc w:val="both"/>
        <w:textAlignment w:val="baseline"/>
        <w:rPr>
          <w:rFonts w:ascii="Times New Roman" w:hAnsi="Times New Roman"/>
          <w:noProof/>
          <w:sz w:val="24"/>
        </w:rPr>
      </w:pPr>
    </w:p>
    <w:p w14:paraId="19D9A19F" w14:textId="16D61A0D" w:rsidR="00593852" w:rsidRPr="00570F0D" w:rsidRDefault="003D67CB" w:rsidP="001435CE">
      <w:pPr>
        <w:spacing w:after="0" w:line="240" w:lineRule="auto"/>
        <w:jc w:val="both"/>
        <w:textAlignment w:val="baseline"/>
        <w:rPr>
          <w:rFonts w:ascii="Times New Roman" w:eastAsia="Times New Roman" w:hAnsi="Times New Roman" w:cs="Times New Roman"/>
          <w:b/>
          <w:bCs/>
          <w:noProof/>
          <w:color w:val="000000" w:themeColor="text1"/>
          <w:sz w:val="24"/>
          <w:szCs w:val="24"/>
        </w:rPr>
      </w:pPr>
      <w:r w:rsidRPr="00431B94">
        <w:rPr>
          <w:rFonts w:ascii="Times New Roman" w:eastAsia="Times New Roman" w:hAnsi="Times New Roman" w:cs="Times New Roman"/>
          <w:b/>
          <w:bCs/>
          <w:noProof/>
          <w:color w:val="000000" w:themeColor="text1"/>
          <w:sz w:val="24"/>
          <w:szCs w:val="24"/>
          <w:lang w:val="en-GB" w:eastAsia="en-GB"/>
        </w:rPr>
        <w:drawing>
          <wp:inline distT="0" distB="0" distL="0" distR="0" wp14:anchorId="2EB215CD" wp14:editId="72A08D9F">
            <wp:extent cx="5760720" cy="3548380"/>
            <wp:effectExtent l="0" t="0" r="0" b="0"/>
            <wp:docPr id="276433927" name="Picture 1" descr="A pie chart with different colored circles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33927" name="Picture 1" descr="A pie chart with different colored circles with Crust in the background&#10;&#10;AI-generated content may be incorrect."/>
                    <pic:cNvPicPr/>
                  </pic:nvPicPr>
                  <pic:blipFill>
                    <a:blip r:embed="rId30"/>
                    <a:stretch>
                      <a:fillRect/>
                    </a:stretch>
                  </pic:blipFill>
                  <pic:spPr>
                    <a:xfrm>
                      <a:off x="0" y="0"/>
                      <a:ext cx="5760720" cy="3548380"/>
                    </a:xfrm>
                    <a:prstGeom prst="rect">
                      <a:avLst/>
                    </a:prstGeom>
                  </pic:spPr>
                </pic:pic>
              </a:graphicData>
            </a:graphic>
          </wp:inline>
        </w:drawing>
      </w:r>
    </w:p>
    <w:p w14:paraId="6F28ABBC" w14:textId="77777777" w:rsidR="0049727A" w:rsidRPr="00570F0D" w:rsidRDefault="0049727A" w:rsidP="00622E4B">
      <w:pPr>
        <w:jc w:val="both"/>
        <w:rPr>
          <w:rFonts w:ascii="Times New Roman" w:eastAsia="Times New Roman" w:hAnsi="Times New Roman" w:cs="Times New Roman"/>
          <w:noProof/>
          <w:color w:val="000000" w:themeColor="text1"/>
          <w:sz w:val="24"/>
          <w:szCs w:val="24"/>
        </w:rPr>
      </w:pPr>
    </w:p>
    <w:p w14:paraId="09D481E3" w14:textId="0EEF1218" w:rsidR="002F010B" w:rsidRPr="00955CE4" w:rsidRDefault="00107EBF" w:rsidP="00622E4B">
      <w:pPr>
        <w:jc w:val="both"/>
        <w:rPr>
          <w:rFonts w:ascii="Times New Roman" w:hAnsi="Times New Roman"/>
          <w:noProof/>
          <w:color w:val="000000" w:themeColor="text1"/>
          <w:sz w:val="24"/>
        </w:rPr>
      </w:pPr>
      <w:r>
        <w:rPr>
          <w:rFonts w:ascii="Times New Roman" w:hAnsi="Times New Roman"/>
          <w:noProof/>
          <w:color w:val="000000" w:themeColor="text1"/>
          <w:sz w:val="24"/>
        </w:rPr>
        <w:t xml:space="preserve">2024. aastal vähenes tõkete arv kahes kategoorias järsult: </w:t>
      </w:r>
      <w:r>
        <w:rPr>
          <w:rFonts w:ascii="Times New Roman" w:hAnsi="Times New Roman"/>
          <w:b/>
          <w:noProof/>
          <w:color w:val="000000" w:themeColor="text1"/>
          <w:sz w:val="24"/>
        </w:rPr>
        <w:t>tariifsete meetmete ja koguseliste piirangute puhul 70-lt 65-le ning ekspordimaksude ja -piirangute puhul 20-lt 16-le</w:t>
      </w:r>
      <w:r>
        <w:rPr>
          <w:rFonts w:ascii="Times New Roman" w:hAnsi="Times New Roman"/>
          <w:noProof/>
          <w:color w:val="000000" w:themeColor="text1"/>
          <w:sz w:val="24"/>
        </w:rPr>
        <w:t xml:space="preserve">. </w:t>
      </w:r>
      <w:r>
        <w:rPr>
          <w:rFonts w:ascii="Times New Roman" w:hAnsi="Times New Roman"/>
          <w:b/>
          <w:noProof/>
          <w:color w:val="000000" w:themeColor="text1"/>
          <w:sz w:val="24"/>
        </w:rPr>
        <w:t>Sanitaar- ja fütosanitaarmeetmed</w:t>
      </w:r>
      <w:r>
        <w:rPr>
          <w:rFonts w:ascii="Times New Roman" w:hAnsi="Times New Roman"/>
          <w:noProof/>
          <w:color w:val="000000" w:themeColor="text1"/>
          <w:sz w:val="24"/>
        </w:rPr>
        <w:t xml:space="preserve"> jätkasid samuti </w:t>
      </w:r>
      <w:r>
        <w:rPr>
          <w:rFonts w:ascii="Times New Roman" w:hAnsi="Times New Roman"/>
          <w:b/>
          <w:noProof/>
          <w:color w:val="000000" w:themeColor="text1"/>
          <w:sz w:val="24"/>
        </w:rPr>
        <w:t>langustrendi</w:t>
      </w:r>
      <w:r>
        <w:rPr>
          <w:rFonts w:ascii="Times New Roman" w:hAnsi="Times New Roman"/>
          <w:noProof/>
          <w:color w:val="000000" w:themeColor="text1"/>
          <w:sz w:val="24"/>
        </w:rPr>
        <w:t> – alates 2020. aastast on registreeritud koguvähenemine ligi 15 %, mis kinnitab viimase viie aasta suundumust. Samal perioodil vähenesid ka tariifsed meetmed ja koguselised piirangud ning haldusmenetlused 17 % võrra. Võrreldes 2020. aastaga registreeriti riigihangetega seotud tõkete 4 % suurune vähenemine.</w:t>
      </w:r>
    </w:p>
    <w:p w14:paraId="14BB5C15" w14:textId="0432C33C" w:rsidR="00034EE0" w:rsidRPr="00756E4E" w:rsidRDefault="6DDB94DA" w:rsidP="00463CCA">
      <w:pPr>
        <w:spacing w:after="0" w:line="240" w:lineRule="auto"/>
        <w:jc w:val="both"/>
        <w:textAlignment w:val="baseline"/>
        <w:rPr>
          <w:rFonts w:ascii="Times New Roman" w:hAnsi="Times New Roman"/>
          <w:noProof/>
          <w:sz w:val="24"/>
        </w:rPr>
      </w:pPr>
      <w:r>
        <w:rPr>
          <w:rFonts w:ascii="Times New Roman" w:hAnsi="Times New Roman"/>
          <w:noProof/>
          <w:color w:val="000000" w:themeColor="text1"/>
          <w:sz w:val="24"/>
        </w:rPr>
        <w:t>Tõkete arv kõigis teistes kategooriates jäi võrreldes 2020. aasta lõpu näitajatega üldjoontes samale tasemele.</w:t>
      </w:r>
    </w:p>
    <w:p w14:paraId="7752C227" w14:textId="352F12E3" w:rsidR="009C17BE" w:rsidRPr="00955CE4" w:rsidRDefault="009C17BE" w:rsidP="00756E4E">
      <w:pPr>
        <w:spacing w:after="0"/>
        <w:rPr>
          <w:rFonts w:ascii="Times New Roman" w:hAnsi="Times New Roman"/>
          <w:b/>
          <w:noProof/>
          <w:color w:val="000000" w:themeColor="text1"/>
          <w:sz w:val="24"/>
        </w:rPr>
      </w:pPr>
    </w:p>
    <w:p w14:paraId="34531E22" w14:textId="569B47C6" w:rsidR="002F010B" w:rsidRPr="00955CE4" w:rsidRDefault="00DF5139" w:rsidP="001C62C3">
      <w:pPr>
        <w:pStyle w:val="ListParagraph"/>
        <w:numPr>
          <w:ilvl w:val="0"/>
          <w:numId w:val="28"/>
        </w:numPr>
        <w:spacing w:after="0" w:line="240" w:lineRule="auto"/>
        <w:jc w:val="both"/>
        <w:textAlignment w:val="baseline"/>
        <w:rPr>
          <w:rFonts w:ascii="Times New Roman" w:hAnsi="Times New Roman"/>
          <w:b/>
          <w:noProof/>
          <w:color w:val="000000" w:themeColor="text1"/>
          <w:sz w:val="24"/>
        </w:rPr>
      </w:pPr>
      <w:r>
        <w:rPr>
          <w:rFonts w:ascii="Times New Roman" w:hAnsi="Times New Roman"/>
          <w:b/>
          <w:noProof/>
          <w:color w:val="000000" w:themeColor="text1"/>
          <w:sz w:val="24"/>
        </w:rPr>
        <w:t>Kaubandus- ja investeerimistõkete arvu suundumused aastatel 2020–2024</w:t>
      </w:r>
    </w:p>
    <w:p w14:paraId="65573C1C" w14:textId="77777777" w:rsidR="001C62C3" w:rsidRPr="00955CE4" w:rsidRDefault="001C62C3" w:rsidP="001C62C3">
      <w:pPr>
        <w:pStyle w:val="ListParagraph"/>
        <w:spacing w:after="0" w:line="240" w:lineRule="auto"/>
        <w:ind w:left="1080"/>
        <w:jc w:val="both"/>
        <w:textAlignment w:val="baseline"/>
        <w:rPr>
          <w:rFonts w:ascii="Times New Roman" w:hAnsi="Times New Roman"/>
          <w:b/>
          <w:noProof/>
          <w:color w:val="000000" w:themeColor="text1"/>
          <w:sz w:val="24"/>
        </w:rPr>
      </w:pPr>
    </w:p>
    <w:p w14:paraId="2B62E164" w14:textId="50EC8C55" w:rsidR="00107EBF" w:rsidRPr="00955CE4" w:rsidRDefault="6DDB94DA" w:rsidP="00756E4E">
      <w:pPr>
        <w:jc w:val="both"/>
        <w:rPr>
          <w:rFonts w:ascii="Times New Roman" w:hAnsi="Times New Roman"/>
          <w:noProof/>
          <w:color w:val="000000" w:themeColor="text1"/>
          <w:sz w:val="24"/>
        </w:rPr>
      </w:pPr>
      <w:r>
        <w:rPr>
          <w:rFonts w:ascii="Times New Roman" w:hAnsi="Times New Roman"/>
          <w:noProof/>
          <w:color w:val="000000" w:themeColor="text1"/>
          <w:sz w:val="24"/>
        </w:rPr>
        <w:t xml:space="preserve">2024. aastal kasvas </w:t>
      </w:r>
      <w:r>
        <w:rPr>
          <w:rFonts w:ascii="Times New Roman" w:hAnsi="Times New Roman"/>
          <w:b/>
          <w:noProof/>
          <w:color w:val="000000" w:themeColor="text1"/>
          <w:sz w:val="24"/>
        </w:rPr>
        <w:t>uute registreeritud tõkete arv 2023. aastaga võrreldes veelgi</w:t>
      </w:r>
      <w:r>
        <w:rPr>
          <w:rFonts w:ascii="Times New Roman" w:hAnsi="Times New Roman"/>
          <w:noProof/>
          <w:color w:val="000000" w:themeColor="text1"/>
          <w:sz w:val="24"/>
        </w:rPr>
        <w:t>, kuid jäi siiski oluliselt alla COVID-19-eelsele tasemele. 2024. aastal registreeriti kokku 23 uut tõket, võrreldes 16 tõkkega 2023. aastal.</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54"/>
        <w:gridCol w:w="1196"/>
        <w:gridCol w:w="1272"/>
        <w:gridCol w:w="1281"/>
        <w:gridCol w:w="1272"/>
        <w:gridCol w:w="1203"/>
      </w:tblGrid>
      <w:tr w:rsidR="3F109544" w:rsidRPr="00570F0D" w14:paraId="3862E106"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48ED577" w14:textId="7F7535B2" w:rsidR="3F109544" w:rsidRPr="00955CE4" w:rsidRDefault="00716643" w:rsidP="3F109544">
            <w:pPr>
              <w:spacing w:after="0"/>
              <w:jc w:val="center"/>
              <w:rPr>
                <w:rFonts w:ascii="Times New Roman" w:hAnsi="Times New Roman"/>
                <w:b/>
                <w:noProof/>
                <w:color w:val="000000" w:themeColor="text1"/>
                <w:sz w:val="24"/>
              </w:rPr>
            </w:pPr>
            <w:r>
              <w:rPr>
                <w:rFonts w:ascii="Times New Roman" w:hAnsi="Times New Roman"/>
                <w:b/>
                <w:noProof/>
                <w:color w:val="000000" w:themeColor="text1"/>
                <w:sz w:val="24"/>
              </w:rPr>
              <w:t>Kategooria</w:t>
            </w:r>
          </w:p>
        </w:tc>
        <w:tc>
          <w:tcPr>
            <w:tcW w:w="1196"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0E601E3" w14:textId="65534114" w:rsidR="3F109544" w:rsidRPr="00955CE4" w:rsidRDefault="3F109544" w:rsidP="3F109544">
            <w:pPr>
              <w:spacing w:after="0"/>
              <w:jc w:val="center"/>
              <w:rPr>
                <w:rFonts w:ascii="Times New Roman" w:hAnsi="Times New Roman"/>
                <w:b/>
                <w:noProof/>
                <w:color w:val="000000" w:themeColor="text1"/>
                <w:sz w:val="24"/>
              </w:rPr>
            </w:pPr>
            <w:r>
              <w:rPr>
                <w:rFonts w:ascii="Times New Roman" w:hAnsi="Times New Roman"/>
                <w:b/>
                <w:noProof/>
                <w:color w:val="000000" w:themeColor="text1"/>
                <w:sz w:val="24"/>
              </w:rPr>
              <w:t>2020</w:t>
            </w:r>
          </w:p>
        </w:tc>
        <w:tc>
          <w:tcPr>
            <w:tcW w:w="1272"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3A710C0" w14:textId="5CA34AFA" w:rsidR="3F109544" w:rsidRPr="00955CE4" w:rsidRDefault="3F109544" w:rsidP="3F109544">
            <w:pPr>
              <w:spacing w:after="0"/>
              <w:jc w:val="center"/>
              <w:rPr>
                <w:rFonts w:ascii="Times New Roman" w:hAnsi="Times New Roman"/>
                <w:b/>
                <w:noProof/>
                <w:color w:val="000000" w:themeColor="text1"/>
                <w:sz w:val="24"/>
              </w:rPr>
            </w:pPr>
            <w:r>
              <w:rPr>
                <w:rFonts w:ascii="Times New Roman" w:hAnsi="Times New Roman"/>
                <w:b/>
                <w:noProof/>
                <w:color w:val="000000" w:themeColor="text1"/>
                <w:sz w:val="24"/>
              </w:rPr>
              <w:t>2021</w:t>
            </w:r>
          </w:p>
        </w:tc>
        <w:tc>
          <w:tcPr>
            <w:tcW w:w="1281"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ECD695F" w14:textId="44BB6832" w:rsidR="3F109544" w:rsidRPr="00955CE4" w:rsidRDefault="3F109544" w:rsidP="3F109544">
            <w:pPr>
              <w:spacing w:after="0"/>
              <w:jc w:val="center"/>
              <w:rPr>
                <w:rFonts w:ascii="Times New Roman" w:hAnsi="Times New Roman"/>
                <w:b/>
                <w:noProof/>
                <w:color w:val="000000" w:themeColor="text1"/>
                <w:sz w:val="24"/>
              </w:rPr>
            </w:pPr>
            <w:r>
              <w:rPr>
                <w:rFonts w:ascii="Times New Roman" w:hAnsi="Times New Roman"/>
                <w:b/>
                <w:noProof/>
                <w:color w:val="000000" w:themeColor="text1"/>
                <w:sz w:val="24"/>
              </w:rPr>
              <w:t>2022</w:t>
            </w:r>
          </w:p>
        </w:tc>
        <w:tc>
          <w:tcPr>
            <w:tcW w:w="1272"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A23C164" w14:textId="5139CAD1" w:rsidR="3F109544" w:rsidRPr="00955CE4" w:rsidRDefault="3F109544" w:rsidP="3F109544">
            <w:pPr>
              <w:spacing w:after="0"/>
              <w:jc w:val="center"/>
              <w:rPr>
                <w:rFonts w:ascii="Times New Roman" w:hAnsi="Times New Roman"/>
                <w:b/>
                <w:noProof/>
                <w:color w:val="000000" w:themeColor="text1"/>
                <w:sz w:val="24"/>
              </w:rPr>
            </w:pPr>
            <w:r>
              <w:rPr>
                <w:rFonts w:ascii="Times New Roman" w:hAnsi="Times New Roman"/>
                <w:b/>
                <w:noProof/>
                <w:color w:val="000000" w:themeColor="text1"/>
                <w:sz w:val="24"/>
              </w:rPr>
              <w:t>2023</w:t>
            </w:r>
          </w:p>
        </w:tc>
        <w:tc>
          <w:tcPr>
            <w:tcW w:w="1203"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1033E4E" w14:textId="2ABCA403" w:rsidR="3F109544" w:rsidRPr="00955CE4" w:rsidRDefault="3F109544" w:rsidP="3F109544">
            <w:pPr>
              <w:spacing w:after="0"/>
              <w:jc w:val="center"/>
              <w:rPr>
                <w:rFonts w:ascii="Times New Roman" w:hAnsi="Times New Roman"/>
                <w:b/>
                <w:noProof/>
                <w:color w:val="000000" w:themeColor="text1"/>
                <w:sz w:val="24"/>
              </w:rPr>
            </w:pPr>
            <w:r>
              <w:rPr>
                <w:rFonts w:ascii="Times New Roman" w:hAnsi="Times New Roman"/>
                <w:b/>
                <w:noProof/>
                <w:color w:val="000000" w:themeColor="text1"/>
                <w:sz w:val="24"/>
              </w:rPr>
              <w:t>2024</w:t>
            </w:r>
          </w:p>
        </w:tc>
      </w:tr>
      <w:tr w:rsidR="3F109544" w:rsidRPr="00570F0D" w14:paraId="407EB2B0"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tcPr>
          <w:p w14:paraId="1A907C29" w14:textId="1F1F5FEB"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noProof/>
                <w:color w:val="000000" w:themeColor="text1"/>
                <w:sz w:val="24"/>
              </w:rPr>
              <w:t xml:space="preserve">Sanitaar- ja fütosanitaarmeetmed </w:t>
            </w:r>
          </w:p>
        </w:tc>
        <w:tc>
          <w:tcPr>
            <w:tcW w:w="1196" w:type="dxa"/>
            <w:tcBorders>
              <w:top w:val="single" w:sz="8" w:space="0" w:color="auto"/>
              <w:left w:val="single" w:sz="8" w:space="0" w:color="auto"/>
              <w:bottom w:val="single" w:sz="8" w:space="0" w:color="auto"/>
              <w:right w:val="single" w:sz="8" w:space="0" w:color="auto"/>
            </w:tcBorders>
          </w:tcPr>
          <w:p w14:paraId="159AF80D" w14:textId="615FB00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13 </w:t>
            </w:r>
          </w:p>
        </w:tc>
        <w:tc>
          <w:tcPr>
            <w:tcW w:w="1272" w:type="dxa"/>
            <w:tcBorders>
              <w:top w:val="single" w:sz="8" w:space="0" w:color="auto"/>
              <w:left w:val="single" w:sz="8" w:space="0" w:color="auto"/>
              <w:bottom w:val="single" w:sz="8" w:space="0" w:color="auto"/>
              <w:right w:val="single" w:sz="8" w:space="0" w:color="auto"/>
            </w:tcBorders>
          </w:tcPr>
          <w:p w14:paraId="6A5EBB68" w14:textId="6A3C936A"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2 </w:t>
            </w:r>
          </w:p>
        </w:tc>
        <w:tc>
          <w:tcPr>
            <w:tcW w:w="1281" w:type="dxa"/>
            <w:tcBorders>
              <w:top w:val="single" w:sz="8" w:space="0" w:color="auto"/>
              <w:left w:val="single" w:sz="8" w:space="0" w:color="auto"/>
              <w:bottom w:val="single" w:sz="8" w:space="0" w:color="auto"/>
              <w:right w:val="single" w:sz="8" w:space="0" w:color="auto"/>
            </w:tcBorders>
          </w:tcPr>
          <w:p w14:paraId="172E8A11" w14:textId="4C369DD3"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3 </w:t>
            </w:r>
          </w:p>
        </w:tc>
        <w:tc>
          <w:tcPr>
            <w:tcW w:w="1272" w:type="dxa"/>
            <w:tcBorders>
              <w:top w:val="single" w:sz="8" w:space="0" w:color="auto"/>
              <w:left w:val="single" w:sz="8" w:space="0" w:color="auto"/>
              <w:bottom w:val="single" w:sz="8" w:space="0" w:color="auto"/>
              <w:right w:val="single" w:sz="8" w:space="0" w:color="auto"/>
            </w:tcBorders>
          </w:tcPr>
          <w:p w14:paraId="1085E857" w14:textId="12C79857"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3 </w:t>
            </w:r>
          </w:p>
        </w:tc>
        <w:tc>
          <w:tcPr>
            <w:tcW w:w="1203" w:type="dxa"/>
            <w:tcBorders>
              <w:top w:val="single" w:sz="8" w:space="0" w:color="auto"/>
              <w:left w:val="single" w:sz="8" w:space="0" w:color="auto"/>
              <w:bottom w:val="single" w:sz="8" w:space="0" w:color="auto"/>
              <w:right w:val="single" w:sz="8" w:space="0" w:color="auto"/>
            </w:tcBorders>
          </w:tcPr>
          <w:p w14:paraId="09A6A313" w14:textId="79FEC493" w:rsidR="3F109544" w:rsidRPr="00955CE4" w:rsidRDefault="3F109544" w:rsidP="3F109544">
            <w:pPr>
              <w:spacing w:after="0"/>
              <w:jc w:val="right"/>
              <w:rPr>
                <w:rFonts w:ascii="Times New Roman" w:hAnsi="Times New Roman"/>
                <w:noProof/>
                <w:color w:val="000000" w:themeColor="text1"/>
                <w:sz w:val="24"/>
                <w:highlight w:val="yellow"/>
              </w:rPr>
            </w:pPr>
            <w:r>
              <w:rPr>
                <w:rFonts w:ascii="Times New Roman" w:hAnsi="Times New Roman"/>
                <w:noProof/>
                <w:color w:val="000000" w:themeColor="text1"/>
                <w:sz w:val="24"/>
              </w:rPr>
              <w:t>9</w:t>
            </w:r>
          </w:p>
        </w:tc>
      </w:tr>
      <w:tr w:rsidR="3F109544" w:rsidRPr="00570F0D" w14:paraId="5A5BBE44"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tcPr>
          <w:p w14:paraId="307563A2" w14:textId="16E65BF4"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noProof/>
                <w:color w:val="000000" w:themeColor="text1"/>
                <w:sz w:val="24"/>
              </w:rPr>
              <w:t xml:space="preserve">Tehnilised kaubandustõkked </w:t>
            </w:r>
          </w:p>
        </w:tc>
        <w:tc>
          <w:tcPr>
            <w:tcW w:w="1196" w:type="dxa"/>
            <w:tcBorders>
              <w:top w:val="single" w:sz="8" w:space="0" w:color="auto"/>
              <w:left w:val="single" w:sz="8" w:space="0" w:color="auto"/>
              <w:bottom w:val="single" w:sz="8" w:space="0" w:color="auto"/>
              <w:right w:val="single" w:sz="8" w:space="0" w:color="auto"/>
            </w:tcBorders>
          </w:tcPr>
          <w:p w14:paraId="653FE84A" w14:textId="4E99D750"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5 </w:t>
            </w:r>
          </w:p>
        </w:tc>
        <w:tc>
          <w:tcPr>
            <w:tcW w:w="1272" w:type="dxa"/>
            <w:tcBorders>
              <w:top w:val="single" w:sz="8" w:space="0" w:color="auto"/>
              <w:left w:val="single" w:sz="8" w:space="0" w:color="auto"/>
              <w:bottom w:val="single" w:sz="8" w:space="0" w:color="auto"/>
              <w:right w:val="single" w:sz="8" w:space="0" w:color="auto"/>
            </w:tcBorders>
          </w:tcPr>
          <w:p w14:paraId="5C0EABCE" w14:textId="3D2747C2"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6 </w:t>
            </w:r>
          </w:p>
        </w:tc>
        <w:tc>
          <w:tcPr>
            <w:tcW w:w="1281" w:type="dxa"/>
            <w:tcBorders>
              <w:top w:val="single" w:sz="8" w:space="0" w:color="auto"/>
              <w:left w:val="single" w:sz="8" w:space="0" w:color="auto"/>
              <w:bottom w:val="single" w:sz="8" w:space="0" w:color="auto"/>
              <w:right w:val="single" w:sz="8" w:space="0" w:color="auto"/>
            </w:tcBorders>
          </w:tcPr>
          <w:p w14:paraId="63064C0F" w14:textId="589B385A"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2 </w:t>
            </w:r>
          </w:p>
        </w:tc>
        <w:tc>
          <w:tcPr>
            <w:tcW w:w="1272" w:type="dxa"/>
            <w:tcBorders>
              <w:top w:val="single" w:sz="8" w:space="0" w:color="auto"/>
              <w:left w:val="single" w:sz="8" w:space="0" w:color="auto"/>
              <w:bottom w:val="single" w:sz="8" w:space="0" w:color="auto"/>
              <w:right w:val="single" w:sz="8" w:space="0" w:color="auto"/>
            </w:tcBorders>
          </w:tcPr>
          <w:p w14:paraId="31E55464" w14:textId="5359AFC8"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3 </w:t>
            </w:r>
          </w:p>
        </w:tc>
        <w:tc>
          <w:tcPr>
            <w:tcW w:w="1203" w:type="dxa"/>
            <w:tcBorders>
              <w:top w:val="single" w:sz="8" w:space="0" w:color="auto"/>
              <w:left w:val="single" w:sz="8" w:space="0" w:color="auto"/>
              <w:bottom w:val="single" w:sz="8" w:space="0" w:color="auto"/>
              <w:right w:val="single" w:sz="8" w:space="0" w:color="auto"/>
            </w:tcBorders>
          </w:tcPr>
          <w:p w14:paraId="0F6665EB" w14:textId="15C6B9F3"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5</w:t>
            </w:r>
          </w:p>
        </w:tc>
      </w:tr>
      <w:tr w:rsidR="3F109544" w:rsidRPr="00570F0D" w14:paraId="6B85F4E3"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tcPr>
          <w:p w14:paraId="5B5F3571" w14:textId="051B00C6"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noProof/>
                <w:color w:val="000000" w:themeColor="text1"/>
                <w:sz w:val="24"/>
              </w:rPr>
              <w:t xml:space="preserve">Tariifid ja samaväärsed meetmed ning koguselised piirangud </w:t>
            </w:r>
          </w:p>
        </w:tc>
        <w:tc>
          <w:tcPr>
            <w:tcW w:w="1196" w:type="dxa"/>
            <w:tcBorders>
              <w:top w:val="single" w:sz="8" w:space="0" w:color="auto"/>
              <w:left w:val="single" w:sz="8" w:space="0" w:color="auto"/>
              <w:bottom w:val="single" w:sz="8" w:space="0" w:color="auto"/>
              <w:right w:val="single" w:sz="8" w:space="0" w:color="auto"/>
            </w:tcBorders>
          </w:tcPr>
          <w:p w14:paraId="60686DC6" w14:textId="2B81B27F"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5 </w:t>
            </w:r>
          </w:p>
        </w:tc>
        <w:tc>
          <w:tcPr>
            <w:tcW w:w="1272" w:type="dxa"/>
            <w:tcBorders>
              <w:top w:val="single" w:sz="8" w:space="0" w:color="auto"/>
              <w:left w:val="single" w:sz="8" w:space="0" w:color="auto"/>
              <w:bottom w:val="single" w:sz="8" w:space="0" w:color="auto"/>
              <w:right w:val="single" w:sz="8" w:space="0" w:color="auto"/>
            </w:tcBorders>
          </w:tcPr>
          <w:p w14:paraId="4EAF7A80" w14:textId="346A2E8E"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2 </w:t>
            </w:r>
          </w:p>
        </w:tc>
        <w:tc>
          <w:tcPr>
            <w:tcW w:w="1281" w:type="dxa"/>
            <w:tcBorders>
              <w:top w:val="single" w:sz="8" w:space="0" w:color="auto"/>
              <w:left w:val="single" w:sz="8" w:space="0" w:color="auto"/>
              <w:bottom w:val="single" w:sz="8" w:space="0" w:color="auto"/>
              <w:right w:val="single" w:sz="8" w:space="0" w:color="auto"/>
            </w:tcBorders>
          </w:tcPr>
          <w:p w14:paraId="516163BB" w14:textId="1DABA7C2"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3 </w:t>
            </w:r>
          </w:p>
        </w:tc>
        <w:tc>
          <w:tcPr>
            <w:tcW w:w="1272" w:type="dxa"/>
            <w:tcBorders>
              <w:top w:val="single" w:sz="8" w:space="0" w:color="auto"/>
              <w:left w:val="single" w:sz="8" w:space="0" w:color="auto"/>
              <w:bottom w:val="single" w:sz="8" w:space="0" w:color="auto"/>
              <w:right w:val="single" w:sz="8" w:space="0" w:color="auto"/>
            </w:tcBorders>
          </w:tcPr>
          <w:p w14:paraId="24FE7989" w14:textId="651BB1A5"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4 </w:t>
            </w:r>
          </w:p>
        </w:tc>
        <w:tc>
          <w:tcPr>
            <w:tcW w:w="1203" w:type="dxa"/>
            <w:tcBorders>
              <w:top w:val="single" w:sz="8" w:space="0" w:color="auto"/>
              <w:left w:val="single" w:sz="8" w:space="0" w:color="auto"/>
              <w:bottom w:val="single" w:sz="8" w:space="0" w:color="auto"/>
              <w:right w:val="single" w:sz="8" w:space="0" w:color="auto"/>
            </w:tcBorders>
          </w:tcPr>
          <w:p w14:paraId="7861F0FA" w14:textId="5760F91E"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2</w:t>
            </w:r>
          </w:p>
        </w:tc>
      </w:tr>
      <w:tr w:rsidR="3F109544" w:rsidRPr="00570F0D" w14:paraId="68733CB3"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tcPr>
          <w:p w14:paraId="255A2ADA" w14:textId="06016495"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noProof/>
                <w:color w:val="000000" w:themeColor="text1"/>
                <w:sz w:val="24"/>
              </w:rPr>
              <w:t xml:space="preserve">Haldusmenetlused </w:t>
            </w:r>
          </w:p>
        </w:tc>
        <w:tc>
          <w:tcPr>
            <w:tcW w:w="1196" w:type="dxa"/>
            <w:tcBorders>
              <w:top w:val="single" w:sz="8" w:space="0" w:color="auto"/>
              <w:left w:val="single" w:sz="8" w:space="0" w:color="auto"/>
              <w:bottom w:val="single" w:sz="8" w:space="0" w:color="auto"/>
              <w:right w:val="single" w:sz="8" w:space="0" w:color="auto"/>
            </w:tcBorders>
          </w:tcPr>
          <w:p w14:paraId="4B233D08" w14:textId="178E316F"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5 </w:t>
            </w:r>
          </w:p>
        </w:tc>
        <w:tc>
          <w:tcPr>
            <w:tcW w:w="1272" w:type="dxa"/>
            <w:tcBorders>
              <w:top w:val="single" w:sz="8" w:space="0" w:color="auto"/>
              <w:left w:val="single" w:sz="8" w:space="0" w:color="auto"/>
              <w:bottom w:val="single" w:sz="8" w:space="0" w:color="auto"/>
              <w:right w:val="single" w:sz="8" w:space="0" w:color="auto"/>
            </w:tcBorders>
          </w:tcPr>
          <w:p w14:paraId="6683FA12" w14:textId="7EE5F665"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1281" w:type="dxa"/>
            <w:tcBorders>
              <w:top w:val="single" w:sz="8" w:space="0" w:color="auto"/>
              <w:left w:val="single" w:sz="8" w:space="0" w:color="auto"/>
              <w:bottom w:val="single" w:sz="8" w:space="0" w:color="auto"/>
              <w:right w:val="single" w:sz="8" w:space="0" w:color="auto"/>
            </w:tcBorders>
          </w:tcPr>
          <w:p w14:paraId="15FF3DE4" w14:textId="572A74D4"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72" w:type="dxa"/>
            <w:tcBorders>
              <w:top w:val="single" w:sz="8" w:space="0" w:color="auto"/>
              <w:left w:val="single" w:sz="8" w:space="0" w:color="auto"/>
              <w:bottom w:val="single" w:sz="8" w:space="0" w:color="auto"/>
              <w:right w:val="single" w:sz="8" w:space="0" w:color="auto"/>
            </w:tcBorders>
          </w:tcPr>
          <w:p w14:paraId="2E215C2C" w14:textId="12D0D7D6"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4 </w:t>
            </w:r>
          </w:p>
        </w:tc>
        <w:tc>
          <w:tcPr>
            <w:tcW w:w="1203" w:type="dxa"/>
            <w:tcBorders>
              <w:top w:val="single" w:sz="8" w:space="0" w:color="auto"/>
              <w:left w:val="single" w:sz="8" w:space="0" w:color="auto"/>
              <w:bottom w:val="single" w:sz="8" w:space="0" w:color="auto"/>
              <w:right w:val="single" w:sz="8" w:space="0" w:color="auto"/>
            </w:tcBorders>
          </w:tcPr>
          <w:p w14:paraId="5B6B9881" w14:textId="262A701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2</w:t>
            </w:r>
          </w:p>
        </w:tc>
      </w:tr>
      <w:tr w:rsidR="3F109544" w:rsidRPr="00570F0D" w14:paraId="4550D98D"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tcPr>
          <w:p w14:paraId="088EA768" w14:textId="71F9A2BC"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noProof/>
                <w:color w:val="000000" w:themeColor="text1"/>
                <w:sz w:val="24"/>
              </w:rPr>
              <w:t xml:space="preserve">Teenused ja investeeringud </w:t>
            </w:r>
          </w:p>
        </w:tc>
        <w:tc>
          <w:tcPr>
            <w:tcW w:w="1196" w:type="dxa"/>
            <w:tcBorders>
              <w:top w:val="single" w:sz="8" w:space="0" w:color="auto"/>
              <w:left w:val="single" w:sz="8" w:space="0" w:color="auto"/>
              <w:bottom w:val="single" w:sz="8" w:space="0" w:color="auto"/>
              <w:right w:val="single" w:sz="8" w:space="0" w:color="auto"/>
            </w:tcBorders>
          </w:tcPr>
          <w:p w14:paraId="60913A44" w14:textId="0E561B93"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4 </w:t>
            </w:r>
          </w:p>
        </w:tc>
        <w:tc>
          <w:tcPr>
            <w:tcW w:w="1272" w:type="dxa"/>
            <w:tcBorders>
              <w:top w:val="single" w:sz="8" w:space="0" w:color="auto"/>
              <w:left w:val="single" w:sz="8" w:space="0" w:color="auto"/>
              <w:bottom w:val="single" w:sz="8" w:space="0" w:color="auto"/>
              <w:right w:val="single" w:sz="8" w:space="0" w:color="auto"/>
            </w:tcBorders>
          </w:tcPr>
          <w:p w14:paraId="53E4C294" w14:textId="74E7AB2A"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1281" w:type="dxa"/>
            <w:tcBorders>
              <w:top w:val="single" w:sz="8" w:space="0" w:color="auto"/>
              <w:left w:val="single" w:sz="8" w:space="0" w:color="auto"/>
              <w:bottom w:val="single" w:sz="8" w:space="0" w:color="auto"/>
              <w:right w:val="single" w:sz="8" w:space="0" w:color="auto"/>
            </w:tcBorders>
          </w:tcPr>
          <w:p w14:paraId="3F4F75DF" w14:textId="08E0DC25"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72" w:type="dxa"/>
            <w:tcBorders>
              <w:top w:val="single" w:sz="8" w:space="0" w:color="auto"/>
              <w:left w:val="single" w:sz="8" w:space="0" w:color="auto"/>
              <w:bottom w:val="single" w:sz="8" w:space="0" w:color="auto"/>
              <w:right w:val="single" w:sz="8" w:space="0" w:color="auto"/>
            </w:tcBorders>
          </w:tcPr>
          <w:p w14:paraId="767A150F" w14:textId="07F2EB8F"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03" w:type="dxa"/>
            <w:tcBorders>
              <w:top w:val="single" w:sz="8" w:space="0" w:color="auto"/>
              <w:left w:val="single" w:sz="8" w:space="0" w:color="auto"/>
              <w:bottom w:val="single" w:sz="8" w:space="0" w:color="auto"/>
              <w:right w:val="single" w:sz="8" w:space="0" w:color="auto"/>
            </w:tcBorders>
          </w:tcPr>
          <w:p w14:paraId="4CB3DC08" w14:textId="4DD175D1"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4</w:t>
            </w:r>
          </w:p>
        </w:tc>
      </w:tr>
      <w:tr w:rsidR="3F109544" w:rsidRPr="00570F0D" w14:paraId="5371D9FC"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tcPr>
          <w:p w14:paraId="0505B648" w14:textId="5ADD1A48"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noProof/>
                <w:color w:val="000000" w:themeColor="text1"/>
                <w:sz w:val="24"/>
              </w:rPr>
              <w:t>Muud meetmed</w:t>
            </w:r>
            <w:r>
              <w:rPr>
                <w:rFonts w:ascii="Times New Roman" w:hAnsi="Times New Roman"/>
                <w:noProof/>
                <w:color w:val="000000" w:themeColor="text1"/>
                <w:sz w:val="24"/>
                <w:vertAlign w:val="superscript"/>
              </w:rPr>
              <w:t>55</w:t>
            </w:r>
            <w:r>
              <w:rPr>
                <w:rFonts w:ascii="Times New Roman" w:hAnsi="Times New Roman"/>
                <w:noProof/>
                <w:color w:val="000000" w:themeColor="text1"/>
                <w:sz w:val="24"/>
              </w:rPr>
              <w:t xml:space="preserve"> </w:t>
            </w:r>
          </w:p>
        </w:tc>
        <w:tc>
          <w:tcPr>
            <w:tcW w:w="1196" w:type="dxa"/>
            <w:tcBorders>
              <w:top w:val="single" w:sz="8" w:space="0" w:color="auto"/>
              <w:left w:val="single" w:sz="8" w:space="0" w:color="auto"/>
              <w:bottom w:val="single" w:sz="8" w:space="0" w:color="auto"/>
              <w:right w:val="single" w:sz="8" w:space="0" w:color="auto"/>
            </w:tcBorders>
          </w:tcPr>
          <w:p w14:paraId="4DB75ABF" w14:textId="4BC04236"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4 </w:t>
            </w:r>
          </w:p>
        </w:tc>
        <w:tc>
          <w:tcPr>
            <w:tcW w:w="1272" w:type="dxa"/>
            <w:tcBorders>
              <w:top w:val="single" w:sz="8" w:space="0" w:color="auto"/>
              <w:left w:val="single" w:sz="8" w:space="0" w:color="auto"/>
              <w:bottom w:val="single" w:sz="8" w:space="0" w:color="auto"/>
              <w:right w:val="single" w:sz="8" w:space="0" w:color="auto"/>
            </w:tcBorders>
          </w:tcPr>
          <w:p w14:paraId="26FA6A03" w14:textId="70F4F904"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2 </w:t>
            </w:r>
          </w:p>
        </w:tc>
        <w:tc>
          <w:tcPr>
            <w:tcW w:w="1281" w:type="dxa"/>
            <w:tcBorders>
              <w:top w:val="single" w:sz="8" w:space="0" w:color="auto"/>
              <w:left w:val="single" w:sz="8" w:space="0" w:color="auto"/>
              <w:bottom w:val="single" w:sz="8" w:space="0" w:color="auto"/>
              <w:right w:val="single" w:sz="8" w:space="0" w:color="auto"/>
            </w:tcBorders>
          </w:tcPr>
          <w:p w14:paraId="219DBF3E" w14:textId="01020B37"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72" w:type="dxa"/>
            <w:tcBorders>
              <w:top w:val="single" w:sz="8" w:space="0" w:color="auto"/>
              <w:left w:val="single" w:sz="8" w:space="0" w:color="auto"/>
              <w:bottom w:val="single" w:sz="8" w:space="0" w:color="auto"/>
              <w:right w:val="single" w:sz="8" w:space="0" w:color="auto"/>
            </w:tcBorders>
          </w:tcPr>
          <w:p w14:paraId="2B11CBAA" w14:textId="4674DABA"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03" w:type="dxa"/>
            <w:tcBorders>
              <w:top w:val="single" w:sz="8" w:space="0" w:color="auto"/>
              <w:left w:val="single" w:sz="8" w:space="0" w:color="auto"/>
              <w:bottom w:val="single" w:sz="8" w:space="0" w:color="auto"/>
              <w:right w:val="single" w:sz="8" w:space="0" w:color="auto"/>
            </w:tcBorders>
          </w:tcPr>
          <w:p w14:paraId="10537205" w14:textId="45B201C9"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r>
      <w:tr w:rsidR="3F109544" w:rsidRPr="00570F0D" w14:paraId="635E768D"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tcPr>
          <w:p w14:paraId="4B3F8B75" w14:textId="758C520B"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noProof/>
                <w:color w:val="000000" w:themeColor="text1"/>
                <w:sz w:val="24"/>
              </w:rPr>
              <w:t xml:space="preserve">Intellektuaalomandi õigused </w:t>
            </w:r>
          </w:p>
        </w:tc>
        <w:tc>
          <w:tcPr>
            <w:tcW w:w="1196" w:type="dxa"/>
            <w:tcBorders>
              <w:top w:val="single" w:sz="8" w:space="0" w:color="auto"/>
              <w:left w:val="single" w:sz="8" w:space="0" w:color="auto"/>
              <w:bottom w:val="single" w:sz="8" w:space="0" w:color="auto"/>
              <w:right w:val="single" w:sz="8" w:space="0" w:color="auto"/>
            </w:tcBorders>
          </w:tcPr>
          <w:p w14:paraId="68760026" w14:textId="466CD0D1"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1272" w:type="dxa"/>
            <w:tcBorders>
              <w:top w:val="single" w:sz="8" w:space="0" w:color="auto"/>
              <w:left w:val="single" w:sz="8" w:space="0" w:color="auto"/>
              <w:bottom w:val="single" w:sz="8" w:space="0" w:color="auto"/>
              <w:right w:val="single" w:sz="8" w:space="0" w:color="auto"/>
            </w:tcBorders>
          </w:tcPr>
          <w:p w14:paraId="3CA58BB7" w14:textId="44920EF3"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81" w:type="dxa"/>
            <w:tcBorders>
              <w:top w:val="single" w:sz="8" w:space="0" w:color="auto"/>
              <w:left w:val="single" w:sz="8" w:space="0" w:color="auto"/>
              <w:bottom w:val="single" w:sz="8" w:space="0" w:color="auto"/>
              <w:right w:val="single" w:sz="8" w:space="0" w:color="auto"/>
            </w:tcBorders>
          </w:tcPr>
          <w:p w14:paraId="2FBF8E1B" w14:textId="7F28E2A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2 </w:t>
            </w:r>
          </w:p>
        </w:tc>
        <w:tc>
          <w:tcPr>
            <w:tcW w:w="1272" w:type="dxa"/>
            <w:tcBorders>
              <w:top w:val="single" w:sz="8" w:space="0" w:color="auto"/>
              <w:left w:val="single" w:sz="8" w:space="0" w:color="auto"/>
              <w:bottom w:val="single" w:sz="8" w:space="0" w:color="auto"/>
              <w:right w:val="single" w:sz="8" w:space="0" w:color="auto"/>
            </w:tcBorders>
          </w:tcPr>
          <w:p w14:paraId="4A243935" w14:textId="6DE5EFCD"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03" w:type="dxa"/>
            <w:tcBorders>
              <w:top w:val="single" w:sz="8" w:space="0" w:color="auto"/>
              <w:left w:val="single" w:sz="8" w:space="0" w:color="auto"/>
              <w:bottom w:val="single" w:sz="8" w:space="0" w:color="auto"/>
              <w:right w:val="single" w:sz="8" w:space="0" w:color="auto"/>
            </w:tcBorders>
          </w:tcPr>
          <w:p w14:paraId="6DFBE410" w14:textId="085EEAE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1</w:t>
            </w:r>
          </w:p>
        </w:tc>
      </w:tr>
      <w:tr w:rsidR="3F109544" w:rsidRPr="00570F0D" w14:paraId="2AF5B977" w14:textId="77777777" w:rsidTr="00756E4E">
        <w:trPr>
          <w:trHeight w:val="574"/>
        </w:trPr>
        <w:tc>
          <w:tcPr>
            <w:tcW w:w="2654" w:type="dxa"/>
            <w:tcBorders>
              <w:top w:val="single" w:sz="8" w:space="0" w:color="auto"/>
              <w:left w:val="single" w:sz="8" w:space="0" w:color="auto"/>
              <w:bottom w:val="single" w:sz="8" w:space="0" w:color="auto"/>
              <w:right w:val="single" w:sz="8" w:space="0" w:color="auto"/>
            </w:tcBorders>
          </w:tcPr>
          <w:p w14:paraId="3929FAA6" w14:textId="0060F2DB"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noProof/>
                <w:color w:val="000000" w:themeColor="text1"/>
                <w:sz w:val="24"/>
              </w:rPr>
              <w:t xml:space="preserve">Riigihanked </w:t>
            </w:r>
          </w:p>
        </w:tc>
        <w:tc>
          <w:tcPr>
            <w:tcW w:w="1196" w:type="dxa"/>
            <w:tcBorders>
              <w:top w:val="single" w:sz="8" w:space="0" w:color="auto"/>
              <w:left w:val="single" w:sz="8" w:space="0" w:color="auto"/>
              <w:bottom w:val="single" w:sz="8" w:space="0" w:color="auto"/>
              <w:right w:val="single" w:sz="8" w:space="0" w:color="auto"/>
            </w:tcBorders>
          </w:tcPr>
          <w:p w14:paraId="4E944EC2" w14:textId="6CAE29BE"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3 </w:t>
            </w:r>
          </w:p>
        </w:tc>
        <w:tc>
          <w:tcPr>
            <w:tcW w:w="1272" w:type="dxa"/>
            <w:tcBorders>
              <w:top w:val="single" w:sz="8" w:space="0" w:color="auto"/>
              <w:left w:val="single" w:sz="8" w:space="0" w:color="auto"/>
              <w:bottom w:val="single" w:sz="8" w:space="0" w:color="auto"/>
              <w:right w:val="single" w:sz="8" w:space="0" w:color="auto"/>
            </w:tcBorders>
          </w:tcPr>
          <w:p w14:paraId="298CCDF8" w14:textId="4260192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2 </w:t>
            </w:r>
          </w:p>
        </w:tc>
        <w:tc>
          <w:tcPr>
            <w:tcW w:w="1281" w:type="dxa"/>
            <w:tcBorders>
              <w:top w:val="single" w:sz="8" w:space="0" w:color="auto"/>
              <w:left w:val="single" w:sz="8" w:space="0" w:color="auto"/>
              <w:bottom w:val="single" w:sz="8" w:space="0" w:color="auto"/>
              <w:right w:val="single" w:sz="8" w:space="0" w:color="auto"/>
            </w:tcBorders>
          </w:tcPr>
          <w:p w14:paraId="57B5B157" w14:textId="24E82A80"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72" w:type="dxa"/>
            <w:tcBorders>
              <w:top w:val="single" w:sz="8" w:space="0" w:color="auto"/>
              <w:left w:val="single" w:sz="8" w:space="0" w:color="auto"/>
              <w:bottom w:val="single" w:sz="8" w:space="0" w:color="auto"/>
              <w:right w:val="single" w:sz="8" w:space="0" w:color="auto"/>
            </w:tcBorders>
          </w:tcPr>
          <w:p w14:paraId="6B7CAB1F" w14:textId="0CF37425"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03" w:type="dxa"/>
            <w:tcBorders>
              <w:top w:val="single" w:sz="8" w:space="0" w:color="auto"/>
              <w:left w:val="single" w:sz="8" w:space="0" w:color="auto"/>
              <w:bottom w:val="single" w:sz="8" w:space="0" w:color="auto"/>
              <w:right w:val="single" w:sz="8" w:space="0" w:color="auto"/>
            </w:tcBorders>
          </w:tcPr>
          <w:p w14:paraId="514983B8" w14:textId="0F6E9A03"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r>
      <w:tr w:rsidR="3F109544" w:rsidRPr="00570F0D" w14:paraId="29ACDCC0"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tcPr>
          <w:p w14:paraId="10100134" w14:textId="0BF7EFAF"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noProof/>
                <w:color w:val="000000" w:themeColor="text1"/>
                <w:sz w:val="24"/>
              </w:rPr>
              <w:t xml:space="preserve">Ekspordimaksud ja -piirangud </w:t>
            </w:r>
          </w:p>
        </w:tc>
        <w:tc>
          <w:tcPr>
            <w:tcW w:w="1196" w:type="dxa"/>
            <w:tcBorders>
              <w:top w:val="single" w:sz="8" w:space="0" w:color="auto"/>
              <w:left w:val="single" w:sz="8" w:space="0" w:color="auto"/>
              <w:bottom w:val="single" w:sz="8" w:space="0" w:color="auto"/>
              <w:right w:val="single" w:sz="8" w:space="0" w:color="auto"/>
            </w:tcBorders>
          </w:tcPr>
          <w:p w14:paraId="309159E1" w14:textId="71E72EFB"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1272" w:type="dxa"/>
            <w:tcBorders>
              <w:top w:val="single" w:sz="8" w:space="0" w:color="auto"/>
              <w:left w:val="single" w:sz="8" w:space="0" w:color="auto"/>
              <w:bottom w:val="single" w:sz="8" w:space="0" w:color="auto"/>
              <w:right w:val="single" w:sz="8" w:space="0" w:color="auto"/>
            </w:tcBorders>
          </w:tcPr>
          <w:p w14:paraId="0B9E703C" w14:textId="547C0DB0"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81" w:type="dxa"/>
            <w:tcBorders>
              <w:top w:val="single" w:sz="8" w:space="0" w:color="auto"/>
              <w:left w:val="single" w:sz="8" w:space="0" w:color="auto"/>
              <w:bottom w:val="single" w:sz="8" w:space="0" w:color="auto"/>
              <w:right w:val="single" w:sz="8" w:space="0" w:color="auto"/>
            </w:tcBorders>
          </w:tcPr>
          <w:p w14:paraId="1C3B44E6" w14:textId="28F7BD1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1272" w:type="dxa"/>
            <w:tcBorders>
              <w:top w:val="single" w:sz="8" w:space="0" w:color="auto"/>
              <w:left w:val="single" w:sz="8" w:space="0" w:color="auto"/>
              <w:bottom w:val="single" w:sz="8" w:space="0" w:color="auto"/>
              <w:right w:val="single" w:sz="8" w:space="0" w:color="auto"/>
            </w:tcBorders>
          </w:tcPr>
          <w:p w14:paraId="07E80C01" w14:textId="5DA6B963"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2 </w:t>
            </w:r>
          </w:p>
        </w:tc>
        <w:tc>
          <w:tcPr>
            <w:tcW w:w="1203" w:type="dxa"/>
            <w:tcBorders>
              <w:top w:val="single" w:sz="8" w:space="0" w:color="auto"/>
              <w:left w:val="single" w:sz="8" w:space="0" w:color="auto"/>
              <w:bottom w:val="single" w:sz="8" w:space="0" w:color="auto"/>
              <w:right w:val="single" w:sz="8" w:space="0" w:color="auto"/>
            </w:tcBorders>
          </w:tcPr>
          <w:p w14:paraId="4C148F31" w14:textId="3C9762D9"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r>
      <w:tr w:rsidR="3F109544" w:rsidRPr="00570F0D" w14:paraId="3B203A71" w14:textId="77777777" w:rsidTr="3F109544">
        <w:trPr>
          <w:trHeight w:val="300"/>
        </w:trPr>
        <w:tc>
          <w:tcPr>
            <w:tcW w:w="2654" w:type="dxa"/>
            <w:tcBorders>
              <w:top w:val="single" w:sz="8" w:space="0" w:color="auto"/>
              <w:left w:val="single" w:sz="8" w:space="0" w:color="auto"/>
              <w:bottom w:val="single" w:sz="8" w:space="0" w:color="auto"/>
              <w:right w:val="single" w:sz="8" w:space="0" w:color="auto"/>
            </w:tcBorders>
          </w:tcPr>
          <w:p w14:paraId="536FF4CD" w14:textId="5B3C8897" w:rsidR="3F109544" w:rsidRPr="00955CE4" w:rsidRDefault="3F109544" w:rsidP="3F109544">
            <w:pPr>
              <w:spacing w:after="0"/>
              <w:jc w:val="both"/>
              <w:rPr>
                <w:rFonts w:ascii="Times New Roman" w:hAnsi="Times New Roman"/>
                <w:noProof/>
                <w:color w:val="000000" w:themeColor="text1"/>
                <w:sz w:val="24"/>
              </w:rPr>
            </w:pPr>
            <w:r>
              <w:rPr>
                <w:rFonts w:ascii="Times New Roman" w:hAnsi="Times New Roman"/>
                <w:b/>
                <w:noProof/>
                <w:color w:val="000000" w:themeColor="text1"/>
                <w:sz w:val="24"/>
              </w:rPr>
              <w:t>Kõik kokku</w:t>
            </w:r>
            <w:r>
              <w:rPr>
                <w:rFonts w:ascii="Times New Roman" w:hAnsi="Times New Roman"/>
                <w:noProof/>
                <w:color w:val="000000" w:themeColor="text1"/>
                <w:sz w:val="24"/>
              </w:rPr>
              <w:t xml:space="preserve"> </w:t>
            </w:r>
          </w:p>
        </w:tc>
        <w:tc>
          <w:tcPr>
            <w:tcW w:w="1196" w:type="dxa"/>
            <w:tcBorders>
              <w:top w:val="single" w:sz="8" w:space="0" w:color="auto"/>
              <w:left w:val="single" w:sz="8" w:space="0" w:color="auto"/>
              <w:bottom w:val="single" w:sz="8" w:space="0" w:color="auto"/>
              <w:right w:val="single" w:sz="8" w:space="0" w:color="auto"/>
            </w:tcBorders>
          </w:tcPr>
          <w:p w14:paraId="2919461A" w14:textId="175C91E2"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b/>
                <w:noProof/>
                <w:color w:val="000000" w:themeColor="text1"/>
                <w:sz w:val="24"/>
              </w:rPr>
              <w:t>41</w:t>
            </w:r>
            <w:r>
              <w:rPr>
                <w:rFonts w:ascii="Times New Roman" w:hAnsi="Times New Roman"/>
                <w:noProof/>
                <w:color w:val="000000" w:themeColor="text1"/>
                <w:sz w:val="24"/>
              </w:rPr>
              <w:t xml:space="preserve"> </w:t>
            </w:r>
          </w:p>
        </w:tc>
        <w:tc>
          <w:tcPr>
            <w:tcW w:w="1272" w:type="dxa"/>
            <w:tcBorders>
              <w:top w:val="single" w:sz="8" w:space="0" w:color="auto"/>
              <w:left w:val="single" w:sz="8" w:space="0" w:color="auto"/>
              <w:bottom w:val="single" w:sz="8" w:space="0" w:color="auto"/>
              <w:right w:val="single" w:sz="8" w:space="0" w:color="auto"/>
            </w:tcBorders>
          </w:tcPr>
          <w:p w14:paraId="0E3044BC" w14:textId="3C7ACD90"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b/>
                <w:noProof/>
                <w:color w:val="000000" w:themeColor="text1"/>
                <w:sz w:val="24"/>
              </w:rPr>
              <w:t>16</w:t>
            </w:r>
            <w:r>
              <w:rPr>
                <w:rFonts w:ascii="Times New Roman" w:hAnsi="Times New Roman"/>
                <w:noProof/>
                <w:color w:val="000000" w:themeColor="text1"/>
                <w:sz w:val="24"/>
              </w:rPr>
              <w:t xml:space="preserve"> </w:t>
            </w:r>
          </w:p>
        </w:tc>
        <w:tc>
          <w:tcPr>
            <w:tcW w:w="1281" w:type="dxa"/>
            <w:tcBorders>
              <w:top w:val="single" w:sz="8" w:space="0" w:color="auto"/>
              <w:left w:val="single" w:sz="8" w:space="0" w:color="auto"/>
              <w:bottom w:val="single" w:sz="8" w:space="0" w:color="auto"/>
              <w:right w:val="single" w:sz="8" w:space="0" w:color="auto"/>
            </w:tcBorders>
          </w:tcPr>
          <w:p w14:paraId="583E400A" w14:textId="2CB7AC35"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b/>
                <w:noProof/>
                <w:color w:val="000000" w:themeColor="text1"/>
                <w:sz w:val="24"/>
              </w:rPr>
              <w:t>10</w:t>
            </w:r>
            <w:r>
              <w:rPr>
                <w:rFonts w:ascii="Times New Roman" w:hAnsi="Times New Roman"/>
                <w:noProof/>
                <w:color w:val="000000" w:themeColor="text1"/>
                <w:sz w:val="24"/>
              </w:rPr>
              <w:t xml:space="preserve"> </w:t>
            </w:r>
          </w:p>
        </w:tc>
        <w:tc>
          <w:tcPr>
            <w:tcW w:w="1272" w:type="dxa"/>
            <w:tcBorders>
              <w:top w:val="single" w:sz="8" w:space="0" w:color="auto"/>
              <w:left w:val="single" w:sz="8" w:space="0" w:color="auto"/>
              <w:bottom w:val="single" w:sz="8" w:space="0" w:color="auto"/>
              <w:right w:val="single" w:sz="8" w:space="0" w:color="auto"/>
            </w:tcBorders>
          </w:tcPr>
          <w:p w14:paraId="44A15242" w14:textId="51FCF83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b/>
                <w:noProof/>
                <w:color w:val="000000" w:themeColor="text1"/>
                <w:sz w:val="24"/>
              </w:rPr>
              <w:t>16</w:t>
            </w:r>
            <w:r>
              <w:rPr>
                <w:rFonts w:ascii="Times New Roman" w:hAnsi="Times New Roman"/>
                <w:noProof/>
                <w:color w:val="000000" w:themeColor="text1"/>
                <w:sz w:val="24"/>
              </w:rPr>
              <w:t xml:space="preserve"> </w:t>
            </w:r>
          </w:p>
        </w:tc>
        <w:tc>
          <w:tcPr>
            <w:tcW w:w="1203" w:type="dxa"/>
            <w:tcBorders>
              <w:top w:val="single" w:sz="8" w:space="0" w:color="auto"/>
              <w:left w:val="single" w:sz="8" w:space="0" w:color="auto"/>
              <w:bottom w:val="single" w:sz="8" w:space="0" w:color="auto"/>
              <w:right w:val="single" w:sz="8" w:space="0" w:color="auto"/>
            </w:tcBorders>
          </w:tcPr>
          <w:p w14:paraId="6C34061A" w14:textId="260BE05D" w:rsidR="3F109544" w:rsidRPr="00955CE4" w:rsidRDefault="3F109544" w:rsidP="3F109544">
            <w:pPr>
              <w:spacing w:after="0"/>
              <w:jc w:val="right"/>
              <w:rPr>
                <w:rFonts w:ascii="Times New Roman" w:hAnsi="Times New Roman"/>
                <w:b/>
                <w:noProof/>
                <w:color w:val="000000" w:themeColor="text1"/>
                <w:sz w:val="24"/>
              </w:rPr>
            </w:pPr>
            <w:r>
              <w:rPr>
                <w:rFonts w:ascii="Times New Roman" w:hAnsi="Times New Roman"/>
                <w:b/>
                <w:noProof/>
                <w:color w:val="000000" w:themeColor="text1"/>
                <w:sz w:val="24"/>
              </w:rPr>
              <w:t>23</w:t>
            </w:r>
          </w:p>
        </w:tc>
      </w:tr>
    </w:tbl>
    <w:p w14:paraId="6E4736D7" w14:textId="77777777" w:rsidR="00C6305A" w:rsidRPr="00955CE4" w:rsidRDefault="00C6305A" w:rsidP="3F109544">
      <w:pPr>
        <w:spacing w:after="0" w:line="240" w:lineRule="auto"/>
        <w:jc w:val="both"/>
        <w:textAlignment w:val="baseline"/>
        <w:rPr>
          <w:rFonts w:ascii="Times New Roman" w:hAnsi="Times New Roman"/>
          <w:noProof/>
          <w:color w:val="000000" w:themeColor="text1"/>
          <w:sz w:val="24"/>
        </w:rPr>
      </w:pPr>
    </w:p>
    <w:p w14:paraId="48868FE9" w14:textId="1DD06AB4" w:rsidR="00DC2223" w:rsidRPr="00955CE4" w:rsidRDefault="00347F8C" w:rsidP="3F109544">
      <w:pPr>
        <w:spacing w:after="0" w:line="240" w:lineRule="auto"/>
        <w:jc w:val="both"/>
        <w:textAlignment w:val="baseline"/>
        <w:rPr>
          <w:rFonts w:ascii="Times New Roman" w:hAnsi="Times New Roman"/>
          <w:noProof/>
          <w:color w:val="000000" w:themeColor="text1"/>
          <w:sz w:val="24"/>
        </w:rPr>
      </w:pPr>
      <w:r>
        <w:rPr>
          <w:rFonts w:ascii="Times New Roman" w:hAnsi="Times New Roman"/>
          <w:noProof/>
          <w:color w:val="000000" w:themeColor="text1"/>
          <w:sz w:val="24"/>
        </w:rPr>
        <w:t xml:space="preserve">Suurim kasv tulenes </w:t>
      </w:r>
      <w:r>
        <w:rPr>
          <w:rFonts w:ascii="Times New Roman" w:hAnsi="Times New Roman"/>
          <w:b/>
          <w:noProof/>
          <w:color w:val="000000" w:themeColor="text1"/>
          <w:sz w:val="24"/>
        </w:rPr>
        <w:t>sanitaar- ja fütosanitaarmeetmetest</w:t>
      </w:r>
      <w:r>
        <w:rPr>
          <w:rFonts w:ascii="Times New Roman" w:hAnsi="Times New Roman"/>
          <w:noProof/>
          <w:color w:val="000000" w:themeColor="text1"/>
          <w:sz w:val="24"/>
        </w:rPr>
        <w:t xml:space="preserve">, kus registreeriti üheksa uut tõket – rohkem kui ühelgi kolmel eelnenud aastal. </w:t>
      </w:r>
      <w:bookmarkStart w:id="73" w:name="_Hlk198304257"/>
      <w:r>
        <w:rPr>
          <w:rFonts w:ascii="Times New Roman" w:hAnsi="Times New Roman"/>
          <w:noProof/>
          <w:color w:val="000000" w:themeColor="text1"/>
          <w:sz w:val="24"/>
        </w:rPr>
        <w:t>Tehniliste kaubandustõkete arv kasvas viie uue registreeritud tõkkeni, võrreldes kolme tõkkega 2023. aastal.</w:t>
      </w:r>
      <w:bookmarkEnd w:id="73"/>
      <w:r>
        <w:rPr>
          <w:rFonts w:ascii="Times New Roman" w:hAnsi="Times New Roman"/>
          <w:noProof/>
          <w:color w:val="000000" w:themeColor="text1"/>
          <w:sz w:val="24"/>
        </w:rPr>
        <w:t xml:space="preserve"> Seevastu tariifsed meetmed, </w:t>
      </w:r>
      <w:r>
        <w:rPr>
          <w:rFonts w:ascii="Times New Roman" w:hAnsi="Times New Roman"/>
          <w:b/>
          <w:noProof/>
          <w:color w:val="000000" w:themeColor="text1"/>
          <w:sz w:val="24"/>
        </w:rPr>
        <w:t>tariifiekvivalendid ja koguselised piirangud</w:t>
      </w:r>
      <w:r>
        <w:rPr>
          <w:rFonts w:ascii="Times New Roman" w:hAnsi="Times New Roman"/>
          <w:noProof/>
          <w:color w:val="000000" w:themeColor="text1"/>
          <w:sz w:val="24"/>
        </w:rPr>
        <w:t xml:space="preserve"> vähenesid neljalt tõkkelt 2023. aastal kahele. </w:t>
      </w:r>
      <w:r>
        <w:rPr>
          <w:rFonts w:ascii="Times New Roman" w:hAnsi="Times New Roman"/>
          <w:b/>
          <w:noProof/>
          <w:color w:val="000000" w:themeColor="text1"/>
          <w:sz w:val="24"/>
        </w:rPr>
        <w:t>Teenuste ja investeeringute</w:t>
      </w:r>
      <w:r>
        <w:rPr>
          <w:rFonts w:ascii="Times New Roman" w:hAnsi="Times New Roman"/>
          <w:noProof/>
          <w:color w:val="000000" w:themeColor="text1"/>
          <w:sz w:val="24"/>
        </w:rPr>
        <w:t xml:space="preserve"> kategoorias registreeriti neli uut tõket pärast kaht aastat, mil ühtegi tõket ei registreeritud.</w:t>
      </w:r>
    </w:p>
    <w:p w14:paraId="559B7DA9" w14:textId="77777777" w:rsidR="00034EE0" w:rsidRPr="00955CE4" w:rsidRDefault="00034EE0" w:rsidP="3F109544">
      <w:pPr>
        <w:spacing w:after="0" w:line="240" w:lineRule="auto"/>
        <w:jc w:val="both"/>
        <w:textAlignment w:val="baseline"/>
        <w:rPr>
          <w:rFonts w:ascii="Times New Roman" w:hAnsi="Times New Roman"/>
          <w:noProof/>
          <w:color w:val="000000" w:themeColor="text1"/>
          <w:sz w:val="24"/>
        </w:rPr>
      </w:pPr>
    </w:p>
    <w:p w14:paraId="2E3D6E34" w14:textId="6D8397BE" w:rsidR="002F010B" w:rsidRPr="00955CE4" w:rsidRDefault="00F74EB6" w:rsidP="3F109544">
      <w:pPr>
        <w:spacing w:after="0" w:line="240" w:lineRule="auto"/>
        <w:jc w:val="both"/>
        <w:textAlignment w:val="baseline"/>
        <w:rPr>
          <w:rFonts w:ascii="Times New Roman" w:hAnsi="Times New Roman"/>
          <w:noProof/>
          <w:color w:val="000000" w:themeColor="text1"/>
          <w:sz w:val="24"/>
        </w:rPr>
      </w:pPr>
      <w:r>
        <w:rPr>
          <w:rFonts w:ascii="Times New Roman" w:hAnsi="Times New Roman"/>
          <w:noProof/>
          <w:color w:val="000000" w:themeColor="text1"/>
          <w:sz w:val="24"/>
        </w:rPr>
        <w:t xml:space="preserve">Nagu on näidatud allpool tabelis, jäi 2024. aastal </w:t>
      </w:r>
      <w:r>
        <w:rPr>
          <w:rFonts w:ascii="Times New Roman" w:hAnsi="Times New Roman"/>
          <w:b/>
          <w:noProof/>
          <w:color w:val="000000" w:themeColor="text1"/>
          <w:sz w:val="24"/>
        </w:rPr>
        <w:t>kõige enam mõjutatud sektoriks põllumajandus ja kalandus</w:t>
      </w:r>
      <w:r>
        <w:rPr>
          <w:rFonts w:ascii="Times New Roman" w:hAnsi="Times New Roman"/>
          <w:noProof/>
          <w:color w:val="000000" w:themeColor="text1"/>
          <w:sz w:val="24"/>
        </w:rPr>
        <w:t>, kus registreeriti 10 uut tõket – rohkem kui kaks korda enam kui 2023. aastal. Teenustesektoris kasvas tõkete arv neljani, võrreldes ühe tõkkega eelmisel aastal. Uusi tõkkeid registreeriti ka varem mõjutamata tööstusharudes, nagu kosmeetika-, elektroonika-, puidu- ja paberitööstus, tekstiili- ja nahatööstus ning keraamika- ja klaasitööstus. Seevastu horisontaalsed meetmed vähenesid nullini.</w:t>
      </w:r>
    </w:p>
    <w:p w14:paraId="6292DF0D" w14:textId="6C6142C4" w:rsidR="0049727A" w:rsidRPr="00756E4E" w:rsidRDefault="0049727A" w:rsidP="3F109544">
      <w:pPr>
        <w:spacing w:after="0" w:line="240" w:lineRule="auto"/>
        <w:jc w:val="both"/>
        <w:textAlignment w:val="baseline"/>
        <w:rPr>
          <w:rFonts w:ascii="Times New Roman" w:hAnsi="Times New Roman"/>
          <w:noProof/>
          <w:color w:val="000000" w:themeColor="text1"/>
          <w:sz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59"/>
        <w:gridCol w:w="2025"/>
        <w:gridCol w:w="2411"/>
        <w:gridCol w:w="2122"/>
      </w:tblGrid>
      <w:tr w:rsidR="3F109544" w:rsidRPr="00570F0D" w14:paraId="200783B0"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6EB3B91" w14:textId="6A4B4506" w:rsidR="3F109544" w:rsidRPr="00955CE4" w:rsidRDefault="3F109544" w:rsidP="3F109544">
            <w:pPr>
              <w:spacing w:after="0"/>
              <w:jc w:val="center"/>
              <w:rPr>
                <w:rFonts w:ascii="Times New Roman" w:hAnsi="Times New Roman"/>
                <w:noProof/>
                <w:color w:val="000000" w:themeColor="text1"/>
                <w:sz w:val="24"/>
              </w:rPr>
            </w:pPr>
            <w:r>
              <w:rPr>
                <w:rFonts w:ascii="Times New Roman" w:hAnsi="Times New Roman"/>
                <w:b/>
                <w:noProof/>
                <w:color w:val="000000" w:themeColor="text1"/>
                <w:sz w:val="24"/>
              </w:rPr>
              <w:t>Sektor</w:t>
            </w:r>
            <w:r>
              <w:rPr>
                <w:rFonts w:ascii="Times New Roman" w:hAnsi="Times New Roman"/>
                <w:noProof/>
                <w:color w:val="000000" w:themeColor="text1"/>
                <w:sz w:val="24"/>
              </w:rPr>
              <w:t xml:space="preserve"> </w:t>
            </w:r>
          </w:p>
        </w:tc>
        <w:tc>
          <w:tcPr>
            <w:tcW w:w="202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A2E199F" w14:textId="64A3DFB4" w:rsidR="3F109544" w:rsidRPr="00955CE4" w:rsidRDefault="3F109544" w:rsidP="3F109544">
            <w:pPr>
              <w:spacing w:after="0"/>
              <w:jc w:val="center"/>
              <w:rPr>
                <w:rFonts w:ascii="Times New Roman" w:hAnsi="Times New Roman"/>
                <w:noProof/>
                <w:color w:val="000000" w:themeColor="text1"/>
                <w:sz w:val="24"/>
              </w:rPr>
            </w:pPr>
            <w:r>
              <w:rPr>
                <w:rFonts w:ascii="Times New Roman" w:hAnsi="Times New Roman"/>
                <w:b/>
                <w:noProof/>
                <w:color w:val="000000" w:themeColor="text1"/>
                <w:sz w:val="24"/>
              </w:rPr>
              <w:t>Uued tõkked</w:t>
            </w:r>
          </w:p>
          <w:p w14:paraId="71A5B270" w14:textId="2B95AE8A" w:rsidR="3F109544" w:rsidRPr="00955CE4" w:rsidRDefault="3F109544" w:rsidP="3F109544">
            <w:pPr>
              <w:spacing w:after="0"/>
              <w:jc w:val="center"/>
              <w:rPr>
                <w:rFonts w:ascii="Times New Roman" w:hAnsi="Times New Roman"/>
                <w:noProof/>
                <w:color w:val="000000" w:themeColor="text1"/>
                <w:sz w:val="24"/>
              </w:rPr>
            </w:pPr>
            <w:r>
              <w:rPr>
                <w:rFonts w:ascii="Times New Roman" w:hAnsi="Times New Roman"/>
                <w:b/>
                <w:noProof/>
                <w:color w:val="000000" w:themeColor="text1"/>
                <w:sz w:val="24"/>
              </w:rPr>
              <w:t>2022. aastal</w:t>
            </w:r>
            <w:r>
              <w:rPr>
                <w:rFonts w:ascii="Times New Roman" w:hAnsi="Times New Roman"/>
                <w:noProof/>
                <w:color w:val="000000" w:themeColor="text1"/>
                <w:sz w:val="24"/>
              </w:rPr>
              <w:t xml:space="preserve"> </w:t>
            </w:r>
          </w:p>
        </w:tc>
        <w:tc>
          <w:tcPr>
            <w:tcW w:w="2411"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44A363A" w14:textId="7DC9E523" w:rsidR="3F109544" w:rsidRPr="00955CE4" w:rsidRDefault="3F109544" w:rsidP="3F109544">
            <w:pPr>
              <w:spacing w:after="0"/>
              <w:jc w:val="center"/>
              <w:rPr>
                <w:rFonts w:ascii="Times New Roman" w:hAnsi="Times New Roman"/>
                <w:noProof/>
                <w:color w:val="000000" w:themeColor="text1"/>
                <w:sz w:val="24"/>
              </w:rPr>
            </w:pPr>
            <w:r>
              <w:rPr>
                <w:rFonts w:ascii="Times New Roman" w:hAnsi="Times New Roman"/>
                <w:b/>
                <w:noProof/>
                <w:color w:val="000000" w:themeColor="text1"/>
                <w:sz w:val="24"/>
              </w:rPr>
              <w:t>Uued tõkked</w:t>
            </w:r>
          </w:p>
          <w:p w14:paraId="22ACD44D" w14:textId="253C8358" w:rsidR="3F109544" w:rsidRPr="00955CE4" w:rsidRDefault="3F109544" w:rsidP="3F109544">
            <w:pPr>
              <w:spacing w:after="0"/>
              <w:jc w:val="center"/>
              <w:rPr>
                <w:rFonts w:ascii="Times New Roman" w:hAnsi="Times New Roman"/>
                <w:noProof/>
                <w:color w:val="000000" w:themeColor="text1"/>
                <w:sz w:val="24"/>
              </w:rPr>
            </w:pPr>
            <w:r>
              <w:rPr>
                <w:rFonts w:ascii="Times New Roman" w:hAnsi="Times New Roman"/>
                <w:b/>
                <w:noProof/>
                <w:color w:val="000000" w:themeColor="text1"/>
                <w:sz w:val="24"/>
              </w:rPr>
              <w:t>2023. aastal</w:t>
            </w:r>
            <w:r>
              <w:rPr>
                <w:rFonts w:ascii="Times New Roman" w:hAnsi="Times New Roman"/>
                <w:noProof/>
                <w:color w:val="000000" w:themeColor="text1"/>
                <w:sz w:val="24"/>
              </w:rPr>
              <w:t xml:space="preserve"> </w:t>
            </w:r>
          </w:p>
        </w:tc>
        <w:tc>
          <w:tcPr>
            <w:tcW w:w="2122"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D42711B" w14:textId="45686D5F" w:rsidR="3F109544" w:rsidRPr="00955CE4" w:rsidRDefault="3F109544" w:rsidP="3F109544">
            <w:pPr>
              <w:spacing w:after="0"/>
              <w:jc w:val="center"/>
              <w:rPr>
                <w:rFonts w:ascii="Times New Roman" w:hAnsi="Times New Roman"/>
                <w:b/>
                <w:noProof/>
                <w:color w:val="000000" w:themeColor="text1"/>
                <w:sz w:val="24"/>
              </w:rPr>
            </w:pPr>
            <w:r>
              <w:rPr>
                <w:rFonts w:ascii="Times New Roman" w:hAnsi="Times New Roman"/>
                <w:b/>
                <w:noProof/>
                <w:color w:val="000000" w:themeColor="text1"/>
                <w:sz w:val="24"/>
              </w:rPr>
              <w:t>Uued tõkked 2024. aastal</w:t>
            </w:r>
          </w:p>
        </w:tc>
      </w:tr>
      <w:tr w:rsidR="3F109544" w:rsidRPr="00570F0D" w14:paraId="2F29BABD"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2CA7E817" w14:textId="5238A084"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 xml:space="preserve">Põllumajandus ja kalandus </w:t>
            </w:r>
          </w:p>
        </w:tc>
        <w:tc>
          <w:tcPr>
            <w:tcW w:w="2025" w:type="dxa"/>
            <w:tcBorders>
              <w:top w:val="single" w:sz="8" w:space="0" w:color="auto"/>
              <w:left w:val="single" w:sz="8" w:space="0" w:color="auto"/>
              <w:bottom w:val="single" w:sz="8" w:space="0" w:color="auto"/>
              <w:right w:val="single" w:sz="8" w:space="0" w:color="auto"/>
            </w:tcBorders>
            <w:vAlign w:val="center"/>
          </w:tcPr>
          <w:p w14:paraId="496975F7" w14:textId="158CD23B"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5 </w:t>
            </w:r>
          </w:p>
        </w:tc>
        <w:tc>
          <w:tcPr>
            <w:tcW w:w="2411" w:type="dxa"/>
            <w:tcBorders>
              <w:top w:val="single" w:sz="8" w:space="0" w:color="auto"/>
              <w:left w:val="single" w:sz="8" w:space="0" w:color="auto"/>
              <w:bottom w:val="single" w:sz="8" w:space="0" w:color="auto"/>
              <w:right w:val="single" w:sz="8" w:space="0" w:color="auto"/>
            </w:tcBorders>
            <w:vAlign w:val="center"/>
          </w:tcPr>
          <w:p w14:paraId="31DAAC8F" w14:textId="77D5E15E"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4 </w:t>
            </w:r>
          </w:p>
        </w:tc>
        <w:tc>
          <w:tcPr>
            <w:tcW w:w="2122" w:type="dxa"/>
            <w:tcBorders>
              <w:top w:val="single" w:sz="8" w:space="0" w:color="auto"/>
              <w:left w:val="single" w:sz="8" w:space="0" w:color="auto"/>
              <w:bottom w:val="single" w:sz="8" w:space="0" w:color="auto"/>
              <w:right w:val="single" w:sz="8" w:space="0" w:color="auto"/>
            </w:tcBorders>
          </w:tcPr>
          <w:p w14:paraId="047A78B8" w14:textId="0053BD9A"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10</w:t>
            </w:r>
          </w:p>
        </w:tc>
      </w:tr>
      <w:tr w:rsidR="3F109544" w:rsidRPr="00570F0D" w14:paraId="58AF1DAF"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1C237602" w14:textId="6172BAF9"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 xml:space="preserve">Horisontaalsed tõkked </w:t>
            </w:r>
          </w:p>
        </w:tc>
        <w:tc>
          <w:tcPr>
            <w:tcW w:w="2025" w:type="dxa"/>
            <w:tcBorders>
              <w:top w:val="single" w:sz="8" w:space="0" w:color="auto"/>
              <w:left w:val="single" w:sz="8" w:space="0" w:color="auto"/>
              <w:bottom w:val="single" w:sz="8" w:space="0" w:color="auto"/>
              <w:right w:val="single" w:sz="8" w:space="0" w:color="auto"/>
            </w:tcBorders>
            <w:vAlign w:val="center"/>
          </w:tcPr>
          <w:p w14:paraId="1F347823" w14:textId="09B67E5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3 </w:t>
            </w:r>
          </w:p>
        </w:tc>
        <w:tc>
          <w:tcPr>
            <w:tcW w:w="2411" w:type="dxa"/>
            <w:tcBorders>
              <w:top w:val="single" w:sz="8" w:space="0" w:color="auto"/>
              <w:left w:val="single" w:sz="8" w:space="0" w:color="auto"/>
              <w:bottom w:val="single" w:sz="8" w:space="0" w:color="auto"/>
              <w:right w:val="single" w:sz="8" w:space="0" w:color="auto"/>
            </w:tcBorders>
            <w:vAlign w:val="center"/>
          </w:tcPr>
          <w:p w14:paraId="1F1E0D64" w14:textId="191CE3F5"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5 </w:t>
            </w:r>
          </w:p>
        </w:tc>
        <w:tc>
          <w:tcPr>
            <w:tcW w:w="2122" w:type="dxa"/>
            <w:tcBorders>
              <w:top w:val="single" w:sz="8" w:space="0" w:color="auto"/>
              <w:left w:val="single" w:sz="8" w:space="0" w:color="auto"/>
              <w:bottom w:val="single" w:sz="8" w:space="0" w:color="auto"/>
              <w:right w:val="single" w:sz="8" w:space="0" w:color="auto"/>
            </w:tcBorders>
          </w:tcPr>
          <w:p w14:paraId="4D740AE1" w14:textId="404C8A0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r>
      <w:tr w:rsidR="3F109544" w:rsidRPr="00570F0D" w14:paraId="51BC1E4C"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350C6711" w14:textId="097BC631"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 xml:space="preserve">Veinid ja piiritusjoogid </w:t>
            </w:r>
          </w:p>
        </w:tc>
        <w:tc>
          <w:tcPr>
            <w:tcW w:w="2025" w:type="dxa"/>
            <w:tcBorders>
              <w:top w:val="single" w:sz="8" w:space="0" w:color="auto"/>
              <w:left w:val="single" w:sz="8" w:space="0" w:color="auto"/>
              <w:bottom w:val="single" w:sz="8" w:space="0" w:color="auto"/>
              <w:right w:val="single" w:sz="8" w:space="0" w:color="auto"/>
            </w:tcBorders>
            <w:vAlign w:val="center"/>
          </w:tcPr>
          <w:p w14:paraId="39CE4AFB" w14:textId="29EE2EB7"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2411" w:type="dxa"/>
            <w:tcBorders>
              <w:top w:val="single" w:sz="8" w:space="0" w:color="auto"/>
              <w:left w:val="single" w:sz="8" w:space="0" w:color="auto"/>
              <w:bottom w:val="single" w:sz="8" w:space="0" w:color="auto"/>
              <w:right w:val="single" w:sz="8" w:space="0" w:color="auto"/>
            </w:tcBorders>
            <w:vAlign w:val="center"/>
          </w:tcPr>
          <w:p w14:paraId="29B1F5EF" w14:textId="5D1F5DD1"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2122" w:type="dxa"/>
            <w:tcBorders>
              <w:top w:val="single" w:sz="8" w:space="0" w:color="auto"/>
              <w:left w:val="single" w:sz="8" w:space="0" w:color="auto"/>
              <w:bottom w:val="single" w:sz="8" w:space="0" w:color="auto"/>
              <w:right w:val="single" w:sz="8" w:space="0" w:color="auto"/>
            </w:tcBorders>
          </w:tcPr>
          <w:p w14:paraId="3F3E43A5" w14:textId="54B321C1"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1</w:t>
            </w:r>
          </w:p>
        </w:tc>
      </w:tr>
      <w:tr w:rsidR="3F109544" w:rsidRPr="00570F0D" w14:paraId="5B0ADAA4"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20F4782A" w14:textId="6C6EF035"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 xml:space="preserve">Muud tootmisharud </w:t>
            </w:r>
          </w:p>
        </w:tc>
        <w:tc>
          <w:tcPr>
            <w:tcW w:w="2025" w:type="dxa"/>
            <w:tcBorders>
              <w:top w:val="single" w:sz="8" w:space="0" w:color="auto"/>
              <w:left w:val="single" w:sz="8" w:space="0" w:color="auto"/>
              <w:bottom w:val="single" w:sz="8" w:space="0" w:color="auto"/>
              <w:right w:val="single" w:sz="8" w:space="0" w:color="auto"/>
            </w:tcBorders>
            <w:vAlign w:val="center"/>
          </w:tcPr>
          <w:p w14:paraId="5C5B0AFE" w14:textId="2C0CF70F"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2411" w:type="dxa"/>
            <w:tcBorders>
              <w:top w:val="single" w:sz="8" w:space="0" w:color="auto"/>
              <w:left w:val="single" w:sz="8" w:space="0" w:color="auto"/>
              <w:bottom w:val="single" w:sz="8" w:space="0" w:color="auto"/>
              <w:right w:val="single" w:sz="8" w:space="0" w:color="auto"/>
            </w:tcBorders>
            <w:vAlign w:val="center"/>
          </w:tcPr>
          <w:p w14:paraId="0C6D9BFC" w14:textId="756C7124"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2122" w:type="dxa"/>
            <w:tcBorders>
              <w:top w:val="single" w:sz="8" w:space="0" w:color="auto"/>
              <w:left w:val="single" w:sz="8" w:space="0" w:color="auto"/>
              <w:bottom w:val="single" w:sz="8" w:space="0" w:color="auto"/>
              <w:right w:val="single" w:sz="8" w:space="0" w:color="auto"/>
            </w:tcBorders>
          </w:tcPr>
          <w:p w14:paraId="7CDA4A35" w14:textId="7A1FC42D"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r>
      <w:tr w:rsidR="3F109544" w:rsidRPr="00570F0D" w14:paraId="665A2CDA"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6EB54825" w14:textId="11FEF82F"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 xml:space="preserve">Autotööstus </w:t>
            </w:r>
          </w:p>
        </w:tc>
        <w:tc>
          <w:tcPr>
            <w:tcW w:w="2025" w:type="dxa"/>
            <w:tcBorders>
              <w:top w:val="single" w:sz="8" w:space="0" w:color="auto"/>
              <w:left w:val="single" w:sz="8" w:space="0" w:color="auto"/>
              <w:bottom w:val="single" w:sz="8" w:space="0" w:color="auto"/>
              <w:right w:val="single" w:sz="8" w:space="0" w:color="auto"/>
            </w:tcBorders>
            <w:vAlign w:val="center"/>
          </w:tcPr>
          <w:p w14:paraId="569A18FB" w14:textId="7674AAF5"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2411" w:type="dxa"/>
            <w:tcBorders>
              <w:top w:val="single" w:sz="8" w:space="0" w:color="auto"/>
              <w:left w:val="single" w:sz="8" w:space="0" w:color="auto"/>
              <w:bottom w:val="single" w:sz="8" w:space="0" w:color="auto"/>
              <w:right w:val="single" w:sz="8" w:space="0" w:color="auto"/>
            </w:tcBorders>
            <w:vAlign w:val="center"/>
          </w:tcPr>
          <w:p w14:paraId="560EE159" w14:textId="0A6555E8"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2 </w:t>
            </w:r>
          </w:p>
        </w:tc>
        <w:tc>
          <w:tcPr>
            <w:tcW w:w="2122" w:type="dxa"/>
            <w:tcBorders>
              <w:top w:val="single" w:sz="8" w:space="0" w:color="auto"/>
              <w:left w:val="single" w:sz="8" w:space="0" w:color="auto"/>
              <w:bottom w:val="single" w:sz="8" w:space="0" w:color="auto"/>
              <w:right w:val="single" w:sz="8" w:space="0" w:color="auto"/>
            </w:tcBorders>
          </w:tcPr>
          <w:p w14:paraId="2473E99F" w14:textId="03155000"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r>
      <w:tr w:rsidR="3F109544" w:rsidRPr="00570F0D" w14:paraId="4C547353"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3688C3EC" w14:textId="3B5B554F"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 xml:space="preserve">Ravimid </w:t>
            </w:r>
          </w:p>
        </w:tc>
        <w:tc>
          <w:tcPr>
            <w:tcW w:w="2025" w:type="dxa"/>
            <w:tcBorders>
              <w:top w:val="single" w:sz="8" w:space="0" w:color="auto"/>
              <w:left w:val="single" w:sz="8" w:space="0" w:color="auto"/>
              <w:bottom w:val="single" w:sz="8" w:space="0" w:color="auto"/>
              <w:right w:val="single" w:sz="8" w:space="0" w:color="auto"/>
            </w:tcBorders>
            <w:vAlign w:val="center"/>
          </w:tcPr>
          <w:p w14:paraId="6187D386" w14:textId="5C5BD8ED"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2411" w:type="dxa"/>
            <w:tcBorders>
              <w:top w:val="single" w:sz="8" w:space="0" w:color="auto"/>
              <w:left w:val="single" w:sz="8" w:space="0" w:color="auto"/>
              <w:bottom w:val="single" w:sz="8" w:space="0" w:color="auto"/>
              <w:right w:val="single" w:sz="8" w:space="0" w:color="auto"/>
            </w:tcBorders>
            <w:vAlign w:val="center"/>
          </w:tcPr>
          <w:p w14:paraId="1078F6BC" w14:textId="47BA4E61"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2 </w:t>
            </w:r>
          </w:p>
        </w:tc>
        <w:tc>
          <w:tcPr>
            <w:tcW w:w="2122" w:type="dxa"/>
            <w:tcBorders>
              <w:top w:val="single" w:sz="8" w:space="0" w:color="auto"/>
              <w:left w:val="single" w:sz="8" w:space="0" w:color="auto"/>
              <w:bottom w:val="single" w:sz="8" w:space="0" w:color="auto"/>
              <w:right w:val="single" w:sz="8" w:space="0" w:color="auto"/>
            </w:tcBorders>
          </w:tcPr>
          <w:p w14:paraId="7A63D884" w14:textId="35BAF118"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2</w:t>
            </w:r>
          </w:p>
        </w:tc>
      </w:tr>
      <w:tr w:rsidR="3F109544" w:rsidRPr="00570F0D" w14:paraId="5336E504"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0529BB1A" w14:textId="6178D420"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 xml:space="preserve">Kaevandamine </w:t>
            </w:r>
          </w:p>
        </w:tc>
        <w:tc>
          <w:tcPr>
            <w:tcW w:w="2025" w:type="dxa"/>
            <w:tcBorders>
              <w:top w:val="single" w:sz="8" w:space="0" w:color="auto"/>
              <w:left w:val="single" w:sz="8" w:space="0" w:color="auto"/>
              <w:bottom w:val="single" w:sz="8" w:space="0" w:color="auto"/>
              <w:right w:val="single" w:sz="8" w:space="0" w:color="auto"/>
            </w:tcBorders>
            <w:vAlign w:val="center"/>
          </w:tcPr>
          <w:p w14:paraId="1168651F" w14:textId="6E74E544"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2411" w:type="dxa"/>
            <w:tcBorders>
              <w:top w:val="single" w:sz="8" w:space="0" w:color="auto"/>
              <w:left w:val="single" w:sz="8" w:space="0" w:color="auto"/>
              <w:bottom w:val="single" w:sz="8" w:space="0" w:color="auto"/>
              <w:right w:val="single" w:sz="8" w:space="0" w:color="auto"/>
            </w:tcBorders>
            <w:vAlign w:val="center"/>
          </w:tcPr>
          <w:p w14:paraId="27DBCD18" w14:textId="5991D6CA"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2122" w:type="dxa"/>
            <w:tcBorders>
              <w:top w:val="single" w:sz="8" w:space="0" w:color="auto"/>
              <w:left w:val="single" w:sz="8" w:space="0" w:color="auto"/>
              <w:bottom w:val="single" w:sz="8" w:space="0" w:color="auto"/>
              <w:right w:val="single" w:sz="8" w:space="0" w:color="auto"/>
            </w:tcBorders>
          </w:tcPr>
          <w:p w14:paraId="7D166F54" w14:textId="4164C9E1"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r>
      <w:tr w:rsidR="3F109544" w:rsidRPr="00570F0D" w14:paraId="5B8EE68A"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6548059C" w14:textId="22AA18B8"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 xml:space="preserve">Teenused </w:t>
            </w:r>
          </w:p>
        </w:tc>
        <w:tc>
          <w:tcPr>
            <w:tcW w:w="2025" w:type="dxa"/>
            <w:tcBorders>
              <w:top w:val="single" w:sz="8" w:space="0" w:color="auto"/>
              <w:left w:val="single" w:sz="8" w:space="0" w:color="auto"/>
              <w:bottom w:val="single" w:sz="8" w:space="0" w:color="auto"/>
              <w:right w:val="single" w:sz="8" w:space="0" w:color="auto"/>
            </w:tcBorders>
            <w:vAlign w:val="center"/>
          </w:tcPr>
          <w:p w14:paraId="751E1365" w14:textId="3C5F0A91"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0 </w:t>
            </w:r>
          </w:p>
        </w:tc>
        <w:tc>
          <w:tcPr>
            <w:tcW w:w="2411" w:type="dxa"/>
            <w:tcBorders>
              <w:top w:val="single" w:sz="8" w:space="0" w:color="auto"/>
              <w:left w:val="single" w:sz="8" w:space="0" w:color="auto"/>
              <w:bottom w:val="single" w:sz="8" w:space="0" w:color="auto"/>
              <w:right w:val="single" w:sz="8" w:space="0" w:color="auto"/>
            </w:tcBorders>
            <w:vAlign w:val="center"/>
          </w:tcPr>
          <w:p w14:paraId="71BC19AE" w14:textId="51A19BCD"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 xml:space="preserve">1 </w:t>
            </w:r>
          </w:p>
        </w:tc>
        <w:tc>
          <w:tcPr>
            <w:tcW w:w="2122" w:type="dxa"/>
            <w:tcBorders>
              <w:top w:val="single" w:sz="8" w:space="0" w:color="auto"/>
              <w:left w:val="single" w:sz="8" w:space="0" w:color="auto"/>
              <w:bottom w:val="single" w:sz="8" w:space="0" w:color="auto"/>
              <w:right w:val="single" w:sz="8" w:space="0" w:color="auto"/>
            </w:tcBorders>
          </w:tcPr>
          <w:p w14:paraId="2BF106BF" w14:textId="7C5C40CC"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4</w:t>
            </w:r>
          </w:p>
        </w:tc>
      </w:tr>
      <w:tr w:rsidR="3F109544" w:rsidRPr="00570F0D" w14:paraId="7A96EEE4"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2CF3B279" w14:textId="77021A1C"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Keraamika ja klaas</w:t>
            </w:r>
          </w:p>
        </w:tc>
        <w:tc>
          <w:tcPr>
            <w:tcW w:w="2025" w:type="dxa"/>
            <w:tcBorders>
              <w:top w:val="single" w:sz="8" w:space="0" w:color="auto"/>
              <w:left w:val="single" w:sz="8" w:space="0" w:color="auto"/>
              <w:bottom w:val="single" w:sz="8" w:space="0" w:color="auto"/>
              <w:right w:val="single" w:sz="8" w:space="0" w:color="auto"/>
            </w:tcBorders>
            <w:vAlign w:val="center"/>
          </w:tcPr>
          <w:p w14:paraId="137A1F2D" w14:textId="599FE144"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411" w:type="dxa"/>
            <w:tcBorders>
              <w:top w:val="single" w:sz="8" w:space="0" w:color="auto"/>
              <w:left w:val="single" w:sz="8" w:space="0" w:color="auto"/>
              <w:bottom w:val="single" w:sz="8" w:space="0" w:color="auto"/>
              <w:right w:val="single" w:sz="8" w:space="0" w:color="auto"/>
            </w:tcBorders>
            <w:vAlign w:val="center"/>
          </w:tcPr>
          <w:p w14:paraId="1D7ADBBD" w14:textId="228AD7E6"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122" w:type="dxa"/>
            <w:tcBorders>
              <w:top w:val="single" w:sz="8" w:space="0" w:color="auto"/>
              <w:left w:val="single" w:sz="8" w:space="0" w:color="auto"/>
              <w:bottom w:val="single" w:sz="8" w:space="0" w:color="auto"/>
              <w:right w:val="single" w:sz="8" w:space="0" w:color="auto"/>
            </w:tcBorders>
          </w:tcPr>
          <w:p w14:paraId="163CE682" w14:textId="3213CFC5"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1</w:t>
            </w:r>
          </w:p>
        </w:tc>
      </w:tr>
      <w:tr w:rsidR="3F109544" w:rsidRPr="00570F0D" w14:paraId="7967CCB1"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5C034555" w14:textId="1A7954EE"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Kosmeetika</w:t>
            </w:r>
          </w:p>
        </w:tc>
        <w:tc>
          <w:tcPr>
            <w:tcW w:w="2025" w:type="dxa"/>
            <w:tcBorders>
              <w:top w:val="single" w:sz="8" w:space="0" w:color="auto"/>
              <w:left w:val="single" w:sz="8" w:space="0" w:color="auto"/>
              <w:bottom w:val="single" w:sz="8" w:space="0" w:color="auto"/>
              <w:right w:val="single" w:sz="8" w:space="0" w:color="auto"/>
            </w:tcBorders>
            <w:vAlign w:val="center"/>
          </w:tcPr>
          <w:p w14:paraId="0F06D7DC" w14:textId="451283C8"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411" w:type="dxa"/>
            <w:tcBorders>
              <w:top w:val="single" w:sz="8" w:space="0" w:color="auto"/>
              <w:left w:val="single" w:sz="8" w:space="0" w:color="auto"/>
              <w:bottom w:val="single" w:sz="8" w:space="0" w:color="auto"/>
              <w:right w:val="single" w:sz="8" w:space="0" w:color="auto"/>
            </w:tcBorders>
            <w:vAlign w:val="center"/>
          </w:tcPr>
          <w:p w14:paraId="0618F212" w14:textId="4ECE46EA"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122" w:type="dxa"/>
            <w:tcBorders>
              <w:top w:val="single" w:sz="8" w:space="0" w:color="auto"/>
              <w:left w:val="single" w:sz="8" w:space="0" w:color="auto"/>
              <w:bottom w:val="single" w:sz="8" w:space="0" w:color="auto"/>
              <w:right w:val="single" w:sz="8" w:space="0" w:color="auto"/>
            </w:tcBorders>
          </w:tcPr>
          <w:p w14:paraId="07562B3D" w14:textId="4EB7CB60"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2</w:t>
            </w:r>
          </w:p>
        </w:tc>
      </w:tr>
      <w:tr w:rsidR="3F109544" w:rsidRPr="00570F0D" w14:paraId="692ACBD5"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1C059963" w14:textId="02DA3F4A"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Elektroonika</w:t>
            </w:r>
          </w:p>
        </w:tc>
        <w:tc>
          <w:tcPr>
            <w:tcW w:w="2025" w:type="dxa"/>
            <w:tcBorders>
              <w:top w:val="single" w:sz="8" w:space="0" w:color="auto"/>
              <w:left w:val="single" w:sz="8" w:space="0" w:color="auto"/>
              <w:bottom w:val="single" w:sz="8" w:space="0" w:color="auto"/>
              <w:right w:val="single" w:sz="8" w:space="0" w:color="auto"/>
            </w:tcBorders>
            <w:vAlign w:val="center"/>
          </w:tcPr>
          <w:p w14:paraId="5ACBACB9" w14:textId="487ECE86"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411" w:type="dxa"/>
            <w:tcBorders>
              <w:top w:val="single" w:sz="8" w:space="0" w:color="auto"/>
              <w:left w:val="single" w:sz="8" w:space="0" w:color="auto"/>
              <w:bottom w:val="single" w:sz="8" w:space="0" w:color="auto"/>
              <w:right w:val="single" w:sz="8" w:space="0" w:color="auto"/>
            </w:tcBorders>
            <w:vAlign w:val="center"/>
          </w:tcPr>
          <w:p w14:paraId="549EEA13" w14:textId="7D0E1829"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122" w:type="dxa"/>
            <w:tcBorders>
              <w:top w:val="single" w:sz="8" w:space="0" w:color="auto"/>
              <w:left w:val="single" w:sz="8" w:space="0" w:color="auto"/>
              <w:bottom w:val="single" w:sz="8" w:space="0" w:color="auto"/>
              <w:right w:val="single" w:sz="8" w:space="0" w:color="auto"/>
            </w:tcBorders>
          </w:tcPr>
          <w:p w14:paraId="47E7E5D1" w14:textId="1AFE630B"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1</w:t>
            </w:r>
          </w:p>
        </w:tc>
      </w:tr>
      <w:tr w:rsidR="3F109544" w:rsidRPr="00570F0D" w14:paraId="257F7C6B"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00FBB2FC" w14:textId="618D8965"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Puit, paber ja tselluloos</w:t>
            </w:r>
          </w:p>
        </w:tc>
        <w:tc>
          <w:tcPr>
            <w:tcW w:w="2025" w:type="dxa"/>
            <w:tcBorders>
              <w:top w:val="single" w:sz="8" w:space="0" w:color="auto"/>
              <w:left w:val="single" w:sz="8" w:space="0" w:color="auto"/>
              <w:bottom w:val="single" w:sz="8" w:space="0" w:color="auto"/>
              <w:right w:val="single" w:sz="8" w:space="0" w:color="auto"/>
            </w:tcBorders>
            <w:vAlign w:val="center"/>
          </w:tcPr>
          <w:p w14:paraId="2A1BE3D0" w14:textId="3BC2B73E"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411" w:type="dxa"/>
            <w:tcBorders>
              <w:top w:val="single" w:sz="8" w:space="0" w:color="auto"/>
              <w:left w:val="single" w:sz="8" w:space="0" w:color="auto"/>
              <w:bottom w:val="single" w:sz="8" w:space="0" w:color="auto"/>
              <w:right w:val="single" w:sz="8" w:space="0" w:color="auto"/>
            </w:tcBorders>
            <w:vAlign w:val="center"/>
          </w:tcPr>
          <w:p w14:paraId="38415306" w14:textId="51417AF6"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122" w:type="dxa"/>
            <w:tcBorders>
              <w:top w:val="single" w:sz="8" w:space="0" w:color="auto"/>
              <w:left w:val="single" w:sz="8" w:space="0" w:color="auto"/>
              <w:bottom w:val="single" w:sz="8" w:space="0" w:color="auto"/>
              <w:right w:val="single" w:sz="8" w:space="0" w:color="auto"/>
            </w:tcBorders>
          </w:tcPr>
          <w:p w14:paraId="3B5F05F8" w14:textId="4FC4C435"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1</w:t>
            </w:r>
          </w:p>
        </w:tc>
      </w:tr>
      <w:tr w:rsidR="3F109544" w:rsidRPr="00570F0D" w14:paraId="664B2254"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1ABC7082" w14:textId="0DDCE0C7" w:rsidR="3F109544" w:rsidRPr="00955CE4" w:rsidRDefault="3F109544" w:rsidP="3F109544">
            <w:pPr>
              <w:spacing w:after="0"/>
              <w:rPr>
                <w:rFonts w:ascii="Times New Roman" w:hAnsi="Times New Roman"/>
                <w:noProof/>
                <w:color w:val="000000" w:themeColor="text1"/>
                <w:sz w:val="24"/>
              </w:rPr>
            </w:pPr>
            <w:r>
              <w:rPr>
                <w:rFonts w:ascii="Times New Roman" w:hAnsi="Times New Roman"/>
                <w:noProof/>
                <w:color w:val="000000" w:themeColor="text1"/>
                <w:sz w:val="24"/>
              </w:rPr>
              <w:t>Tekstiil ja nahk</w:t>
            </w:r>
          </w:p>
        </w:tc>
        <w:tc>
          <w:tcPr>
            <w:tcW w:w="2025" w:type="dxa"/>
            <w:tcBorders>
              <w:top w:val="single" w:sz="8" w:space="0" w:color="auto"/>
              <w:left w:val="single" w:sz="8" w:space="0" w:color="auto"/>
              <w:bottom w:val="single" w:sz="8" w:space="0" w:color="auto"/>
              <w:right w:val="single" w:sz="8" w:space="0" w:color="auto"/>
            </w:tcBorders>
            <w:vAlign w:val="center"/>
          </w:tcPr>
          <w:p w14:paraId="278159DD" w14:textId="19DCA68A"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411" w:type="dxa"/>
            <w:tcBorders>
              <w:top w:val="single" w:sz="8" w:space="0" w:color="auto"/>
              <w:left w:val="single" w:sz="8" w:space="0" w:color="auto"/>
              <w:bottom w:val="single" w:sz="8" w:space="0" w:color="auto"/>
              <w:right w:val="single" w:sz="8" w:space="0" w:color="auto"/>
            </w:tcBorders>
            <w:vAlign w:val="center"/>
          </w:tcPr>
          <w:p w14:paraId="55DE1AE7" w14:textId="75AF7B48"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0</w:t>
            </w:r>
          </w:p>
        </w:tc>
        <w:tc>
          <w:tcPr>
            <w:tcW w:w="2122" w:type="dxa"/>
            <w:tcBorders>
              <w:top w:val="single" w:sz="8" w:space="0" w:color="auto"/>
              <w:left w:val="single" w:sz="8" w:space="0" w:color="auto"/>
              <w:bottom w:val="single" w:sz="8" w:space="0" w:color="auto"/>
              <w:right w:val="single" w:sz="8" w:space="0" w:color="auto"/>
            </w:tcBorders>
          </w:tcPr>
          <w:p w14:paraId="05EFAADC" w14:textId="1A5EF36F"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noProof/>
                <w:color w:val="000000" w:themeColor="text1"/>
                <w:sz w:val="24"/>
              </w:rPr>
              <w:t>1</w:t>
            </w:r>
          </w:p>
        </w:tc>
      </w:tr>
      <w:tr w:rsidR="3F109544" w:rsidRPr="00570F0D" w14:paraId="7BD37471" w14:textId="77777777" w:rsidTr="3F109544">
        <w:trPr>
          <w:trHeight w:val="300"/>
        </w:trPr>
        <w:tc>
          <w:tcPr>
            <w:tcW w:w="2359" w:type="dxa"/>
            <w:tcBorders>
              <w:top w:val="single" w:sz="8" w:space="0" w:color="auto"/>
              <w:left w:val="single" w:sz="8" w:space="0" w:color="auto"/>
              <w:bottom w:val="single" w:sz="8" w:space="0" w:color="auto"/>
              <w:right w:val="single" w:sz="8" w:space="0" w:color="auto"/>
            </w:tcBorders>
          </w:tcPr>
          <w:p w14:paraId="5C0A3D7D" w14:textId="6DA7FA26" w:rsidR="3F109544" w:rsidRPr="00955CE4" w:rsidRDefault="3F109544" w:rsidP="3F109544">
            <w:pPr>
              <w:spacing w:after="0"/>
              <w:rPr>
                <w:rFonts w:ascii="Times New Roman" w:hAnsi="Times New Roman"/>
                <w:noProof/>
                <w:color w:val="000000" w:themeColor="text1"/>
                <w:sz w:val="24"/>
              </w:rPr>
            </w:pPr>
            <w:r>
              <w:rPr>
                <w:rFonts w:ascii="Times New Roman" w:hAnsi="Times New Roman"/>
                <w:b/>
                <w:noProof/>
                <w:color w:val="000000" w:themeColor="text1"/>
                <w:sz w:val="24"/>
              </w:rPr>
              <w:t>Kokku</w:t>
            </w:r>
            <w:r>
              <w:rPr>
                <w:rFonts w:ascii="Times New Roman" w:hAnsi="Times New Roman"/>
                <w:noProof/>
                <w:color w:val="000000" w:themeColor="text1"/>
                <w:sz w:val="24"/>
              </w:rPr>
              <w:t xml:space="preserve"> </w:t>
            </w:r>
          </w:p>
        </w:tc>
        <w:tc>
          <w:tcPr>
            <w:tcW w:w="2025" w:type="dxa"/>
            <w:tcBorders>
              <w:top w:val="single" w:sz="8" w:space="0" w:color="auto"/>
              <w:left w:val="single" w:sz="8" w:space="0" w:color="auto"/>
              <w:bottom w:val="single" w:sz="8" w:space="0" w:color="auto"/>
              <w:right w:val="single" w:sz="8" w:space="0" w:color="auto"/>
            </w:tcBorders>
            <w:vAlign w:val="center"/>
          </w:tcPr>
          <w:p w14:paraId="1A04F131" w14:textId="48FEB708"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b/>
                <w:noProof/>
                <w:color w:val="000000" w:themeColor="text1"/>
                <w:sz w:val="24"/>
              </w:rPr>
              <w:t>10</w:t>
            </w:r>
            <w:r>
              <w:rPr>
                <w:rFonts w:ascii="Times New Roman" w:hAnsi="Times New Roman"/>
                <w:noProof/>
                <w:color w:val="000000" w:themeColor="text1"/>
                <w:sz w:val="24"/>
              </w:rPr>
              <w:t xml:space="preserve"> </w:t>
            </w:r>
          </w:p>
        </w:tc>
        <w:tc>
          <w:tcPr>
            <w:tcW w:w="2411" w:type="dxa"/>
            <w:tcBorders>
              <w:top w:val="single" w:sz="8" w:space="0" w:color="auto"/>
              <w:left w:val="single" w:sz="8" w:space="0" w:color="auto"/>
              <w:bottom w:val="single" w:sz="8" w:space="0" w:color="auto"/>
              <w:right w:val="single" w:sz="8" w:space="0" w:color="auto"/>
            </w:tcBorders>
            <w:vAlign w:val="center"/>
          </w:tcPr>
          <w:p w14:paraId="45D57DD7" w14:textId="2C07F23A" w:rsidR="3F109544" w:rsidRPr="00955CE4" w:rsidRDefault="3F109544" w:rsidP="3F109544">
            <w:pPr>
              <w:spacing w:after="0"/>
              <w:jc w:val="right"/>
              <w:rPr>
                <w:rFonts w:ascii="Times New Roman" w:hAnsi="Times New Roman"/>
                <w:noProof/>
                <w:color w:val="000000" w:themeColor="text1"/>
                <w:sz w:val="24"/>
              </w:rPr>
            </w:pPr>
            <w:r>
              <w:rPr>
                <w:rFonts w:ascii="Times New Roman" w:hAnsi="Times New Roman"/>
                <w:b/>
                <w:noProof/>
                <w:color w:val="000000" w:themeColor="text1"/>
                <w:sz w:val="24"/>
              </w:rPr>
              <w:t>16</w:t>
            </w:r>
            <w:r>
              <w:rPr>
                <w:rFonts w:ascii="Times New Roman" w:hAnsi="Times New Roman"/>
                <w:noProof/>
                <w:color w:val="000000" w:themeColor="text1"/>
                <w:sz w:val="24"/>
              </w:rPr>
              <w:t xml:space="preserve"> </w:t>
            </w:r>
          </w:p>
        </w:tc>
        <w:tc>
          <w:tcPr>
            <w:tcW w:w="2122" w:type="dxa"/>
            <w:tcBorders>
              <w:top w:val="single" w:sz="8" w:space="0" w:color="auto"/>
              <w:left w:val="single" w:sz="8" w:space="0" w:color="auto"/>
              <w:bottom w:val="single" w:sz="8" w:space="0" w:color="auto"/>
              <w:right w:val="single" w:sz="8" w:space="0" w:color="auto"/>
            </w:tcBorders>
          </w:tcPr>
          <w:p w14:paraId="1161FCD3" w14:textId="4563D828" w:rsidR="3F109544" w:rsidRPr="00955CE4" w:rsidRDefault="3F109544" w:rsidP="3F109544">
            <w:pPr>
              <w:spacing w:after="0"/>
              <w:jc w:val="right"/>
              <w:rPr>
                <w:rFonts w:ascii="Times New Roman" w:hAnsi="Times New Roman"/>
                <w:b/>
                <w:noProof/>
                <w:color w:val="000000" w:themeColor="text1"/>
                <w:sz w:val="24"/>
              </w:rPr>
            </w:pPr>
            <w:r>
              <w:rPr>
                <w:rFonts w:ascii="Times New Roman" w:hAnsi="Times New Roman"/>
                <w:b/>
                <w:noProof/>
                <w:color w:val="000000" w:themeColor="text1"/>
                <w:sz w:val="24"/>
              </w:rPr>
              <w:t>23</w:t>
            </w:r>
          </w:p>
        </w:tc>
      </w:tr>
    </w:tbl>
    <w:p w14:paraId="792C9021" w14:textId="77777777" w:rsidR="00950B09" w:rsidRPr="00955CE4" w:rsidRDefault="00950B09" w:rsidP="00C57A6C">
      <w:pPr>
        <w:spacing w:after="0" w:line="240" w:lineRule="auto"/>
        <w:jc w:val="both"/>
        <w:textAlignment w:val="baseline"/>
        <w:rPr>
          <w:rFonts w:ascii="Times New Roman" w:hAnsi="Times New Roman"/>
          <w:b/>
          <w:noProof/>
          <w:color w:val="000000" w:themeColor="text1"/>
          <w:sz w:val="24"/>
        </w:rPr>
      </w:pPr>
    </w:p>
    <w:p w14:paraId="3CCBA72C" w14:textId="70A5AB50" w:rsidR="001571ED" w:rsidRPr="00B43E2A" w:rsidRDefault="000F1C77" w:rsidP="00B43E2A">
      <w:pPr>
        <w:spacing w:after="0" w:line="240" w:lineRule="auto"/>
        <w:jc w:val="both"/>
        <w:textAlignment w:val="baseline"/>
        <w:rPr>
          <w:rFonts w:ascii="Times New Roman" w:hAnsi="Times New Roman"/>
          <w:noProof/>
          <w:color w:val="000000" w:themeColor="text1"/>
          <w:sz w:val="24"/>
        </w:rPr>
      </w:pPr>
      <w:r>
        <w:rPr>
          <w:rFonts w:ascii="Times New Roman" w:hAnsi="Times New Roman"/>
          <w:noProof/>
          <w:color w:val="000000" w:themeColor="text1"/>
          <w:sz w:val="24"/>
        </w:rPr>
        <w:t xml:space="preserve">Joonisel 8 on näidatud 2024. aasta uute kaubandustõkete geograafiline jaotus. </w:t>
      </w:r>
      <w:r>
        <w:rPr>
          <w:rFonts w:ascii="Times New Roman" w:hAnsi="Times New Roman"/>
          <w:b/>
          <w:noProof/>
          <w:color w:val="000000" w:themeColor="text1"/>
          <w:sz w:val="24"/>
        </w:rPr>
        <w:t>Lõunanaabruses</w:t>
      </w:r>
      <w:r>
        <w:rPr>
          <w:rFonts w:ascii="Times New Roman" w:hAnsi="Times New Roman"/>
          <w:noProof/>
          <w:color w:val="000000" w:themeColor="text1"/>
          <w:sz w:val="24"/>
        </w:rPr>
        <w:t xml:space="preserve"> registreeriti taas suurim arv uusi kaubandustõkkeid – kokku kaheksa tõket. Neile järgnesid tihedalt Lõuna- ja Kagu-Aasia ning Austraalia ja Uus-Meremaa, kus registreeriti kuus uut tõket.</w:t>
      </w:r>
    </w:p>
    <w:p w14:paraId="5B12B5EF" w14:textId="05237852" w:rsidR="002F010B" w:rsidRPr="00955CE4" w:rsidRDefault="6DDB94DA" w:rsidP="00A07444">
      <w:pPr>
        <w:rPr>
          <w:rFonts w:ascii="Times New Roman" w:hAnsi="Times New Roman"/>
          <w:b/>
          <w:noProof/>
          <w:color w:val="000000" w:themeColor="text1"/>
          <w:sz w:val="24"/>
        </w:rPr>
      </w:pPr>
      <w:r>
        <w:rPr>
          <w:rFonts w:ascii="Times New Roman" w:hAnsi="Times New Roman"/>
          <w:b/>
          <w:noProof/>
          <w:color w:val="000000" w:themeColor="text1"/>
          <w:sz w:val="24"/>
        </w:rPr>
        <w:t>Joonis 8. Uute kaubandustõkete geograafiline jaotus 2024. aastal</w:t>
      </w:r>
    </w:p>
    <w:p w14:paraId="6D67236C" w14:textId="77075EC4" w:rsidR="0049727A" w:rsidRPr="00570F0D" w:rsidRDefault="003D67CB" w:rsidP="6599264F">
      <w:pPr>
        <w:spacing w:after="0" w:line="240" w:lineRule="auto"/>
        <w:ind w:firstLine="720"/>
        <w:rPr>
          <w:rFonts w:ascii="Times New Roman" w:eastAsia="Times New Roman" w:hAnsi="Times New Roman" w:cs="Times New Roman"/>
          <w:b/>
          <w:bCs/>
          <w:noProof/>
          <w:sz w:val="24"/>
          <w:szCs w:val="24"/>
        </w:rPr>
      </w:pPr>
      <w:r w:rsidRPr="00431B94">
        <w:rPr>
          <w:rFonts w:ascii="Times New Roman" w:eastAsia="Times New Roman" w:hAnsi="Times New Roman" w:cs="Times New Roman"/>
          <w:b/>
          <w:bCs/>
          <w:noProof/>
          <w:sz w:val="24"/>
          <w:szCs w:val="24"/>
          <w:lang w:val="en-GB" w:eastAsia="en-GB"/>
        </w:rPr>
        <w:drawing>
          <wp:inline distT="0" distB="0" distL="0" distR="0" wp14:anchorId="70CB8374" wp14:editId="4A7EFBE4">
            <wp:extent cx="5639587" cy="3829584"/>
            <wp:effectExtent l="0" t="0" r="0" b="0"/>
            <wp:docPr id="397385089" name="Picture 1"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85089" name="Picture 1" descr="A pie chart with different colored circles&#10;&#10;AI-generated content may be incorrect."/>
                    <pic:cNvPicPr/>
                  </pic:nvPicPr>
                  <pic:blipFill>
                    <a:blip r:embed="rId31"/>
                    <a:stretch>
                      <a:fillRect/>
                    </a:stretch>
                  </pic:blipFill>
                  <pic:spPr>
                    <a:xfrm>
                      <a:off x="0" y="0"/>
                      <a:ext cx="5639587" cy="3829584"/>
                    </a:xfrm>
                    <a:prstGeom prst="rect">
                      <a:avLst/>
                    </a:prstGeom>
                  </pic:spPr>
                </pic:pic>
              </a:graphicData>
            </a:graphic>
          </wp:inline>
        </w:drawing>
      </w:r>
    </w:p>
    <w:p w14:paraId="6C7E422A" w14:textId="77777777" w:rsidR="0049727A" w:rsidRPr="00756E4E" w:rsidRDefault="0049727A" w:rsidP="00756E4E">
      <w:pPr>
        <w:spacing w:after="0" w:line="240" w:lineRule="auto"/>
        <w:ind w:firstLine="720"/>
        <w:rPr>
          <w:rFonts w:ascii="Times New Roman" w:hAnsi="Times New Roman"/>
          <w:b/>
          <w:noProof/>
          <w:sz w:val="24"/>
        </w:rPr>
      </w:pPr>
    </w:p>
    <w:p w14:paraId="6F571F9D" w14:textId="77777777" w:rsidR="00D04EF5" w:rsidRPr="00955CE4" w:rsidRDefault="00D04EF5" w:rsidP="6599264F">
      <w:pPr>
        <w:spacing w:after="0" w:line="240" w:lineRule="auto"/>
        <w:ind w:firstLine="720"/>
        <w:rPr>
          <w:rFonts w:ascii="Times New Roman" w:hAnsi="Times New Roman"/>
          <w:b/>
          <w:noProof/>
          <w:sz w:val="24"/>
        </w:rPr>
      </w:pPr>
    </w:p>
    <w:p w14:paraId="3DDB2415" w14:textId="77777777" w:rsidR="00D04EF5" w:rsidRPr="00955CE4" w:rsidRDefault="00D04EF5" w:rsidP="6599264F">
      <w:pPr>
        <w:spacing w:after="0" w:line="240" w:lineRule="auto"/>
        <w:ind w:firstLine="720"/>
        <w:rPr>
          <w:rFonts w:ascii="Times New Roman" w:hAnsi="Times New Roman"/>
          <w:b/>
          <w:noProof/>
          <w:sz w:val="24"/>
        </w:rPr>
      </w:pPr>
    </w:p>
    <w:p w14:paraId="27A1D40C" w14:textId="7A8F613B" w:rsidR="249F122D" w:rsidRPr="00955CE4" w:rsidRDefault="44689622" w:rsidP="6599264F">
      <w:pPr>
        <w:spacing w:after="0" w:line="240" w:lineRule="auto"/>
        <w:ind w:firstLine="720"/>
        <w:rPr>
          <w:rFonts w:ascii="Times New Roman" w:hAnsi="Times New Roman"/>
          <w:b/>
          <w:noProof/>
          <w:sz w:val="24"/>
        </w:rPr>
      </w:pPr>
      <w:r>
        <w:rPr>
          <w:rFonts w:ascii="Times New Roman" w:hAnsi="Times New Roman"/>
          <w:b/>
          <w:noProof/>
          <w:sz w:val="24"/>
        </w:rPr>
        <w:t>C. 2024. aastal kaotatud tõkked</w:t>
      </w:r>
    </w:p>
    <w:p w14:paraId="20269E82" w14:textId="2436DE5C" w:rsidR="5E6B869D" w:rsidRPr="00955CE4" w:rsidRDefault="5E6B869D" w:rsidP="6599264F">
      <w:pPr>
        <w:spacing w:before="240" w:after="240"/>
        <w:jc w:val="both"/>
        <w:rPr>
          <w:rFonts w:ascii="Times New Roman" w:hAnsi="Times New Roman"/>
          <w:noProof/>
          <w:sz w:val="24"/>
        </w:rPr>
      </w:pPr>
      <w:bookmarkStart w:id="74" w:name="_Hlk198115600"/>
      <w:r>
        <w:rPr>
          <w:rFonts w:ascii="Times New Roman" w:hAnsi="Times New Roman"/>
          <w:noProof/>
          <w:sz w:val="24"/>
        </w:rPr>
        <w:t xml:space="preserve">2024. aastal tehti edusamme kaubandustõkete kõrvaldamisel – </w:t>
      </w:r>
      <w:r>
        <w:rPr>
          <w:rFonts w:ascii="Times New Roman" w:hAnsi="Times New Roman"/>
          <w:b/>
          <w:noProof/>
          <w:sz w:val="24"/>
        </w:rPr>
        <w:t>27 partnerriigis kaotati täielikult või osaliselt 44 tõket</w:t>
      </w:r>
      <w:bookmarkEnd w:id="74"/>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See saavutati tänu diplomaatilistele jõupingutustele ning kahepoolsete kaubanduslepingute raames ja WTOs loodud institutsiooniliste mehhanismide tõhusale kasutamisele.</w:t>
      </w:r>
    </w:p>
    <w:p w14:paraId="2D2BD316" w14:textId="1CDEBD81" w:rsidR="00950B09" w:rsidRPr="00756E4E" w:rsidRDefault="00950B09" w:rsidP="00950B09">
      <w:pPr>
        <w:spacing w:before="240" w:after="240"/>
        <w:jc w:val="both"/>
        <w:rPr>
          <w:rFonts w:ascii="Times New Roman" w:hAnsi="Times New Roman"/>
          <w:noProof/>
          <w:sz w:val="24"/>
        </w:rPr>
      </w:pPr>
      <w:r>
        <w:rPr>
          <w:rFonts w:ascii="Times New Roman" w:hAnsi="Times New Roman"/>
          <w:noProof/>
          <w:sz w:val="24"/>
        </w:rPr>
        <w:t xml:space="preserve">Kõigil juhtudel tegi komisjon tihedat koostööd liikmesriikide ja ELi sidusrühmadega </w:t>
      </w:r>
      <w:r>
        <w:rPr>
          <w:rFonts w:ascii="Times New Roman" w:hAnsi="Times New Roman"/>
          <w:b/>
          <w:noProof/>
          <w:sz w:val="24"/>
        </w:rPr>
        <w:t>turulepääsu partnerluse</w:t>
      </w:r>
      <w:r>
        <w:rPr>
          <w:rFonts w:ascii="Times New Roman" w:hAnsi="Times New Roman"/>
          <w:noProof/>
          <w:sz w:val="24"/>
        </w:rPr>
        <w:t xml:space="preserve"> raames, mille alusel peetakse iga kuu koosolekuid turulepääsu nõuandekomitees, mis toob kokku komisjoni, liikmesriigid ja ELi ettevõtlusühendused. ELi delegatsioonid partnerriikides täitsid kaubandustõkete kõrvaldamisel keskset osa, rakendades oma kohapealset asjatundlikkust ja soodustades otsest kontakti partnerriikide ametiasutustega. Nõukogu kaubanduspoliitika komitee arutas korrapäraselt rakendamise ja täitmise tagamise küsimusi, sealhulgas riigipõhiste tõketega seotud küsimusi.</w:t>
      </w:r>
    </w:p>
    <w:p w14:paraId="2D625927" w14:textId="24C5369D" w:rsidR="00F74EB6" w:rsidRPr="00B43E2A" w:rsidRDefault="00170FFE" w:rsidP="00B43E2A">
      <w:pPr>
        <w:spacing w:before="240" w:after="240"/>
        <w:jc w:val="both"/>
        <w:rPr>
          <w:rFonts w:ascii="Times New Roman" w:hAnsi="Times New Roman"/>
          <w:noProof/>
          <w:sz w:val="24"/>
        </w:rPr>
      </w:pPr>
      <w:r>
        <w:rPr>
          <w:rFonts w:ascii="Times New Roman" w:hAnsi="Times New Roman"/>
          <w:noProof/>
          <w:sz w:val="24"/>
        </w:rPr>
        <w:t>Enamik kõrvaldatud tõkkeid (</w:t>
      </w:r>
      <w:r w:rsidR="00FE0378">
        <w:rPr>
          <w:rFonts w:ascii="Times New Roman" w:hAnsi="Times New Roman"/>
          <w:noProof/>
          <w:sz w:val="24"/>
        </w:rPr>
        <w:t>48</w:t>
      </w:r>
      <w:r>
        <w:rPr>
          <w:rFonts w:ascii="Times New Roman" w:hAnsi="Times New Roman"/>
          <w:noProof/>
          <w:sz w:val="24"/>
        </w:rPr>
        <w:t xml:space="preserve"> %) oli seotud </w:t>
      </w:r>
      <w:r>
        <w:rPr>
          <w:rFonts w:ascii="Times New Roman" w:hAnsi="Times New Roman"/>
          <w:b/>
          <w:noProof/>
          <w:sz w:val="24"/>
        </w:rPr>
        <w:t>põllumajanduse ja kalanduse sektoriga</w:t>
      </w:r>
      <w:r>
        <w:rPr>
          <w:rFonts w:ascii="Times New Roman" w:hAnsi="Times New Roman"/>
          <w:noProof/>
          <w:sz w:val="24"/>
        </w:rPr>
        <w:t>. Lisaks käsitleti 14 % juhtudest valdkonnaüleseid küsimusi, mis mõjutasid mitme tööstusharu tooteid.</w:t>
      </w:r>
    </w:p>
    <w:p w14:paraId="0C71DD0F" w14:textId="77777777" w:rsidR="00B43E2A" w:rsidRDefault="00B43E2A" w:rsidP="00AA3E0A">
      <w:pPr>
        <w:rPr>
          <w:rFonts w:ascii="Times New Roman" w:hAnsi="Times New Roman"/>
          <w:b/>
          <w:noProof/>
          <w:sz w:val="24"/>
        </w:rPr>
      </w:pPr>
    </w:p>
    <w:p w14:paraId="5EA9D552" w14:textId="77777777" w:rsidR="00B43E2A" w:rsidRDefault="00B43E2A" w:rsidP="00AA3E0A">
      <w:pPr>
        <w:rPr>
          <w:rFonts w:ascii="Times New Roman" w:hAnsi="Times New Roman"/>
          <w:b/>
          <w:noProof/>
          <w:sz w:val="24"/>
        </w:rPr>
      </w:pPr>
    </w:p>
    <w:p w14:paraId="53507546" w14:textId="77777777" w:rsidR="00B43E2A" w:rsidRDefault="00B43E2A" w:rsidP="00AA3E0A">
      <w:pPr>
        <w:rPr>
          <w:rFonts w:ascii="Times New Roman" w:hAnsi="Times New Roman"/>
          <w:b/>
          <w:noProof/>
          <w:sz w:val="24"/>
        </w:rPr>
      </w:pPr>
    </w:p>
    <w:p w14:paraId="123FE880" w14:textId="3469A0F4" w:rsidR="486875EE" w:rsidRPr="00570F0D" w:rsidRDefault="32CB8120" w:rsidP="00AA3E0A">
      <w:pPr>
        <w:rPr>
          <w:rFonts w:ascii="Times New Roman" w:hAnsi="Times New Roman" w:cs="Times New Roman"/>
          <w:noProof/>
          <w:sz w:val="24"/>
          <w:szCs w:val="24"/>
        </w:rPr>
      </w:pPr>
      <w:r>
        <w:rPr>
          <w:rFonts w:ascii="Times New Roman" w:hAnsi="Times New Roman"/>
          <w:b/>
          <w:noProof/>
          <w:sz w:val="24"/>
        </w:rPr>
        <w:t>Joonis 9. Kõrvaldatud tõkete arv sektorite lõikes (2024)</w:t>
      </w:r>
    </w:p>
    <w:p w14:paraId="1F8837E0" w14:textId="4AA1CE94" w:rsidR="00B41751" w:rsidRPr="00570F0D" w:rsidRDefault="009C1F2C" w:rsidP="6599264F">
      <w:pPr>
        <w:spacing w:after="0" w:line="240" w:lineRule="auto"/>
        <w:jc w:val="both"/>
        <w:rPr>
          <w:rFonts w:ascii="Times New Roman" w:eastAsia="Times New Roman" w:hAnsi="Times New Roman" w:cs="Times New Roman"/>
          <w:noProof/>
          <w:sz w:val="24"/>
          <w:szCs w:val="24"/>
        </w:rPr>
      </w:pPr>
      <w:r w:rsidRPr="009C1F2C">
        <w:rPr>
          <w:noProof/>
          <w:lang w:val="en-GB" w:eastAsia="en-GB"/>
        </w:rPr>
        <w:drawing>
          <wp:inline distT="0" distB="0" distL="0" distR="0" wp14:anchorId="658AD36B" wp14:editId="1F4D1675">
            <wp:extent cx="5760720" cy="3709035"/>
            <wp:effectExtent l="0" t="0" r="0" b="0"/>
            <wp:docPr id="1154191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3709035"/>
                    </a:xfrm>
                    <a:prstGeom prst="rect">
                      <a:avLst/>
                    </a:prstGeom>
                    <a:noFill/>
                    <a:ln>
                      <a:noFill/>
                    </a:ln>
                  </pic:spPr>
                </pic:pic>
              </a:graphicData>
            </a:graphic>
          </wp:inline>
        </w:drawing>
      </w:r>
    </w:p>
    <w:p w14:paraId="66B5EE87" w14:textId="5C3B81D5" w:rsidR="506D138E" w:rsidRPr="00955CE4" w:rsidRDefault="00833F0C" w:rsidP="00950B09">
      <w:pPr>
        <w:spacing w:before="240" w:after="240"/>
        <w:jc w:val="both"/>
        <w:rPr>
          <w:rFonts w:ascii="Times New Roman" w:hAnsi="Times New Roman"/>
          <w:noProof/>
          <w:sz w:val="24"/>
        </w:rPr>
      </w:pPr>
      <w:bookmarkStart w:id="75" w:name="_Hlk198116023"/>
      <w:r>
        <w:rPr>
          <w:rFonts w:ascii="Times New Roman" w:hAnsi="Times New Roman"/>
          <w:b/>
          <w:noProof/>
          <w:sz w:val="24"/>
        </w:rPr>
        <w:t>Taas oli enamik kõrvaldatud tõkkeid seotud sanitaar- ja fütosanitaarmeetmetega</w:t>
      </w:r>
      <w:r>
        <w:rPr>
          <w:rFonts w:ascii="Times New Roman" w:hAnsi="Times New Roman"/>
          <w:noProof/>
          <w:sz w:val="24"/>
        </w:rPr>
        <w:t xml:space="preserve"> – 2024. aastal kaotati 21 tõket ning sarnased edusammud saavutati ka 2025. aasta esimese seitsme kuu jooksul. Selliste tõkete ennetamine ning täielik või osaline kõrvaldamine, mis saavutati tihedas koostöös liikmesriikide kaubandusnõunike ja asjaomaste tööstusliitudega, avaldas otsest positiivset mõju </w:t>
      </w:r>
      <w:r>
        <w:rPr>
          <w:rFonts w:ascii="Times New Roman" w:hAnsi="Times New Roman"/>
          <w:b/>
          <w:noProof/>
          <w:sz w:val="24"/>
        </w:rPr>
        <w:t>Euroopa toiduainetööstusele</w:t>
      </w:r>
      <w:bookmarkEnd w:id="75"/>
      <w:r>
        <w:rPr>
          <w:rFonts w:ascii="Times New Roman" w:hAnsi="Times New Roman"/>
          <w:noProof/>
          <w:sz w:val="24"/>
        </w:rPr>
        <w:t xml:space="preserve"> nagu näitavad järgmised näited.</w:t>
      </w:r>
    </w:p>
    <w:p w14:paraId="213EC231" w14:textId="7FE3DB97" w:rsidR="008E5448" w:rsidRPr="00570F0D" w:rsidRDefault="008E5448" w:rsidP="008E5448">
      <w:pPr>
        <w:numPr>
          <w:ilvl w:val="0"/>
          <w:numId w:val="40"/>
        </w:numPr>
        <w:jc w:val="both"/>
        <w:rPr>
          <w:rFonts w:ascii="Times New Roman" w:hAnsi="Times New Roman" w:cs="Times New Roman"/>
          <w:noProof/>
          <w:sz w:val="24"/>
          <w:szCs w:val="24"/>
        </w:rPr>
      </w:pPr>
      <w:r>
        <w:rPr>
          <w:rFonts w:ascii="Times New Roman" w:hAnsi="Times New Roman"/>
          <w:b/>
          <w:noProof/>
          <w:sz w:val="24"/>
        </w:rPr>
        <w:t>Saudi Araabia</w:t>
      </w:r>
      <w:r>
        <w:rPr>
          <w:rFonts w:ascii="Times New Roman" w:hAnsi="Times New Roman"/>
          <w:noProof/>
          <w:sz w:val="24"/>
        </w:rPr>
        <w:t xml:space="preserve"> tühistas oma </w:t>
      </w:r>
      <w:r>
        <w:rPr>
          <w:rFonts w:ascii="Times New Roman" w:hAnsi="Times New Roman"/>
          <w:b/>
          <w:noProof/>
          <w:sz w:val="24"/>
        </w:rPr>
        <w:t>ELi veiseliha impordikeelu</w:t>
      </w:r>
      <w:r>
        <w:rPr>
          <w:rFonts w:ascii="Times New Roman" w:hAnsi="Times New Roman"/>
          <w:noProof/>
          <w:sz w:val="24"/>
        </w:rPr>
        <w:t>. ELi veise-, lamba- ja kitseliha eksport Saudi Araabiasse ulatus 2024. aastal ligikaudu 10 miljoni euroni, millest suurema osa moodustas veiseliha, ning selle kasv jätkub eeldatavasti ka edaspidi.</w:t>
      </w:r>
    </w:p>
    <w:p w14:paraId="2946C05D" w14:textId="72249E6E" w:rsidR="008E5448" w:rsidRPr="00570F0D" w:rsidRDefault="00F62A1A" w:rsidP="00537840">
      <w:pPr>
        <w:pStyle w:val="ListParagraph"/>
        <w:numPr>
          <w:ilvl w:val="0"/>
          <w:numId w:val="40"/>
        </w:numPr>
        <w:jc w:val="both"/>
        <w:rPr>
          <w:rFonts w:ascii="Times New Roman" w:hAnsi="Times New Roman" w:cs="Times New Roman"/>
          <w:noProof/>
          <w:sz w:val="24"/>
          <w:szCs w:val="24"/>
        </w:rPr>
      </w:pPr>
      <w:r>
        <w:rPr>
          <w:rFonts w:ascii="Times New Roman" w:hAnsi="Times New Roman"/>
          <w:noProof/>
          <w:sz w:val="24"/>
        </w:rPr>
        <w:t xml:space="preserve">Pärast Saksamaalt pärit </w:t>
      </w:r>
      <w:r>
        <w:rPr>
          <w:rFonts w:ascii="Times New Roman" w:hAnsi="Times New Roman"/>
          <w:b/>
          <w:noProof/>
          <w:sz w:val="24"/>
        </w:rPr>
        <w:t>veise- ja sealiha impordi</w:t>
      </w:r>
      <w:r>
        <w:rPr>
          <w:rFonts w:ascii="Times New Roman" w:hAnsi="Times New Roman"/>
          <w:noProof/>
          <w:sz w:val="24"/>
        </w:rPr>
        <w:t xml:space="preserve"> peatamist kolmeks kuuks tunnustas </w:t>
      </w:r>
      <w:r>
        <w:rPr>
          <w:rFonts w:ascii="Times New Roman" w:hAnsi="Times New Roman"/>
          <w:b/>
          <w:noProof/>
          <w:sz w:val="24"/>
        </w:rPr>
        <w:t>Singapur</w:t>
      </w:r>
      <w:r>
        <w:rPr>
          <w:rFonts w:ascii="Times New Roman" w:hAnsi="Times New Roman"/>
          <w:noProof/>
          <w:sz w:val="24"/>
        </w:rPr>
        <w:t xml:space="preserve"> 2025. aasta aprillis Saksamaad „suu- ja sõrataudi vaba tsoonina, kus vaktsineerimist ei toimu“, ning lubas ekspordi taastada. Saksamaa on praegu üks Singapuri peamisi sealihatarnijaid, eksportides 2024. aastal 25 miljoni euro väärtuses. Singapur kiitis heaks ka Portugali sealiha ja sealihatoodete ekspordi eelneva registreerimise tingimustel. 2025. aasta veebruaris eksporditi Portugalist Singapuri esimene 25-tonnine sealiha partii.</w:t>
      </w:r>
    </w:p>
    <w:p w14:paraId="69836FB3" w14:textId="77777777" w:rsidR="00034EE0" w:rsidRPr="00570F0D" w:rsidRDefault="00034EE0" w:rsidP="00034EE0">
      <w:pPr>
        <w:pStyle w:val="ListParagraph"/>
        <w:jc w:val="both"/>
        <w:rPr>
          <w:rFonts w:ascii="Times New Roman" w:hAnsi="Times New Roman" w:cs="Times New Roman"/>
          <w:noProof/>
          <w:sz w:val="24"/>
          <w:szCs w:val="24"/>
        </w:rPr>
      </w:pPr>
    </w:p>
    <w:p w14:paraId="7FACA232" w14:textId="114F27E1" w:rsidR="008E5448" w:rsidRPr="00570F0D" w:rsidRDefault="008E5448" w:rsidP="008E5448">
      <w:pPr>
        <w:pStyle w:val="ListParagraph"/>
        <w:numPr>
          <w:ilvl w:val="0"/>
          <w:numId w:val="40"/>
        </w:numPr>
        <w:jc w:val="both"/>
        <w:rPr>
          <w:rFonts w:ascii="Times New Roman" w:hAnsi="Times New Roman" w:cs="Times New Roman"/>
          <w:noProof/>
          <w:sz w:val="24"/>
          <w:szCs w:val="24"/>
        </w:rPr>
      </w:pPr>
      <w:r>
        <w:rPr>
          <w:rFonts w:ascii="Times New Roman" w:hAnsi="Times New Roman"/>
          <w:b/>
          <w:noProof/>
          <w:sz w:val="24"/>
        </w:rPr>
        <w:t>Ameerika Ühendriigid</w:t>
      </w:r>
      <w:r>
        <w:rPr>
          <w:rFonts w:ascii="Times New Roman" w:hAnsi="Times New Roman"/>
          <w:noProof/>
          <w:sz w:val="24"/>
        </w:rPr>
        <w:t xml:space="preserve"> tunnustasid Itaaliat ametlikult sea vesikulaarse haiguse vabana. Selle tulemusel tühistasid Ameerika Ühendriigid Toscana ja Umbria päritolu </w:t>
      </w:r>
      <w:r>
        <w:rPr>
          <w:rFonts w:ascii="Times New Roman" w:hAnsi="Times New Roman"/>
          <w:b/>
          <w:noProof/>
          <w:sz w:val="24"/>
        </w:rPr>
        <w:t>sealiha ja sealihatoodete</w:t>
      </w:r>
      <w:r>
        <w:rPr>
          <w:rFonts w:ascii="Times New Roman" w:hAnsi="Times New Roman"/>
          <w:noProof/>
          <w:sz w:val="24"/>
        </w:rPr>
        <w:t xml:space="preserve"> suhtes kehtinud kaubanduspiirangud. Nende piirangute kaotamine avaldab märkimisväärset positiivset mõju Itaalia teatavate eritoodete ekspordile Ameerika Ühendriikidesse, eelkõige suure väärtusega kaitstud toodetele, nagu kaitstud geograafilise tähisega „</w:t>
      </w:r>
      <w:r>
        <w:rPr>
          <w:rFonts w:ascii="Times New Roman" w:hAnsi="Times New Roman"/>
          <w:i/>
          <w:iCs/>
          <w:noProof/>
          <w:sz w:val="24"/>
        </w:rPr>
        <w:t>Finocchiona</w:t>
      </w:r>
      <w:r>
        <w:rPr>
          <w:rFonts w:ascii="Times New Roman" w:hAnsi="Times New Roman"/>
          <w:noProof/>
          <w:sz w:val="24"/>
        </w:rPr>
        <w:t>“ ja kaitstud geograafilise tähisega „</w:t>
      </w:r>
      <w:r>
        <w:rPr>
          <w:rFonts w:ascii="Times New Roman" w:hAnsi="Times New Roman"/>
          <w:i/>
          <w:iCs/>
          <w:noProof/>
          <w:sz w:val="24"/>
        </w:rPr>
        <w:t>Prosciutto di Norcia</w:t>
      </w:r>
      <w:r>
        <w:rPr>
          <w:rFonts w:ascii="Times New Roman" w:hAnsi="Times New Roman"/>
          <w:noProof/>
          <w:sz w:val="24"/>
        </w:rPr>
        <w:t>“</w:t>
      </w:r>
      <w:bookmarkStart w:id="76" w:name="_Hlk200121136"/>
      <w:r>
        <w:rPr>
          <w:rFonts w:ascii="Times New Roman" w:hAnsi="Times New Roman"/>
          <w:noProof/>
          <w:sz w:val="24"/>
        </w:rPr>
        <w:t>. Eksport Ameerika Ühendriikidesse moodustab 13,5 % sertifitseeritud „</w:t>
      </w:r>
      <w:r>
        <w:rPr>
          <w:rFonts w:ascii="Times New Roman" w:hAnsi="Times New Roman"/>
          <w:i/>
          <w:noProof/>
          <w:sz w:val="24"/>
        </w:rPr>
        <w:t>Finocchiona</w:t>
      </w:r>
      <w:r>
        <w:rPr>
          <w:rFonts w:ascii="Times New Roman" w:hAnsi="Times New Roman"/>
          <w:noProof/>
          <w:sz w:val="24"/>
        </w:rPr>
        <w:t>“ tootmisest ja 15 % „</w:t>
      </w:r>
      <w:r>
        <w:rPr>
          <w:rFonts w:ascii="Times New Roman" w:hAnsi="Times New Roman"/>
          <w:i/>
          <w:noProof/>
          <w:sz w:val="24"/>
        </w:rPr>
        <w:t>Prosciutto di Norcia</w:t>
      </w:r>
      <w:r>
        <w:rPr>
          <w:rFonts w:ascii="Times New Roman" w:hAnsi="Times New Roman"/>
          <w:noProof/>
          <w:sz w:val="24"/>
        </w:rPr>
        <w:t>“ tootmisest.</w:t>
      </w:r>
      <w:bookmarkEnd w:id="76"/>
    </w:p>
    <w:p w14:paraId="1CD7548C" w14:textId="77777777" w:rsidR="008E5448" w:rsidRPr="00756E4E" w:rsidRDefault="008E5448" w:rsidP="008E5448">
      <w:pPr>
        <w:pStyle w:val="ListParagraph"/>
        <w:rPr>
          <w:rFonts w:ascii="Times New Roman" w:hAnsi="Times New Roman"/>
          <w:noProof/>
          <w:sz w:val="24"/>
        </w:rPr>
      </w:pPr>
    </w:p>
    <w:p w14:paraId="0BD3466B" w14:textId="182AF44E" w:rsidR="008E5448" w:rsidRPr="00570F0D" w:rsidRDefault="00A07D89" w:rsidP="008E5448">
      <w:pPr>
        <w:pStyle w:val="ListParagraph"/>
        <w:numPr>
          <w:ilvl w:val="0"/>
          <w:numId w:val="40"/>
        </w:numPr>
        <w:jc w:val="both"/>
        <w:rPr>
          <w:rFonts w:ascii="Times New Roman" w:hAnsi="Times New Roman" w:cs="Times New Roman"/>
          <w:noProof/>
          <w:sz w:val="24"/>
          <w:szCs w:val="24"/>
        </w:rPr>
      </w:pPr>
      <w:r>
        <w:rPr>
          <w:rFonts w:ascii="Times New Roman" w:hAnsi="Times New Roman"/>
          <w:b/>
          <w:noProof/>
          <w:sz w:val="24"/>
        </w:rPr>
        <w:t>Ameerika Ühendriigid avasid uuesti oma turu</w:t>
      </w:r>
      <w:r>
        <w:rPr>
          <w:rFonts w:ascii="Times New Roman" w:hAnsi="Times New Roman"/>
          <w:noProof/>
          <w:sz w:val="24"/>
        </w:rPr>
        <w:t xml:space="preserve"> ka </w:t>
      </w:r>
      <w:r>
        <w:rPr>
          <w:rFonts w:ascii="Times New Roman" w:hAnsi="Times New Roman"/>
          <w:b/>
          <w:noProof/>
          <w:sz w:val="24"/>
        </w:rPr>
        <w:t>lamba- ja kitselihatoodete</w:t>
      </w:r>
      <w:r>
        <w:rPr>
          <w:rFonts w:ascii="Times New Roman" w:hAnsi="Times New Roman"/>
          <w:noProof/>
          <w:sz w:val="24"/>
        </w:rPr>
        <w:t xml:space="preserve"> impordile. Sellest oodatakse positiivset mõju ELi eksportijatele, eelkõige Hispaaniast pärit ettevõtjatele – prognoosi kohaselt jõuab eksport 2027. aastaks 750 tonnini võrreldes 2025. aasta 120 tonniga, mis vastab ligikaudu 13 miljoni euro suurusele aastaväärtusele.</w:t>
      </w:r>
    </w:p>
    <w:p w14:paraId="43413C41" w14:textId="77777777" w:rsidR="008E5448" w:rsidRPr="00756E4E" w:rsidRDefault="008E5448" w:rsidP="00F575F2">
      <w:pPr>
        <w:pStyle w:val="ListParagraph"/>
        <w:spacing w:after="0"/>
        <w:jc w:val="both"/>
        <w:rPr>
          <w:rFonts w:ascii="Times New Roman" w:hAnsi="Times New Roman"/>
          <w:noProof/>
          <w:sz w:val="24"/>
        </w:rPr>
      </w:pPr>
    </w:p>
    <w:p w14:paraId="2C4D04AE" w14:textId="185862BB" w:rsidR="00FE6124" w:rsidRPr="00756E4E" w:rsidRDefault="0055715A" w:rsidP="00FE6124">
      <w:pPr>
        <w:jc w:val="both"/>
        <w:rPr>
          <w:rFonts w:ascii="Times New Roman" w:hAnsi="Times New Roman"/>
          <w:noProof/>
          <w:sz w:val="24"/>
        </w:rPr>
      </w:pPr>
      <w:r>
        <w:rPr>
          <w:rFonts w:ascii="Times New Roman" w:hAnsi="Times New Roman"/>
          <w:noProof/>
          <w:sz w:val="24"/>
        </w:rPr>
        <w:t xml:space="preserve">Viis 2024. aastal kaotatud tõket olid </w:t>
      </w:r>
      <w:r>
        <w:rPr>
          <w:rFonts w:ascii="Times New Roman" w:hAnsi="Times New Roman"/>
          <w:b/>
          <w:noProof/>
          <w:sz w:val="24"/>
        </w:rPr>
        <w:t>tehnilised kaubandustõkked</w:t>
      </w:r>
      <w:r>
        <w:rPr>
          <w:rFonts w:ascii="Times New Roman" w:hAnsi="Times New Roman"/>
          <w:noProof/>
          <w:sz w:val="24"/>
        </w:rPr>
        <w:t xml:space="preserve"> ning veel seitse puudutasid </w:t>
      </w:r>
      <w:r>
        <w:rPr>
          <w:rFonts w:ascii="Times New Roman" w:hAnsi="Times New Roman"/>
          <w:b/>
          <w:noProof/>
          <w:sz w:val="24"/>
        </w:rPr>
        <w:t>tariife, tariifiekvivalente või koguselisi piiranguid</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Nende tõkete kaotamine aitas vähendada kulusid ja parandada turulepääsu ELi eksportijate jaoks. Allpool on esitatud mõned näited kaotatud tõketest.</w:t>
      </w:r>
    </w:p>
    <w:p w14:paraId="21B96087" w14:textId="3BF2E9BE" w:rsidR="00FE6124" w:rsidRPr="00570F0D" w:rsidRDefault="003A0B45" w:rsidP="00FE6124">
      <w:pPr>
        <w:numPr>
          <w:ilvl w:val="0"/>
          <w:numId w:val="41"/>
        </w:numPr>
        <w:jc w:val="both"/>
        <w:rPr>
          <w:rFonts w:ascii="Times New Roman" w:hAnsi="Times New Roman" w:cs="Times New Roman"/>
          <w:noProof/>
          <w:sz w:val="24"/>
          <w:szCs w:val="24"/>
        </w:rPr>
      </w:pPr>
      <w:r>
        <w:rPr>
          <w:rFonts w:ascii="Times New Roman" w:hAnsi="Times New Roman"/>
          <w:b/>
          <w:noProof/>
          <w:sz w:val="24"/>
        </w:rPr>
        <w:t>Paraguay</w:t>
      </w:r>
      <w:r>
        <w:rPr>
          <w:rFonts w:ascii="Times New Roman" w:hAnsi="Times New Roman"/>
          <w:noProof/>
          <w:sz w:val="24"/>
        </w:rPr>
        <w:t xml:space="preserve"> kaotas oma konsulaatides ekspordidokumentide legaliseerimise tasu (mis läks ELi importijatele maksma 22 miljonit eurot aastas), lahendades seeläbi ELi ja Paraguay kaubandussuhetes olulise vaidlusküsimuse.</w:t>
      </w:r>
    </w:p>
    <w:p w14:paraId="5FB8E24C" w14:textId="78A0C3D4" w:rsidR="00FE6124" w:rsidRPr="00570F0D" w:rsidRDefault="00195625" w:rsidP="00FE6124">
      <w:pPr>
        <w:numPr>
          <w:ilvl w:val="0"/>
          <w:numId w:val="41"/>
        </w:numPr>
        <w:jc w:val="both"/>
        <w:rPr>
          <w:rFonts w:ascii="Times New Roman" w:hAnsi="Times New Roman" w:cs="Times New Roman"/>
          <w:noProof/>
          <w:sz w:val="24"/>
          <w:szCs w:val="24"/>
        </w:rPr>
      </w:pPr>
      <w:r>
        <w:rPr>
          <w:rFonts w:ascii="Times New Roman" w:hAnsi="Times New Roman"/>
          <w:noProof/>
          <w:sz w:val="24"/>
        </w:rPr>
        <w:t xml:space="preserve">2021. aastal otsustas </w:t>
      </w:r>
      <w:r>
        <w:rPr>
          <w:rFonts w:ascii="Times New Roman" w:hAnsi="Times New Roman"/>
          <w:b/>
          <w:noProof/>
          <w:sz w:val="24"/>
        </w:rPr>
        <w:t>Dominikaani Vabariik</w:t>
      </w:r>
      <w:r>
        <w:rPr>
          <w:rFonts w:ascii="Times New Roman" w:hAnsi="Times New Roman"/>
          <w:noProof/>
          <w:sz w:val="24"/>
        </w:rPr>
        <w:t xml:space="preserve"> pärast ELi delegatsiooni, liikmesriikide ja teiste mõjutatud riikide sekkumist vabastada alkohoolsete jookide importijad oma fiskaalkontrolli ja jälgitavussüsteemist (TRAFICO). See süsteem nõudis iga tooteühiku (nt pudelite, purkide jne) individuaalset märgistamist ning oli oluliselt suurendanud imporditud toodete hinda võrreldes kohalike toodetega. ELi importijad säästavad nüüd igal aastal ligikaudu 6,5 miljonit eurot.</w:t>
      </w:r>
    </w:p>
    <w:p w14:paraId="6CC4C21A" w14:textId="65360AA8" w:rsidR="007777A9" w:rsidRPr="00570F0D" w:rsidRDefault="00F575F2">
      <w:pPr>
        <w:numPr>
          <w:ilvl w:val="0"/>
          <w:numId w:val="37"/>
        </w:numPr>
        <w:jc w:val="both"/>
        <w:rPr>
          <w:rFonts w:ascii="Times New Roman" w:hAnsi="Times New Roman" w:cs="Times New Roman"/>
          <w:noProof/>
          <w:sz w:val="24"/>
          <w:szCs w:val="24"/>
        </w:rPr>
      </w:pPr>
      <w:r>
        <w:rPr>
          <w:rFonts w:ascii="Times New Roman" w:hAnsi="Times New Roman"/>
          <w:b/>
          <w:noProof/>
          <w:sz w:val="24"/>
        </w:rPr>
        <w:t>Dominikaani Vabariik</w:t>
      </w:r>
      <w:r>
        <w:rPr>
          <w:rFonts w:ascii="Times New Roman" w:hAnsi="Times New Roman"/>
          <w:noProof/>
          <w:sz w:val="24"/>
        </w:rPr>
        <w:t xml:space="preserve"> lõpetas 2025. aastal ka EList pärit juustu, keedusinkide ja konserveeritud köögiviljade impordi diskrimineerimise – neile kehtis varem 18 % käibemaks, samas kui omamaiste toodete puhul seda ei rakendatud. Pärast kahepoolseid arutelusid ja arutelusid WTO turulepääsu komitees lõpetasid Dominikaani Vabariigi ametiasutused diskrimineerimise, laiendades käibemaksu kohaldamist ka omamaistele toodetele (v.a teatud liiki konserveeritud köögiviljad ja kalkunisink). Sellest saab kasu ka ELi juustu ja singi eksport Dominikaani Vabariiki, mis ulatus 2024. aastal ligikaudu 50 miljoni euroni.</w:t>
      </w:r>
    </w:p>
    <w:p w14:paraId="7072E1BA" w14:textId="610E2C88" w:rsidR="00FE6124" w:rsidRPr="00570F0D" w:rsidRDefault="007777A9">
      <w:pPr>
        <w:numPr>
          <w:ilvl w:val="0"/>
          <w:numId w:val="37"/>
        </w:numPr>
        <w:jc w:val="both"/>
        <w:rPr>
          <w:rFonts w:ascii="Times New Roman" w:hAnsi="Times New Roman" w:cs="Times New Roman"/>
          <w:noProof/>
          <w:sz w:val="24"/>
          <w:szCs w:val="24"/>
        </w:rPr>
      </w:pPr>
      <w:r>
        <w:rPr>
          <w:rFonts w:ascii="Times New Roman" w:hAnsi="Times New Roman"/>
          <w:b/>
          <w:noProof/>
          <w:sz w:val="24"/>
        </w:rPr>
        <w:t>Peruu</w:t>
      </w:r>
      <w:r>
        <w:rPr>
          <w:rFonts w:ascii="Times New Roman" w:hAnsi="Times New Roman"/>
          <w:noProof/>
          <w:sz w:val="24"/>
        </w:rPr>
        <w:t xml:space="preserve"> kalandusamet muutis oma eeskirju, et hõlbustada piiriülest teenuste osutamist, ja tunnustas 2024. aasta novembris ametlikult üht ELi laborit, kellel on lubatud tegutseda Peruus toidu ja sööda ekspordiks väljastatavate sanitaar- ja fütosanitaartõendite testimisasutusena. See tähendab, et ELi labor ei pea enam tegelema menetluslike takistustega, nagu kohapealsed inspekteerimised ja töötajatele kehtestatud ülemäära ranged töötingimused. See läbimurre on aastatepikkuste läbirääkimiste tulemus, mille eesmärk oli kaotada regulatiivsed tõkked ELi ja Peruu vahelise kaubanduslepingu raames.</w:t>
      </w:r>
    </w:p>
    <w:p w14:paraId="024A85B3" w14:textId="6D040C64" w:rsidR="00FE6124" w:rsidRPr="00570F0D" w:rsidRDefault="00FE6124" w:rsidP="00FE6124">
      <w:pPr>
        <w:numPr>
          <w:ilvl w:val="0"/>
          <w:numId w:val="37"/>
        </w:numPr>
        <w:jc w:val="both"/>
        <w:rPr>
          <w:rFonts w:ascii="Times New Roman" w:hAnsi="Times New Roman" w:cs="Times New Roman"/>
          <w:noProof/>
          <w:sz w:val="24"/>
          <w:szCs w:val="24"/>
        </w:rPr>
      </w:pPr>
      <w:r>
        <w:rPr>
          <w:rFonts w:ascii="Times New Roman" w:hAnsi="Times New Roman"/>
          <w:b/>
          <w:noProof/>
          <w:sz w:val="24"/>
        </w:rPr>
        <w:t>Indoneesia</w:t>
      </w:r>
      <w:r>
        <w:rPr>
          <w:rFonts w:ascii="Times New Roman" w:hAnsi="Times New Roman"/>
          <w:noProof/>
          <w:sz w:val="24"/>
        </w:rPr>
        <w:t xml:space="preserve"> tühistas ELi ettevõtjate tekstiili ja tekstiilitoodete (nt vaibad ja vaipkatted) impordikeelu. Enne keelu tühistamist võisid ELi tekstiiliettevõtted importida pooltooteid või viimistlemata tooteid ainult siis, kui seda taotles mõni Indoneesia tööstusministeeriumis registreeritud VKE.</w:t>
      </w:r>
    </w:p>
    <w:p w14:paraId="7FF7D181" w14:textId="665F6FC2" w:rsidR="00FE6124" w:rsidRPr="00570F0D" w:rsidRDefault="000A0D30" w:rsidP="00FE6124">
      <w:pPr>
        <w:numPr>
          <w:ilvl w:val="0"/>
          <w:numId w:val="37"/>
        </w:numPr>
        <w:jc w:val="both"/>
        <w:rPr>
          <w:rFonts w:ascii="Times New Roman" w:hAnsi="Times New Roman" w:cs="Times New Roman"/>
          <w:noProof/>
          <w:sz w:val="24"/>
          <w:szCs w:val="24"/>
        </w:rPr>
      </w:pPr>
      <w:r>
        <w:rPr>
          <w:rFonts w:ascii="Times New Roman" w:hAnsi="Times New Roman"/>
          <w:b/>
          <w:noProof/>
          <w:sz w:val="24"/>
        </w:rPr>
        <w:t>Saudi Araabia</w:t>
      </w:r>
      <w:r>
        <w:rPr>
          <w:rFonts w:ascii="Times New Roman" w:hAnsi="Times New Roman"/>
          <w:noProof/>
          <w:sz w:val="24"/>
        </w:rPr>
        <w:t xml:space="preserve"> hõlbustas 2024. ja 2025. aastal veelgi ELi keraamiliste plaatide turulepääsu, muutes auditid vähem koormavaks. Pärast arvukaid katseid lahendada küsimus WTO tehniliste kaubandustõkete komitee kohtumistel ja kahepoolsetel aruteludel, sealhulgas komisjoni kaubandusvaldkonna juhtiva järelevalveametniku 2024. aasta septembris saadetud kirjaga, andis Saudi Araabia lõpuks kirjaliku kinnituse, et tema auditeerimisasutused järgivad ELi eksportijate puhul auditikulude ülempiiri. Kuna pärast kaubandustõkete määruse alusel toimunud uurimist lõpetati üleliigne testimine ja tooteauditid, on ELi keraamiliste plaatide eksport Saudi Araabiasse stabiilselt kasvanud, suurenedes väärtuselt 385 miljonilt eurolt 2021. aastal 502 miljoni euroni 2024. aastal. Keraamilised plaadid moodustavad kokku 30 % kogu ELi ekspordist Saudi Araabiasse.</w:t>
      </w:r>
    </w:p>
    <w:p w14:paraId="1FA74E68" w14:textId="64A67FF4" w:rsidR="00740344" w:rsidRPr="00570F0D" w:rsidRDefault="00F97954" w:rsidP="00FE6124">
      <w:pPr>
        <w:numPr>
          <w:ilvl w:val="0"/>
          <w:numId w:val="37"/>
        </w:numPr>
        <w:jc w:val="both"/>
        <w:rPr>
          <w:rFonts w:ascii="Times New Roman" w:hAnsi="Times New Roman" w:cs="Times New Roman"/>
          <w:noProof/>
          <w:sz w:val="24"/>
          <w:szCs w:val="24"/>
        </w:rPr>
      </w:pPr>
      <w:r>
        <w:rPr>
          <w:rFonts w:ascii="Times New Roman" w:hAnsi="Times New Roman"/>
          <w:noProof/>
          <w:sz w:val="24"/>
        </w:rPr>
        <w:t xml:space="preserve">2024. aasta jaanuaris reformis </w:t>
      </w:r>
      <w:r>
        <w:rPr>
          <w:rFonts w:ascii="Times New Roman" w:hAnsi="Times New Roman"/>
          <w:b/>
          <w:noProof/>
          <w:sz w:val="24"/>
        </w:rPr>
        <w:t>Brasiilia</w:t>
      </w:r>
      <w:r>
        <w:rPr>
          <w:rFonts w:ascii="Times New Roman" w:hAnsi="Times New Roman"/>
          <w:noProof/>
          <w:sz w:val="24"/>
        </w:rPr>
        <w:t xml:space="preserve"> OECD ja ELi korduvatele üleskutsetele reageerides oma siirdehindade eeskirju, st hindu, mida sama ettevõttekontserni filiaalid võtavad üksteiselt piiriüleselt tarnitavate kaupade ja teenuste eest. Uute eeskirjade kohaselt tuleb sellised tehingud arveldada turuhinnaga, kooskõlas OECD „reaalturuväärtuse põhimõttega“. See muudatus, mis peegeldab ELi pikaajalist prioriteeti, suurendab maksukindlust, vähendab topeltmaksustamist ning lihtsustab nõuete täitmist ELi Brasiilias tegutsevate ettevõtjate jaoks. Kuigi muudatuse täielik mõju avaldub ajapikku, tähistab see juba praegu olulist sammu õiglasema ja prognoositavama kaubanduskeskkonna loomisel.</w:t>
      </w:r>
    </w:p>
    <w:p w14:paraId="21C4FDFC" w14:textId="0A93D505" w:rsidR="00FE6124" w:rsidRPr="00570F0D" w:rsidRDefault="007D7076" w:rsidP="00FE6124">
      <w:pPr>
        <w:jc w:val="both"/>
        <w:rPr>
          <w:rFonts w:ascii="Times New Roman" w:hAnsi="Times New Roman" w:cs="Times New Roman"/>
          <w:noProof/>
          <w:sz w:val="24"/>
          <w:szCs w:val="24"/>
        </w:rPr>
      </w:pPr>
      <w:r>
        <w:rPr>
          <w:rFonts w:ascii="Times New Roman" w:hAnsi="Times New Roman"/>
          <w:noProof/>
          <w:sz w:val="24"/>
        </w:rPr>
        <w:t xml:space="preserve">2024. aastal tehti </w:t>
      </w:r>
      <w:r>
        <w:rPr>
          <w:rFonts w:ascii="Times New Roman" w:hAnsi="Times New Roman"/>
          <w:b/>
          <w:noProof/>
          <w:sz w:val="24"/>
        </w:rPr>
        <w:t>häid edusamme</w:t>
      </w:r>
      <w:r>
        <w:rPr>
          <w:rFonts w:ascii="Times New Roman" w:hAnsi="Times New Roman"/>
          <w:noProof/>
          <w:sz w:val="24"/>
        </w:rPr>
        <w:t xml:space="preserve"> ka </w:t>
      </w:r>
      <w:r>
        <w:rPr>
          <w:rFonts w:ascii="Times New Roman" w:hAnsi="Times New Roman"/>
          <w:b/>
          <w:noProof/>
          <w:sz w:val="24"/>
        </w:rPr>
        <w:t>ekspordipiirangute kõrvaldamisel</w:t>
      </w:r>
      <w:r>
        <w:rPr>
          <w:rFonts w:ascii="Times New Roman" w:hAnsi="Times New Roman"/>
          <w:noProof/>
          <w:sz w:val="24"/>
        </w:rPr>
        <w:t>.</w:t>
      </w:r>
    </w:p>
    <w:p w14:paraId="2BF3B196" w14:textId="654656DA" w:rsidR="00993F48" w:rsidRPr="00756E4E" w:rsidRDefault="000B7E57" w:rsidP="00993F48">
      <w:pPr>
        <w:numPr>
          <w:ilvl w:val="0"/>
          <w:numId w:val="37"/>
        </w:numPr>
        <w:jc w:val="both"/>
        <w:rPr>
          <w:rFonts w:ascii="Times New Roman" w:hAnsi="Times New Roman"/>
          <w:noProof/>
          <w:sz w:val="24"/>
        </w:rPr>
      </w:pPr>
      <w:r>
        <w:rPr>
          <w:rFonts w:ascii="Times New Roman" w:hAnsi="Times New Roman"/>
          <w:b/>
          <w:noProof/>
          <w:sz w:val="24"/>
        </w:rPr>
        <w:t>Türgi</w:t>
      </w:r>
      <w:r>
        <w:rPr>
          <w:rFonts w:ascii="Times New Roman" w:hAnsi="Times New Roman"/>
          <w:noProof/>
          <w:sz w:val="24"/>
        </w:rPr>
        <w:t xml:space="preserve"> kaotas pikaajalise vasejäätmete ekspordilitsentside süsteemi, mis kehtestatud piirangute tõttu oli tegelikkuses võrdväärne ekspordikeeluga. Vasejäätmed registreeritakse nüüd ekspordiks automaatselt.</w:t>
      </w:r>
    </w:p>
    <w:p w14:paraId="654C22E5" w14:textId="26076914" w:rsidR="007F3992" w:rsidRPr="00756E4E" w:rsidRDefault="0089480E" w:rsidP="00756E4E">
      <w:pPr>
        <w:numPr>
          <w:ilvl w:val="0"/>
          <w:numId w:val="37"/>
        </w:numPr>
        <w:spacing w:after="120"/>
        <w:jc w:val="both"/>
        <w:rPr>
          <w:rFonts w:ascii="Times New Roman" w:hAnsi="Times New Roman"/>
          <w:noProof/>
          <w:sz w:val="24"/>
        </w:rPr>
      </w:pPr>
      <w:r>
        <w:rPr>
          <w:rFonts w:ascii="Times New Roman" w:hAnsi="Times New Roman"/>
          <w:b/>
          <w:noProof/>
          <w:sz w:val="24"/>
        </w:rPr>
        <w:t>India</w:t>
      </w:r>
      <w:r>
        <w:rPr>
          <w:rFonts w:ascii="Times New Roman" w:hAnsi="Times New Roman"/>
          <w:noProof/>
          <w:sz w:val="24"/>
        </w:rPr>
        <w:t xml:space="preserve"> ja </w:t>
      </w:r>
      <w:r>
        <w:rPr>
          <w:rFonts w:ascii="Times New Roman" w:hAnsi="Times New Roman"/>
          <w:b/>
          <w:noProof/>
          <w:sz w:val="24"/>
        </w:rPr>
        <w:t>Bangladesh</w:t>
      </w:r>
      <w:r>
        <w:rPr>
          <w:rFonts w:ascii="Times New Roman" w:hAnsi="Times New Roman"/>
          <w:noProof/>
          <w:sz w:val="24"/>
        </w:rPr>
        <w:t xml:space="preserve"> lõpetasid oma pikaajalised toornaha ekspordipiirangud, mis olid mõnda aega kahjustanud ELi rõiva- ja nahatööstust. </w:t>
      </w:r>
      <w:r>
        <w:rPr>
          <w:rFonts w:ascii="Times New Roman" w:hAnsi="Times New Roman"/>
          <w:b/>
          <w:noProof/>
          <w:sz w:val="24"/>
        </w:rPr>
        <w:t>India</w:t>
      </w:r>
      <w:r>
        <w:rPr>
          <w:rFonts w:ascii="Times New Roman" w:hAnsi="Times New Roman"/>
          <w:noProof/>
          <w:sz w:val="24"/>
        </w:rPr>
        <w:t xml:space="preserve"> kaotas liigse eksporditollimaksud toornaha ja teatavate pooltöödeldud nahkade suhtes (mis olid kogu maailma kõrgeimad omasugused tollimaksud, ulatudes 25–60 %ni), mis oli piiranud ELi rõivatööstuse võimalusi hankida usaldusväärsetest allikatest piisavalt toorainet turuhinnaga. 2025. aastal vähendati põhitollimaksu 10 %lt nullini </w:t>
      </w:r>
      <w:r>
        <w:rPr>
          <w:rFonts w:ascii="Times New Roman" w:hAnsi="Times New Roman"/>
          <w:i/>
          <w:noProof/>
          <w:sz w:val="24"/>
        </w:rPr>
        <w:t>wet blue</w:t>
      </w:r>
      <w:r>
        <w:rPr>
          <w:rFonts w:ascii="Times New Roman" w:hAnsi="Times New Roman"/>
          <w:noProof/>
          <w:sz w:val="24"/>
        </w:rPr>
        <w:t xml:space="preserve"> naha puhul ning 20 %-lt nullini enne kuivatamist järelpargitud naha puhul. 2024. aastal tühistas Bangladesh osaliselt oma ekspordikeelu ning lubab nüüd toornahka ja </w:t>
      </w:r>
      <w:r>
        <w:rPr>
          <w:rFonts w:ascii="Times New Roman" w:hAnsi="Times New Roman"/>
          <w:i/>
          <w:noProof/>
          <w:sz w:val="24"/>
        </w:rPr>
        <w:t>wet-blue</w:t>
      </w:r>
      <w:r>
        <w:rPr>
          <w:rFonts w:ascii="Times New Roman" w:hAnsi="Times New Roman"/>
          <w:noProof/>
          <w:sz w:val="24"/>
        </w:rPr>
        <w:t xml:space="preserve"> nahka eksportida juhtumipõhiselt.</w:t>
      </w:r>
    </w:p>
    <w:p w14:paraId="390F64C5" w14:textId="77777777" w:rsidR="00517775" w:rsidRPr="00570F0D" w:rsidRDefault="00517775" w:rsidP="00756E4E">
      <w:pPr>
        <w:spacing w:after="0"/>
        <w:ind w:left="360"/>
        <w:jc w:val="both"/>
        <w:rPr>
          <w:rFonts w:ascii="Times New Roman" w:hAnsi="Times New Roman" w:cs="Times New Roman"/>
          <w:noProof/>
          <w:sz w:val="24"/>
          <w:szCs w:val="24"/>
        </w:rPr>
      </w:pPr>
    </w:p>
    <w:p w14:paraId="638FFF29" w14:textId="0556F903" w:rsidR="009A4EC6" w:rsidRPr="00570F0D" w:rsidRDefault="009A4EC6" w:rsidP="00034EE0">
      <w:pPr>
        <w:pStyle w:val="Style2"/>
        <w:ind w:left="720" w:hanging="720"/>
        <w:rPr>
          <w:rFonts w:cs="Times New Roman"/>
          <w:noProof/>
        </w:rPr>
      </w:pPr>
      <w:bookmarkStart w:id="77" w:name="_Toc211940631"/>
      <w:bookmarkStart w:id="78" w:name="_Hlk165043836"/>
      <w:bookmarkStart w:id="79" w:name="_Hlk170404065"/>
      <w:r>
        <w:rPr>
          <w:noProof/>
        </w:rPr>
        <w:t>IV.2</w:t>
      </w:r>
      <w:r>
        <w:rPr>
          <w:noProof/>
        </w:rPr>
        <w:tab/>
        <w:t>Kahepoolne ja mitmepoolne kaubanduskohustuste täitmise tagamine – vaidluste lahendamine</w:t>
      </w:r>
      <w:bookmarkEnd w:id="77"/>
    </w:p>
    <w:p w14:paraId="263CC2A1" w14:textId="77777777" w:rsidR="009A4EC6" w:rsidRPr="00756E4E" w:rsidRDefault="009A4EC6" w:rsidP="009A4EC6">
      <w:pPr>
        <w:spacing w:after="0" w:line="240" w:lineRule="auto"/>
        <w:jc w:val="both"/>
        <w:textAlignment w:val="baseline"/>
        <w:rPr>
          <w:rFonts w:ascii="Times New Roman" w:hAnsi="Times New Roman"/>
          <w:noProof/>
          <w:sz w:val="24"/>
        </w:rPr>
      </w:pPr>
    </w:p>
    <w:p w14:paraId="04036233" w14:textId="49097165" w:rsidR="009A4EC6" w:rsidRPr="00756E4E" w:rsidRDefault="009A4EC6" w:rsidP="00756E4E">
      <w:pPr>
        <w:spacing w:after="160" w:line="259" w:lineRule="auto"/>
        <w:contextualSpacing/>
        <w:jc w:val="both"/>
        <w:rPr>
          <w:rFonts w:ascii="Times New Roman" w:hAnsi="Times New Roman"/>
          <w:noProof/>
          <w:sz w:val="24"/>
        </w:rPr>
      </w:pPr>
      <w:r>
        <w:rPr>
          <w:rFonts w:ascii="Times New Roman" w:hAnsi="Times New Roman"/>
          <w:noProof/>
          <w:sz w:val="24"/>
        </w:rPr>
        <w:t xml:space="preserve">Kuigi enamik tõketest kaotatakse jätkuvalt tänu suhtlemisele kaubanduspartneriga vabakaubanduslepingu või WTO komitees, on mõnel juhul endiselt vaja kasutada ametlikku vaidluste lahendamise menetlust, mis on kehtestatud kas kahepoolse lepinguga või WTO raames. Selleks on jätkuvalt </w:t>
      </w:r>
      <w:r>
        <w:rPr>
          <w:rFonts w:ascii="Times New Roman" w:hAnsi="Times New Roman"/>
          <w:b/>
          <w:noProof/>
          <w:sz w:val="24"/>
        </w:rPr>
        <w:t>väga oluline, et säiliks võimalus lahendada</w:t>
      </w:r>
      <w:r>
        <w:rPr>
          <w:rFonts w:ascii="Times New Roman" w:hAnsi="Times New Roman"/>
          <w:noProof/>
          <w:sz w:val="24"/>
        </w:rPr>
        <w:t xml:space="preserve"> WTO liikmete vahelisi </w:t>
      </w:r>
      <w:r>
        <w:rPr>
          <w:rFonts w:ascii="Times New Roman" w:hAnsi="Times New Roman"/>
          <w:b/>
          <w:noProof/>
          <w:sz w:val="24"/>
        </w:rPr>
        <w:t>vaidlusi</w:t>
      </w:r>
      <w:r>
        <w:rPr>
          <w:rFonts w:ascii="Times New Roman" w:hAnsi="Times New Roman"/>
          <w:noProof/>
          <w:sz w:val="24"/>
        </w:rPr>
        <w:t>.</w:t>
      </w:r>
    </w:p>
    <w:p w14:paraId="7E1D9628" w14:textId="0A500E1B" w:rsidR="009654C2" w:rsidRPr="00756E4E" w:rsidRDefault="009A4EC6" w:rsidP="00651294">
      <w:pPr>
        <w:spacing w:after="160" w:line="259" w:lineRule="auto"/>
        <w:contextualSpacing/>
        <w:jc w:val="both"/>
        <w:rPr>
          <w:rFonts w:ascii="Times New Roman" w:hAnsi="Times New Roman"/>
          <w:noProof/>
          <w:sz w:val="24"/>
        </w:rPr>
      </w:pPr>
      <w:bookmarkStart w:id="80" w:name="_Hlk203037814"/>
      <w:r>
        <w:rPr>
          <w:rFonts w:ascii="Times New Roman" w:hAnsi="Times New Roman"/>
          <w:noProof/>
          <w:sz w:val="24"/>
        </w:rPr>
        <w:t>Ennekõike on aidanud jätkata vaidluste lahendamist WTOs</w:t>
      </w:r>
      <w:r>
        <w:rPr>
          <w:noProof/>
        </w:rPr>
        <w:t xml:space="preserve"> </w:t>
      </w:r>
      <w:bookmarkStart w:id="81" w:name="_Hlk198066093"/>
      <w:r>
        <w:rPr>
          <w:rFonts w:ascii="Times New Roman" w:hAnsi="Times New Roman"/>
          <w:b/>
          <w:noProof/>
          <w:sz w:val="24"/>
        </w:rPr>
        <w:t>mitmepoolne vahekokkulepe</w:t>
      </w:r>
      <w:bookmarkEnd w:id="81"/>
      <w:r>
        <w:rPr>
          <w:rFonts w:ascii="Times New Roman" w:hAnsi="Times New Roman"/>
          <w:noProof/>
          <w:sz w:val="24"/>
        </w:rPr>
        <w:t xml:space="preserve"> ja ajutised vahekohtukokkulepped, hoolimata sellest</w:t>
      </w:r>
      <w:bookmarkStart w:id="82" w:name="_Hlk166491825"/>
      <w:r>
        <w:rPr>
          <w:rFonts w:ascii="Times New Roman" w:hAnsi="Times New Roman"/>
          <w:noProof/>
          <w:sz w:val="24"/>
        </w:rPr>
        <w:t xml:space="preserve">, et Ameerika Ühendriigid on alates 2019. aastast blokeerinud WTO apellatsioonikogu liikmete ametisse nimetamist. </w:t>
      </w:r>
      <w:bookmarkStart w:id="83" w:name="_Hlk166862672"/>
      <w:r>
        <w:rPr>
          <w:rFonts w:ascii="Times New Roman" w:hAnsi="Times New Roman"/>
          <w:noProof/>
          <w:sz w:val="24"/>
        </w:rPr>
        <w:t xml:space="preserve">Mitmepoolne vahekokkulepe tagab selle osalejatele juurdepääsu toimivale vaidluste lahendamise süsteemile WTOs ning kindlustab, et eeskirju saab jõustada ja kaubandusvaidlusi lahendada, ilma et apellatsioone esitataks n-ö tühjusesse. Pärast seda, kui </w:t>
      </w:r>
      <w:r>
        <w:rPr>
          <w:rFonts w:ascii="Times New Roman" w:hAnsi="Times New Roman"/>
          <w:b/>
          <w:noProof/>
          <w:sz w:val="24"/>
        </w:rPr>
        <w:t>Paraguay, Malaisia ja Ühendkuningriik</w:t>
      </w:r>
      <w:r>
        <w:rPr>
          <w:rFonts w:ascii="Times New Roman" w:hAnsi="Times New Roman"/>
          <w:noProof/>
          <w:sz w:val="24"/>
        </w:rPr>
        <w:t xml:space="preserve"> sellega 2025. aasta esimesel poolel liitusid, hõlmab mitmepoolne vahekokkulepe nüüd 166 WTO liikmest (koos ELi liikmesriikidega) 57 liiget ning katab 57 % maailma kaubandusest. Mitmepoolne vahekokkulepe loodi 2020. aastal ning on osutunud tõhusaks vaidluste korrapärase lahendamise tagamisel.</w:t>
      </w:r>
    </w:p>
    <w:p w14:paraId="2298E8AB" w14:textId="77777777" w:rsidR="009654C2" w:rsidRPr="00756E4E" w:rsidRDefault="009654C2" w:rsidP="00651294">
      <w:pPr>
        <w:spacing w:after="160" w:line="259" w:lineRule="auto"/>
        <w:contextualSpacing/>
        <w:jc w:val="both"/>
        <w:rPr>
          <w:rFonts w:ascii="Times New Roman" w:hAnsi="Times New Roman"/>
          <w:noProof/>
          <w:sz w:val="24"/>
        </w:rPr>
      </w:pPr>
    </w:p>
    <w:p w14:paraId="36AE862A" w14:textId="71F09FE4" w:rsidR="009A547E" w:rsidRPr="00756E4E" w:rsidRDefault="00CB43E4" w:rsidP="009A4EC6">
      <w:pPr>
        <w:spacing w:after="160" w:line="259" w:lineRule="auto"/>
        <w:contextualSpacing/>
        <w:jc w:val="both"/>
        <w:rPr>
          <w:rFonts w:ascii="Times New Roman" w:hAnsi="Times New Roman"/>
          <w:i/>
          <w:noProof/>
          <w:sz w:val="24"/>
        </w:rPr>
      </w:pPr>
      <w:r>
        <w:rPr>
          <w:rFonts w:ascii="Times New Roman" w:hAnsi="Times New Roman"/>
          <w:noProof/>
          <w:sz w:val="24"/>
        </w:rPr>
        <w:t>Selle aruande koostamise ajal ei olnud ühegi mitmepoolses vahekokkuleppes osalejate vahelise vaidluse puhul esitatud apellatsiooni n-ö tühjusesse. Esimene sel kokkuleppel põhinev otsus tehti 2022. aasta detsembris ELi algatatud vaidluses DS591 (Colombia – külmutatud friikartulid).</w:t>
      </w:r>
    </w:p>
    <w:p w14:paraId="09B1E0AE" w14:textId="77777777" w:rsidR="009A547E" w:rsidRPr="00756E4E" w:rsidRDefault="009A547E" w:rsidP="009A4EC6">
      <w:pPr>
        <w:spacing w:after="160" w:line="259" w:lineRule="auto"/>
        <w:contextualSpacing/>
        <w:jc w:val="both"/>
        <w:rPr>
          <w:rFonts w:ascii="Times New Roman" w:hAnsi="Times New Roman"/>
          <w:i/>
          <w:noProof/>
          <w:sz w:val="24"/>
        </w:rPr>
      </w:pPr>
    </w:p>
    <w:p w14:paraId="3B9482D8" w14:textId="3C39D031" w:rsidR="006E1B7F" w:rsidRPr="00756E4E" w:rsidRDefault="00651294" w:rsidP="00756E4E">
      <w:pPr>
        <w:jc w:val="both"/>
        <w:rPr>
          <w:rFonts w:ascii="Times New Roman" w:hAnsi="Times New Roman"/>
          <w:noProof/>
        </w:rPr>
      </w:pPr>
      <w:bookmarkStart w:id="84" w:name="_Hlk204188291"/>
      <w:r>
        <w:rPr>
          <w:rFonts w:ascii="Times New Roman" w:hAnsi="Times New Roman"/>
          <w:noProof/>
          <w:sz w:val="24"/>
        </w:rPr>
        <w:t xml:space="preserve">EL esitas 22. aprillil 2025. aastal mitmepoolse vahekokkuleppe raames kaebuse vaidluses DS611 (Hiina – kohtumenetluse keelud). </w:t>
      </w:r>
      <w:bookmarkEnd w:id="83"/>
      <w:r>
        <w:rPr>
          <w:rFonts w:ascii="Times New Roman" w:hAnsi="Times New Roman"/>
          <w:noProof/>
          <w:sz w:val="24"/>
        </w:rPr>
        <w:t>WTO apellatsioonide vahekohtunik tühistas 21. juulil esialgse töörühma olulised järeldused ning nõustus ELiga, leides, et Hiina kohtumenetluse keeldude poliitika ei ole kooskõlas intellektuaalomandi õiguste kaubandusaspektide lepinguga. See on oluline võit ELis tegutsevatele kõrgtehnoloogiaettevõtetele, kelle teadusuuringute tulemusi olid kõnealused Hiina poliitikad kahjustanud. See tagab, et Euroopa ettevõtted saavad jätkuvalt kaitsta oma intellektuaalomandit Euroopa kohtutes.</w:t>
      </w:r>
    </w:p>
    <w:bookmarkEnd w:id="80"/>
    <w:bookmarkEnd w:id="82"/>
    <w:bookmarkEnd w:id="84"/>
    <w:p w14:paraId="1B687BFB" w14:textId="359DC366" w:rsidR="009A4EC6" w:rsidRPr="00955CE4" w:rsidRDefault="009A4EC6" w:rsidP="009A4EC6">
      <w:pPr>
        <w:spacing w:after="160" w:line="259" w:lineRule="auto"/>
        <w:contextualSpacing/>
        <w:jc w:val="both"/>
        <w:rPr>
          <w:rFonts w:ascii="Times New Roman" w:hAnsi="Times New Roman"/>
          <w:b/>
          <w:noProof/>
          <w:sz w:val="24"/>
        </w:rPr>
      </w:pPr>
      <w:r>
        <w:rPr>
          <w:rFonts w:ascii="Times New Roman" w:hAnsi="Times New Roman"/>
          <w:b/>
          <w:noProof/>
          <w:sz w:val="24"/>
        </w:rPr>
        <w:t>Vaidluste lahendamine</w:t>
      </w:r>
      <w:r>
        <w:rPr>
          <w:rFonts w:ascii="Times New Roman" w:hAnsi="Times New Roman"/>
          <w:noProof/>
          <w:sz w:val="24"/>
        </w:rPr>
        <w:t xml:space="preserve"> on endiselt ELi täitmise tagamise alases tegevuses oluline vahend. See on hästi toimiv reeglipõhine viis lahendada vaidlusi, mis pakub kauplejatele, ettevõtjatele ja valitsustele õiguskindlust ja prognoositavust.</w:t>
      </w:r>
    </w:p>
    <w:p w14:paraId="10909EB8" w14:textId="77777777" w:rsidR="00F74EB6" w:rsidRPr="00756E4E" w:rsidRDefault="00F74EB6" w:rsidP="009A4EC6">
      <w:pPr>
        <w:spacing w:after="160" w:line="259" w:lineRule="auto"/>
        <w:contextualSpacing/>
        <w:jc w:val="both"/>
        <w:rPr>
          <w:rFonts w:ascii="Times New Roman" w:hAnsi="Times New Roman"/>
          <w:noProof/>
          <w:sz w:val="24"/>
        </w:rPr>
      </w:pPr>
      <w:bookmarkStart w:id="85" w:name="_Hlk198065727"/>
      <w:bookmarkStart w:id="86" w:name="_Hlk174378251"/>
    </w:p>
    <w:p w14:paraId="64B3FF11" w14:textId="2F17E593" w:rsidR="009A4EC6" w:rsidRPr="00955CE4" w:rsidRDefault="009A4EC6" w:rsidP="009A4EC6">
      <w:pPr>
        <w:spacing w:after="160" w:line="259" w:lineRule="auto"/>
        <w:contextualSpacing/>
        <w:jc w:val="both"/>
        <w:rPr>
          <w:rFonts w:ascii="Times New Roman" w:hAnsi="Times New Roman"/>
          <w:noProof/>
          <w:sz w:val="24"/>
        </w:rPr>
      </w:pPr>
      <w:r>
        <w:rPr>
          <w:rFonts w:ascii="Times New Roman" w:hAnsi="Times New Roman"/>
          <w:noProof/>
          <w:sz w:val="24"/>
        </w:rPr>
        <w:t>Kokku algatati perioodil 2024. aasta juunist kuni 2025. aasta juulini viis uut vaidlust.</w:t>
      </w:r>
    </w:p>
    <w:bookmarkEnd w:id="85"/>
    <w:p w14:paraId="684D2CE7" w14:textId="77777777" w:rsidR="009A4EC6" w:rsidRPr="00955CE4" w:rsidRDefault="009A4EC6" w:rsidP="00B87FD5">
      <w:pPr>
        <w:spacing w:after="0" w:line="259" w:lineRule="auto"/>
        <w:contextualSpacing/>
        <w:jc w:val="both"/>
        <w:rPr>
          <w:rFonts w:ascii="Times New Roman" w:hAnsi="Times New Roman"/>
          <w:noProof/>
          <w:sz w:val="24"/>
        </w:rPr>
      </w:pPr>
    </w:p>
    <w:p w14:paraId="73C0922D" w14:textId="25C2FC7D" w:rsidR="009A4EC6" w:rsidRPr="00570F0D" w:rsidRDefault="009A4EC6" w:rsidP="009A4EC6">
      <w:pPr>
        <w:pStyle w:val="ListParagraph"/>
        <w:numPr>
          <w:ilvl w:val="0"/>
          <w:numId w:val="12"/>
        </w:numPr>
        <w:spacing w:after="0" w:line="259" w:lineRule="auto"/>
        <w:jc w:val="both"/>
        <w:rPr>
          <w:rFonts w:ascii="Times New Roman" w:eastAsia="Calibri" w:hAnsi="Times New Roman" w:cs="Times New Roman"/>
          <w:noProof/>
          <w:sz w:val="24"/>
          <w:szCs w:val="24"/>
        </w:rPr>
      </w:pPr>
      <w:r>
        <w:rPr>
          <w:rFonts w:ascii="Times New Roman" w:hAnsi="Times New Roman"/>
          <w:noProof/>
          <w:sz w:val="24"/>
        </w:rPr>
        <w:t xml:space="preserve">EL algatas 14. juunil 2024. </w:t>
      </w:r>
      <w:r>
        <w:rPr>
          <w:rFonts w:ascii="Times New Roman" w:hAnsi="Times New Roman"/>
          <w:b/>
          <w:noProof/>
          <w:sz w:val="24"/>
        </w:rPr>
        <w:t>kahepoolse vaidluste lahendamise menetluse</w:t>
      </w:r>
      <w:r>
        <w:rPr>
          <w:rFonts w:ascii="Times New Roman" w:hAnsi="Times New Roman"/>
          <w:noProof/>
          <w:sz w:val="24"/>
        </w:rPr>
        <w:t xml:space="preserve"> </w:t>
      </w:r>
      <w:r>
        <w:rPr>
          <w:rFonts w:ascii="Times New Roman" w:hAnsi="Times New Roman"/>
          <w:b/>
          <w:noProof/>
          <w:sz w:val="24"/>
        </w:rPr>
        <w:t>Alžeeria</w:t>
      </w:r>
      <w:r>
        <w:rPr>
          <w:rFonts w:ascii="Times New Roman" w:hAnsi="Times New Roman"/>
          <w:noProof/>
          <w:sz w:val="24"/>
        </w:rPr>
        <w:t xml:space="preserve"> vastu ELi ja Alžeeria assotsieerimislepingu</w:t>
      </w:r>
      <w:r>
        <w:rPr>
          <w:rStyle w:val="FootnoteReference"/>
          <w:rFonts w:ascii="Times New Roman" w:eastAsia="Calibri" w:hAnsi="Times New Roman" w:cs="Times New Roman"/>
          <w:noProof/>
          <w:sz w:val="24"/>
          <w:szCs w:val="24"/>
        </w:rPr>
        <w:footnoteReference w:id="48"/>
      </w:r>
      <w:r>
        <w:rPr>
          <w:rFonts w:ascii="Times New Roman" w:hAnsi="Times New Roman"/>
          <w:noProof/>
          <w:sz w:val="24"/>
        </w:rPr>
        <w:t xml:space="preserve"> alusel, taotledes Alžeeria ametivõimudega konsulteerimist, et käsitleda</w:t>
      </w:r>
      <w:bookmarkStart w:id="87" w:name="_Hlk199702219"/>
      <w:r>
        <w:rPr>
          <w:rFonts w:ascii="Times New Roman" w:hAnsi="Times New Roman"/>
          <w:noProof/>
          <w:sz w:val="24"/>
        </w:rPr>
        <w:t xml:space="preserve"> mitut ELi ekspordi ja investeeringute suhtes kehtestatud piirangut</w:t>
      </w:r>
      <w:bookmarkEnd w:id="87"/>
      <w:r>
        <w:rPr>
          <w:rFonts w:ascii="Times New Roman" w:hAnsi="Times New Roman"/>
          <w:noProof/>
          <w:sz w:val="24"/>
        </w:rPr>
        <w:t>, muu hulgas impordilitsentside süsteemi</w:t>
      </w:r>
      <w:bookmarkEnd w:id="86"/>
      <w:r>
        <w:rPr>
          <w:rFonts w:ascii="Times New Roman" w:hAnsi="Times New Roman"/>
          <w:noProof/>
          <w:sz w:val="24"/>
        </w:rPr>
        <w:t>, millel on impordikeelu toime, kohalike sisendite kasutamisest sõltuvaid toetusi autotööstuses, välismaise osaluse ülemmäära ettevõtetele, kes impordivad kaupu Alžeeriasse, ning keraamika ja marmori impordikeeldu. EL vaidlustab need kaubandust ja investeeringuid piiravad meetmed, kuna need ei ole kooskõlas Alžeeria kohustustega ELi ja Alžeeria assotsieerimislepingu alusel. Kahjuks ei õnnestunud konsultatsioonide käigus ELi muresid lahendada. Seetõttu astus EL 15. juulil 2025 vaidluses järgmise sammu ja määras vahekohtuniku.</w:t>
      </w:r>
      <w:bookmarkStart w:id="88" w:name="_Hlk174379085"/>
    </w:p>
    <w:p w14:paraId="3DB4B6A4" w14:textId="77777777" w:rsidR="009A4EC6" w:rsidRPr="00570F0D" w:rsidRDefault="009A4EC6" w:rsidP="009A4EC6">
      <w:pPr>
        <w:pStyle w:val="ListParagraph"/>
        <w:spacing w:after="0" w:line="259" w:lineRule="auto"/>
        <w:jc w:val="both"/>
        <w:rPr>
          <w:rFonts w:ascii="Times New Roman" w:eastAsia="Calibri" w:hAnsi="Times New Roman" w:cs="Times New Roman"/>
          <w:noProof/>
          <w:sz w:val="24"/>
          <w:szCs w:val="24"/>
        </w:rPr>
      </w:pPr>
    </w:p>
    <w:p w14:paraId="58CF99CD" w14:textId="10F4ABFD" w:rsidR="009A4EC6" w:rsidRPr="00570F0D" w:rsidRDefault="009A4EC6" w:rsidP="009A4EC6">
      <w:pPr>
        <w:pStyle w:val="ListParagraph"/>
        <w:numPr>
          <w:ilvl w:val="0"/>
          <w:numId w:val="12"/>
        </w:numPr>
        <w:spacing w:after="0" w:line="259" w:lineRule="auto"/>
        <w:jc w:val="both"/>
        <w:rPr>
          <w:rFonts w:ascii="Times New Roman" w:eastAsia="Calibri" w:hAnsi="Times New Roman" w:cs="Times New Roman"/>
          <w:noProof/>
          <w:sz w:val="24"/>
          <w:szCs w:val="24"/>
        </w:rPr>
      </w:pPr>
      <w:r>
        <w:rPr>
          <w:rFonts w:ascii="Times New Roman" w:hAnsi="Times New Roman"/>
          <w:noProof/>
          <w:sz w:val="24"/>
        </w:rPr>
        <w:t xml:space="preserve">26. juulil 2024 taotles EL </w:t>
      </w:r>
      <w:r>
        <w:rPr>
          <w:rFonts w:ascii="Times New Roman" w:hAnsi="Times New Roman"/>
          <w:b/>
          <w:noProof/>
          <w:sz w:val="24"/>
        </w:rPr>
        <w:t>vaidluste lahendamise</w:t>
      </w:r>
      <w:r>
        <w:rPr>
          <w:rFonts w:ascii="Times New Roman" w:hAnsi="Times New Roman"/>
          <w:noProof/>
          <w:sz w:val="24"/>
        </w:rPr>
        <w:t xml:space="preserve"> konsultatsioone </w:t>
      </w:r>
      <w:r>
        <w:rPr>
          <w:rFonts w:ascii="Times New Roman" w:hAnsi="Times New Roman"/>
          <w:b/>
          <w:noProof/>
          <w:sz w:val="24"/>
        </w:rPr>
        <w:t>WTOs</w:t>
      </w:r>
      <w:r>
        <w:rPr>
          <w:rFonts w:ascii="Times New Roman" w:hAnsi="Times New Roman"/>
          <w:noProof/>
          <w:sz w:val="24"/>
        </w:rPr>
        <w:t xml:space="preserve"> seoses sellega, et Taiwan kasutab meretuuleenergia projektide puhul kohaliku sisendi kriteeriume (DS625, Hiina Taipei – meede, mis on seotud investeeringutega meretuuleenergiasse).</w:t>
      </w:r>
      <w:r>
        <w:rPr>
          <w:rFonts w:ascii="Times New Roman" w:hAnsi="Times New Roman"/>
          <w:noProof/>
        </w:rPr>
        <w:t xml:space="preserve"> </w:t>
      </w:r>
      <w:bookmarkEnd w:id="88"/>
      <w:r>
        <w:rPr>
          <w:rFonts w:ascii="Times New Roman" w:hAnsi="Times New Roman"/>
          <w:noProof/>
          <w:sz w:val="24"/>
        </w:rPr>
        <w:t>EL leiab, et kohaliku sisendiga seotud osalemis- ja hindamiskriteeriumid, mida Taiwan rakendab avamere tuuleparkide energia tootmisvõimsuse jaotamise enampakkumistel, diskrimineerisid imporditud kaupu ja teenuseid. Pärast konsultatsioone jõudsid EL ja Taiwan 2024. aasta novembris ühisele arusaamisele selle kohta, kuidas Taiwan edaspidi ELi muredega tegeleb. EL jälgib nende kohustuste täitmist.</w:t>
      </w:r>
    </w:p>
    <w:p w14:paraId="2F4C40B7" w14:textId="77777777" w:rsidR="009A4EC6" w:rsidRPr="00570F0D" w:rsidRDefault="009A4EC6" w:rsidP="009A4EC6">
      <w:pPr>
        <w:pStyle w:val="ListParagraph"/>
        <w:rPr>
          <w:rFonts w:ascii="Times New Roman" w:eastAsia="Calibri" w:hAnsi="Times New Roman" w:cs="Times New Roman"/>
          <w:noProof/>
          <w:sz w:val="24"/>
          <w:szCs w:val="24"/>
        </w:rPr>
      </w:pPr>
    </w:p>
    <w:p w14:paraId="1D93B3A0" w14:textId="1576C7A1" w:rsidR="009A4EC6" w:rsidRPr="00570F0D" w:rsidRDefault="009A4EC6" w:rsidP="00940057">
      <w:pPr>
        <w:pStyle w:val="ListParagraph"/>
        <w:numPr>
          <w:ilvl w:val="0"/>
          <w:numId w:val="12"/>
        </w:numPr>
        <w:spacing w:after="0" w:line="259" w:lineRule="auto"/>
        <w:jc w:val="both"/>
        <w:rPr>
          <w:rFonts w:ascii="Times New Roman" w:eastAsia="Calibri" w:hAnsi="Times New Roman" w:cs="Times New Roman"/>
          <w:noProof/>
          <w:sz w:val="24"/>
          <w:szCs w:val="24"/>
        </w:rPr>
      </w:pPr>
      <w:r>
        <w:rPr>
          <w:rFonts w:ascii="Times New Roman" w:hAnsi="Times New Roman"/>
          <w:noProof/>
          <w:sz w:val="24"/>
        </w:rPr>
        <w:t xml:space="preserve">23. septembril 2024. aastal taotles EL WTOs </w:t>
      </w:r>
      <w:r>
        <w:rPr>
          <w:rFonts w:ascii="Times New Roman" w:hAnsi="Times New Roman"/>
          <w:b/>
          <w:noProof/>
          <w:sz w:val="24"/>
        </w:rPr>
        <w:t>vaidluste lahendamise konsultatsioone Hiinaga</w:t>
      </w:r>
      <w:r>
        <w:rPr>
          <w:rFonts w:ascii="Times New Roman" w:hAnsi="Times New Roman"/>
          <w:noProof/>
          <w:sz w:val="24"/>
        </w:rPr>
        <w:t xml:space="preserve"> seoses subsiidiumivastase uurimise algatamisega teatavate Euroopa Liidust pärit piimatoodete impordi suhtes (DS628, Hiina – teatavate piimatoodete impordi suhtes algatatud tasakaalustava tollimaksu uurimine). Tegu oli esimese korraga, kui EL vaidlustas uurimise juba algatamisetapis. ELi otsus on tingitud Hiina uuest käitumismustrist, kuna riik on lühikese aja jooksul algatanud hulga kaubanduskaitsemeetmeid, mis põhinevad küsitavatel väidetel ja ebapiisavatel tõenditel. Selle sammuga täidab komisjon kindlalt oma lubadust kaitsta ELi piimatööstuse ja ühise põllumajanduspoliitika huve kuritarvituslike menetluste eest.</w:t>
      </w:r>
    </w:p>
    <w:p w14:paraId="13076D1A" w14:textId="77777777" w:rsidR="0049727A" w:rsidRPr="00570F0D" w:rsidRDefault="0049727A" w:rsidP="00756E4E">
      <w:pPr>
        <w:spacing w:after="0" w:line="259" w:lineRule="auto"/>
        <w:jc w:val="both"/>
        <w:rPr>
          <w:rFonts w:ascii="Times New Roman" w:eastAsia="Calibri" w:hAnsi="Times New Roman" w:cs="Times New Roman"/>
          <w:noProof/>
          <w:sz w:val="24"/>
          <w:szCs w:val="24"/>
        </w:rPr>
      </w:pPr>
    </w:p>
    <w:p w14:paraId="465EB4E7" w14:textId="48229ADE" w:rsidR="009A4EC6" w:rsidRPr="00570F0D" w:rsidRDefault="009A4EC6" w:rsidP="009A4EC6">
      <w:pPr>
        <w:pStyle w:val="ListParagraph"/>
        <w:numPr>
          <w:ilvl w:val="0"/>
          <w:numId w:val="12"/>
        </w:numPr>
        <w:spacing w:after="0" w:line="259" w:lineRule="auto"/>
        <w:jc w:val="both"/>
        <w:rPr>
          <w:rFonts w:ascii="Times New Roman" w:hAnsi="Times New Roman" w:cs="Times New Roman"/>
          <w:noProof/>
          <w:sz w:val="24"/>
          <w:szCs w:val="24"/>
        </w:rPr>
      </w:pPr>
      <w:r>
        <w:rPr>
          <w:rFonts w:ascii="Times New Roman" w:hAnsi="Times New Roman"/>
          <w:noProof/>
          <w:sz w:val="24"/>
        </w:rPr>
        <w:t xml:space="preserve">25. novembril 2024. aastal taotles EL WTOs </w:t>
      </w:r>
      <w:r>
        <w:rPr>
          <w:rFonts w:ascii="Times New Roman" w:hAnsi="Times New Roman"/>
          <w:b/>
          <w:noProof/>
          <w:sz w:val="24"/>
        </w:rPr>
        <w:t>vaidluste lahendamise konsultatsioone Hiinaga</w:t>
      </w:r>
      <w:r>
        <w:rPr>
          <w:rFonts w:ascii="Times New Roman" w:hAnsi="Times New Roman"/>
          <w:noProof/>
          <w:sz w:val="24"/>
        </w:rPr>
        <w:t xml:space="preserve"> seoses Hiina poolt ELi päritolu brändile kehtestatud ajutiste dumpinguvastaste tollimaksudega (DS631, Hiina – ELi päritolu brändile kehtestatud ajutised dumpinguvastased tollimaksud). Konsultatsioone taotleti, kuna EL leiab, et ajutised meetmed rikuvad WTO eeskirju, sest Hiina tugines nende kehtestamisel ebapiisavatele tõenditele ja küsitavatele väidetele (eelkõige seoses väidetava ohu olemasoluga tema bränditööstusele ning põhjusliku seosega väidetava ohu ja EList pärit brändi impordi vahel).</w:t>
      </w:r>
    </w:p>
    <w:p w14:paraId="3A4EC91A" w14:textId="77777777" w:rsidR="009A4EC6" w:rsidRPr="00570F0D" w:rsidRDefault="009A4EC6" w:rsidP="009A4EC6">
      <w:pPr>
        <w:pStyle w:val="ListParagraph"/>
        <w:spacing w:after="0" w:line="259" w:lineRule="auto"/>
        <w:jc w:val="both"/>
        <w:rPr>
          <w:rFonts w:ascii="Times New Roman" w:hAnsi="Times New Roman" w:cs="Times New Roman"/>
          <w:noProof/>
          <w:sz w:val="24"/>
          <w:szCs w:val="24"/>
        </w:rPr>
      </w:pPr>
    </w:p>
    <w:p w14:paraId="7B85B359" w14:textId="08D5203E" w:rsidR="009A4EC6" w:rsidRPr="00570F0D" w:rsidRDefault="009A4EC6" w:rsidP="009A4EC6">
      <w:pPr>
        <w:pStyle w:val="ListParagraph"/>
        <w:numPr>
          <w:ilvl w:val="0"/>
          <w:numId w:val="12"/>
        </w:numPr>
        <w:spacing w:after="0" w:line="259" w:lineRule="auto"/>
        <w:jc w:val="both"/>
        <w:rPr>
          <w:rFonts w:ascii="Times New Roman" w:eastAsia="Calibri" w:hAnsi="Times New Roman" w:cs="Times New Roman"/>
          <w:noProof/>
          <w:sz w:val="24"/>
          <w:szCs w:val="24"/>
        </w:rPr>
      </w:pPr>
      <w:r>
        <w:rPr>
          <w:rFonts w:ascii="Times New Roman" w:hAnsi="Times New Roman"/>
          <w:noProof/>
          <w:sz w:val="24"/>
        </w:rPr>
        <w:t xml:space="preserve">20. jaanuaril 2025. aastal taotles EL WTOs </w:t>
      </w:r>
      <w:r>
        <w:rPr>
          <w:rFonts w:ascii="Times New Roman" w:hAnsi="Times New Roman"/>
          <w:b/>
          <w:noProof/>
          <w:sz w:val="24"/>
        </w:rPr>
        <w:t>vaidluste lahendamise konsultatsioone Hiinaga</w:t>
      </w:r>
      <w:r>
        <w:rPr>
          <w:rFonts w:ascii="Times New Roman" w:hAnsi="Times New Roman"/>
          <w:noProof/>
          <w:sz w:val="24"/>
        </w:rPr>
        <w:t xml:space="preserve"> seoses Hiina kohtute praktikaga määrata standardi rakendamiseks olulistele patentidele ülemaailmseid litsentsitasumäärasid ilma patendiomaniku nõusolekuta (DS632, Hiina – standardi rakendamiseks oluline patentide ülemaailmsed litsentsimistingimused). Selline praktika takistab ELi ettevõtjatel pöörduda oma intellektuaalomandi õiguste kaitseks ELi kohtute poole ning avaldab survet innovaatilistele Euroopa ettevõtetele, sundides neid vähendama oma patentide litsentsitasumäärasid kogu maailmas Hiina ettevõtete kasuks.</w:t>
      </w:r>
    </w:p>
    <w:p w14:paraId="533E536B" w14:textId="77777777" w:rsidR="009A4EC6" w:rsidRPr="00955CE4" w:rsidRDefault="009A4EC6" w:rsidP="009A4EC6">
      <w:pPr>
        <w:spacing w:after="160" w:line="259" w:lineRule="auto"/>
        <w:contextualSpacing/>
        <w:jc w:val="both"/>
        <w:rPr>
          <w:rFonts w:ascii="Times New Roman" w:hAnsi="Times New Roman"/>
          <w:b/>
          <w:noProof/>
          <w:sz w:val="24"/>
        </w:rPr>
      </w:pPr>
    </w:p>
    <w:p w14:paraId="520ECC31" w14:textId="73429933" w:rsidR="00651294" w:rsidRPr="00955CE4" w:rsidRDefault="003B5D02" w:rsidP="009A4EC6">
      <w:pPr>
        <w:spacing w:after="0" w:line="259" w:lineRule="auto"/>
        <w:contextualSpacing/>
        <w:jc w:val="both"/>
        <w:rPr>
          <w:rFonts w:ascii="Times New Roman" w:hAnsi="Times New Roman"/>
          <w:noProof/>
          <w:sz w:val="24"/>
        </w:rPr>
      </w:pPr>
      <w:r>
        <w:rPr>
          <w:rFonts w:ascii="Times New Roman" w:hAnsi="Times New Roman"/>
          <w:noProof/>
          <w:sz w:val="24"/>
        </w:rPr>
        <w:t xml:space="preserve">Kui EL seisab silmitsi viivitamistaktikaga või partnerriigid ei täida eksperdirühmade järeldusi, võib komisjon algatada </w:t>
      </w:r>
      <w:r>
        <w:rPr>
          <w:rFonts w:ascii="Times New Roman" w:hAnsi="Times New Roman"/>
          <w:b/>
          <w:noProof/>
          <w:sz w:val="24"/>
        </w:rPr>
        <w:t>otsuse täitmise menetluse</w:t>
      </w:r>
      <w:r>
        <w:rPr>
          <w:rFonts w:ascii="Times New Roman" w:hAnsi="Times New Roman"/>
          <w:noProof/>
          <w:sz w:val="24"/>
        </w:rPr>
        <w:t>, nagu tehti vaidluses DS577 (Ameerika Ühendriigid – küpsed oliivid). Pärast seda, kui Ameerika Ühendriigid ei rakendanud otsuste täitmist kontrolliva töörühma 14. märtsi 2024. aasta aruande järeldusi, taotles EL 14. novembril 2024. aastal WTO vaidluste lahendamise organilt luba võtta vastumeetmeid kooskõlas vaidluste lahendamist reguleerivate eeskirjade ja protseduuride käsitusleppe artikli 22 lõikega 2. Pärast Ameerika Ühendriikide taotlust algatada ELi ettepanekus sätestatud vastumeetmete taseme kindlaksmääramiseks vahekohtumenetlus moodustati 29. novembril 2024. aastal WTO töörühm ning menetlus on praegu pooleli.</w:t>
      </w:r>
    </w:p>
    <w:p w14:paraId="0BEF4B34" w14:textId="77777777" w:rsidR="009A4EC6" w:rsidRPr="00570F0D" w:rsidRDefault="009A4EC6" w:rsidP="009A4EC6">
      <w:pPr>
        <w:spacing w:after="0" w:line="259" w:lineRule="auto"/>
        <w:jc w:val="both"/>
        <w:rPr>
          <w:rFonts w:ascii="Times New Roman" w:hAnsi="Times New Roman" w:cs="Times New Roman"/>
          <w:noProof/>
          <w:sz w:val="24"/>
        </w:rPr>
      </w:pPr>
    </w:p>
    <w:p w14:paraId="1B24A4F3" w14:textId="5CFC3FF3" w:rsidR="006C475F" w:rsidRPr="00955CE4" w:rsidRDefault="009A4EC6" w:rsidP="009A4EC6">
      <w:pPr>
        <w:spacing w:after="0" w:line="259" w:lineRule="auto"/>
        <w:contextualSpacing/>
        <w:jc w:val="both"/>
        <w:rPr>
          <w:rFonts w:ascii="Times New Roman" w:hAnsi="Times New Roman"/>
          <w:noProof/>
          <w:sz w:val="24"/>
        </w:rPr>
      </w:pPr>
      <w:r>
        <w:rPr>
          <w:rFonts w:ascii="Times New Roman" w:hAnsi="Times New Roman"/>
          <w:noProof/>
          <w:sz w:val="24"/>
        </w:rPr>
        <w:t xml:space="preserve">Lisaks jätkas komisjon jõupingutusi, et </w:t>
      </w:r>
      <w:r>
        <w:rPr>
          <w:rFonts w:ascii="Times New Roman" w:hAnsi="Times New Roman"/>
          <w:b/>
          <w:noProof/>
          <w:sz w:val="24"/>
        </w:rPr>
        <w:t>tagada vaekogu otsuste täielik täitmine</w:t>
      </w:r>
      <w:r>
        <w:rPr>
          <w:rFonts w:ascii="Times New Roman" w:hAnsi="Times New Roman"/>
          <w:noProof/>
          <w:sz w:val="24"/>
        </w:rPr>
        <w:t xml:space="preserve"> ELi kasuks. Selleks kasutas komisjon täiel määral ära WTO vaidluste lahendamise süsteemi pakutavaid võimalusi. 2024. aasta novembris algatas komisjon tugevdatud </w:t>
      </w:r>
      <w:r>
        <w:rPr>
          <w:rFonts w:ascii="Times New Roman" w:hAnsi="Times New Roman"/>
          <w:b/>
          <w:noProof/>
          <w:sz w:val="24"/>
        </w:rPr>
        <w:t>jõustamismääruse</w:t>
      </w:r>
      <w:r>
        <w:rPr>
          <w:rStyle w:val="FootnoteReference"/>
          <w:rFonts w:ascii="Times New Roman" w:hAnsi="Times New Roman"/>
          <w:noProof/>
          <w:sz w:val="24"/>
        </w:rPr>
        <w:footnoteReference w:id="49"/>
      </w:r>
      <w:r>
        <w:rPr>
          <w:rFonts w:ascii="Times New Roman" w:hAnsi="Times New Roman"/>
          <w:noProof/>
          <w:sz w:val="24"/>
        </w:rPr>
        <w:t xml:space="preserve"> alusel konsultatsiooni, et koguda teavet selle kohta, kuidas </w:t>
      </w:r>
      <w:r>
        <w:rPr>
          <w:rFonts w:ascii="Times New Roman" w:hAnsi="Times New Roman"/>
          <w:b/>
          <w:noProof/>
          <w:sz w:val="24"/>
        </w:rPr>
        <w:t>India</w:t>
      </w:r>
      <w:r>
        <w:rPr>
          <w:rFonts w:ascii="Times New Roman" w:hAnsi="Times New Roman"/>
          <w:noProof/>
          <w:sz w:val="24"/>
        </w:rPr>
        <w:t xml:space="preserve"> WTO nõuetega vastuolus olevad tollimaksud teatavatele IKT-kaupadele mõjutavad meetmetest mõjutatud üksusi või võimalikke ELi kaubanduspoliitika meetmeid, mida vastusena rakendada.</w:t>
      </w:r>
    </w:p>
    <w:p w14:paraId="717926C8" w14:textId="0298028A" w:rsidR="00B41751" w:rsidRPr="00570F0D" w:rsidRDefault="00B41751" w:rsidP="003C320B">
      <w:pPr>
        <w:pStyle w:val="Style2"/>
        <w:spacing w:before="0"/>
        <w:rPr>
          <w:rFonts w:cs="Times New Roman"/>
          <w:noProof/>
        </w:rPr>
      </w:pPr>
    </w:p>
    <w:p w14:paraId="54B25EF2" w14:textId="3A412914" w:rsidR="00DA6AD5" w:rsidRPr="00570F0D" w:rsidRDefault="00976FD1" w:rsidP="00976FD1">
      <w:pPr>
        <w:pStyle w:val="Style2"/>
        <w:rPr>
          <w:rFonts w:cs="Times New Roman"/>
          <w:noProof/>
          <w:sz w:val="24"/>
          <w:szCs w:val="24"/>
        </w:rPr>
      </w:pPr>
      <w:bookmarkStart w:id="90" w:name="_Toc167267059"/>
      <w:bookmarkStart w:id="91" w:name="_Toc167812808"/>
      <w:bookmarkStart w:id="92" w:name="_Toc196862772"/>
      <w:bookmarkStart w:id="93" w:name="_Toc211940632"/>
      <w:bookmarkEnd w:id="78"/>
      <w:bookmarkEnd w:id="79"/>
      <w:r>
        <w:rPr>
          <w:noProof/>
          <w:sz w:val="24"/>
        </w:rPr>
        <w:t>IV.3</w:t>
      </w:r>
      <w:r>
        <w:rPr>
          <w:noProof/>
        </w:rPr>
        <w:tab/>
      </w:r>
      <w:r>
        <w:rPr>
          <w:noProof/>
          <w:sz w:val="24"/>
        </w:rPr>
        <w:t>Ühtne kontaktpunkt</w:t>
      </w:r>
      <w:bookmarkEnd w:id="90"/>
      <w:bookmarkEnd w:id="91"/>
      <w:bookmarkEnd w:id="92"/>
      <w:bookmarkEnd w:id="93"/>
    </w:p>
    <w:p w14:paraId="224DC935" w14:textId="2B7D1C66" w:rsidR="00DA6AD5" w:rsidRPr="00570F0D" w:rsidRDefault="00DA6AD5" w:rsidP="00DA6AD5">
      <w:pPr>
        <w:spacing w:after="0" w:line="240" w:lineRule="auto"/>
        <w:jc w:val="both"/>
        <w:textAlignment w:val="baseline"/>
        <w:rPr>
          <w:rFonts w:ascii="Times New Roman" w:eastAsia="Times New Roman" w:hAnsi="Times New Roman" w:cs="Times New Roman"/>
          <w:noProof/>
          <w:color w:val="FF0000"/>
          <w:sz w:val="24"/>
          <w:szCs w:val="24"/>
          <w:lang w:eastAsia="en-IE"/>
        </w:rPr>
      </w:pPr>
    </w:p>
    <w:p w14:paraId="34A6E74A" w14:textId="7233F815" w:rsidR="003B5D02" w:rsidRPr="00756E4E" w:rsidRDefault="00731275" w:rsidP="00A07444">
      <w:pPr>
        <w:spacing w:after="160" w:line="259" w:lineRule="auto"/>
        <w:contextualSpacing/>
        <w:jc w:val="both"/>
        <w:rPr>
          <w:rFonts w:ascii="Times New Roman" w:hAnsi="Times New Roman"/>
          <w:noProof/>
          <w:sz w:val="24"/>
        </w:rPr>
      </w:pPr>
      <w:r>
        <w:rPr>
          <w:rFonts w:ascii="Times New Roman" w:hAnsi="Times New Roman"/>
          <w:noProof/>
          <w:sz w:val="24"/>
        </w:rPr>
        <w:t xml:space="preserve">Komisjoni </w:t>
      </w:r>
      <w:r>
        <w:rPr>
          <w:rFonts w:ascii="Times New Roman" w:hAnsi="Times New Roman"/>
          <w:b/>
          <w:noProof/>
          <w:sz w:val="24"/>
        </w:rPr>
        <w:t>ühtne kontaktpunkt</w:t>
      </w:r>
      <w:r>
        <w:rPr>
          <w:rFonts w:ascii="Times New Roman" w:hAnsi="Times New Roman"/>
          <w:noProof/>
          <w:sz w:val="24"/>
        </w:rPr>
        <w:t xml:space="preserve"> on tsentraliseeritud platvorm ettevõtjatele, kaubandusliitudele ja teistele ELi sidusrühmadele, mis võimaldab kaubandustõketest tõhusalt teatada. See pakub kaebuste hindamiseks sujuvat menetlust</w:t>
      </w:r>
      <w:bookmarkStart w:id="94" w:name="_Hlk198305651"/>
      <w:r>
        <w:rPr>
          <w:rFonts w:ascii="Times New Roman" w:hAnsi="Times New Roman"/>
          <w:noProof/>
          <w:sz w:val="24"/>
        </w:rPr>
        <w:t xml:space="preserve"> ning on viie aasta jooksul alates käivitamisest saanud juba üle 180 välise kaebuse. </w:t>
      </w:r>
      <w:bookmarkEnd w:id="94"/>
      <w:r>
        <w:rPr>
          <w:rFonts w:ascii="Times New Roman" w:hAnsi="Times New Roman"/>
          <w:noProof/>
          <w:sz w:val="24"/>
        </w:rPr>
        <w:t>Valdav enamik (ligikaudu 97 %) neist puudutab turulepääsuga seotud küsimusi, samas kui 3 % on seotud kaubanduse ja kestliku arengu teemadega.</w:t>
      </w:r>
      <w:bookmarkStart w:id="95" w:name="_Hlk201331681"/>
      <w:r>
        <w:rPr>
          <w:rFonts w:ascii="Times New Roman" w:hAnsi="Times New Roman"/>
          <w:noProof/>
          <w:sz w:val="24"/>
        </w:rPr>
        <w:t xml:space="preserve"> 2024. aastal tõestas ühtne kontaktpunkt taas, et see on tulemuslik vahend.</w:t>
      </w:r>
    </w:p>
    <w:p w14:paraId="2A0A94DB" w14:textId="77777777" w:rsidR="0019751F" w:rsidRPr="00756E4E" w:rsidRDefault="0019751F" w:rsidP="00884005">
      <w:pPr>
        <w:spacing w:after="0" w:line="240" w:lineRule="auto"/>
        <w:jc w:val="both"/>
        <w:rPr>
          <w:rFonts w:ascii="Times New Roman" w:hAnsi="Times New Roman"/>
          <w:noProof/>
          <w:sz w:val="24"/>
        </w:rPr>
      </w:pPr>
    </w:p>
    <w:p w14:paraId="7A025FB8" w14:textId="44FE5331" w:rsidR="720C47CA" w:rsidRPr="00955CE4" w:rsidRDefault="720C47CA" w:rsidP="249F122D">
      <w:pPr>
        <w:pBdr>
          <w:top w:val="single" w:sz="4" w:space="4" w:color="000000"/>
          <w:left w:val="single" w:sz="4" w:space="4" w:color="000000"/>
          <w:bottom w:val="single" w:sz="4" w:space="4" w:color="000000"/>
          <w:right w:val="single" w:sz="4" w:space="4" w:color="000000"/>
        </w:pBdr>
        <w:spacing w:after="0" w:line="240" w:lineRule="auto"/>
        <w:jc w:val="center"/>
        <w:rPr>
          <w:rFonts w:ascii="Times New Roman" w:hAnsi="Times New Roman"/>
          <w:b/>
          <w:noProof/>
          <w:sz w:val="24"/>
        </w:rPr>
      </w:pPr>
      <w:r>
        <w:rPr>
          <w:rFonts w:ascii="Times New Roman" w:hAnsi="Times New Roman"/>
          <w:b/>
          <w:noProof/>
          <w:sz w:val="24"/>
        </w:rPr>
        <w:t>Ühtne kontaktpunkt: kuidas see toimib?</w:t>
      </w:r>
    </w:p>
    <w:p w14:paraId="1676648C" w14:textId="22E2F22C" w:rsidR="01D906B8" w:rsidRPr="00955CE4" w:rsidRDefault="01D906B8" w:rsidP="249F122D">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noProof/>
          <w:sz w:val="24"/>
        </w:rPr>
      </w:pPr>
    </w:p>
    <w:p w14:paraId="0341DF34" w14:textId="0897D18D" w:rsidR="00DA6AD5" w:rsidRPr="00955CE4" w:rsidRDefault="4BE9DF58" w:rsidP="249F122D">
      <w:pPr>
        <w:pBdr>
          <w:top w:val="single" w:sz="4" w:space="4" w:color="000000"/>
          <w:left w:val="single" w:sz="4" w:space="4" w:color="000000"/>
          <w:bottom w:val="single" w:sz="4" w:space="4" w:color="000000"/>
          <w:right w:val="single" w:sz="4" w:space="4" w:color="000000"/>
        </w:pBdr>
        <w:spacing w:after="0" w:line="240" w:lineRule="auto"/>
        <w:jc w:val="both"/>
        <w:textAlignment w:val="baseline"/>
        <w:rPr>
          <w:rFonts w:ascii="Times New Roman" w:hAnsi="Times New Roman"/>
          <w:noProof/>
          <w:sz w:val="24"/>
        </w:rPr>
      </w:pPr>
      <w:r>
        <w:rPr>
          <w:rFonts w:ascii="Times New Roman" w:hAnsi="Times New Roman"/>
          <w:noProof/>
          <w:sz w:val="24"/>
        </w:rPr>
        <w:t>Kaebuse esitamiseks saab kasutada asjakohaseid veebivorme platvormil Access2Markets. Üks vorm on turulepääsuga seotud probleemide jaoks ning üks kaubanduse ja kestliku arengu ning üldiste tariifsete soodustuste kavaga seotud probleemide jaoks. Nende vormide eesmärk on anda Euroopa Komisjoni kaubanduse ja majandusjulgeoleku peadirektoraadile piisavalt teavet asjaomase probleemi esialgseks hindamiseks ja asjakohaste tegevuste kaalumiseks.</w:t>
      </w:r>
    </w:p>
    <w:p w14:paraId="59C811CC" w14:textId="77777777" w:rsidR="00FC7A19" w:rsidRPr="00756E4E" w:rsidRDefault="00FC7A19" w:rsidP="249F122D">
      <w:pPr>
        <w:pBdr>
          <w:top w:val="single" w:sz="4" w:space="4" w:color="000000"/>
          <w:left w:val="single" w:sz="4" w:space="4" w:color="000000"/>
          <w:bottom w:val="single" w:sz="4" w:space="4" w:color="000000"/>
          <w:right w:val="single" w:sz="4" w:space="4" w:color="000000"/>
        </w:pBdr>
        <w:spacing w:after="0" w:line="240" w:lineRule="auto"/>
        <w:jc w:val="both"/>
        <w:textAlignment w:val="baseline"/>
        <w:rPr>
          <w:rFonts w:ascii="Times New Roman" w:hAnsi="Times New Roman"/>
          <w:noProof/>
          <w:sz w:val="24"/>
        </w:rPr>
      </w:pPr>
    </w:p>
    <w:p w14:paraId="1C0885CE" w14:textId="324387C1" w:rsidR="00DA6AD5" w:rsidRPr="00955CE4" w:rsidRDefault="6DCEE3DB" w:rsidP="249F122D">
      <w:pPr>
        <w:pBdr>
          <w:top w:val="single" w:sz="4" w:space="4" w:color="000000"/>
          <w:left w:val="single" w:sz="4" w:space="4" w:color="000000"/>
          <w:bottom w:val="single" w:sz="4" w:space="4" w:color="000000"/>
          <w:right w:val="single" w:sz="4" w:space="4" w:color="000000"/>
        </w:pBdr>
        <w:spacing w:after="0" w:line="240" w:lineRule="auto"/>
        <w:jc w:val="both"/>
        <w:textAlignment w:val="baseline"/>
        <w:rPr>
          <w:rFonts w:ascii="Times New Roman" w:hAnsi="Times New Roman"/>
          <w:noProof/>
          <w:sz w:val="24"/>
        </w:rPr>
      </w:pPr>
      <w:r>
        <w:rPr>
          <w:rFonts w:ascii="Times New Roman" w:hAnsi="Times New Roman"/>
          <w:noProof/>
          <w:sz w:val="24"/>
        </w:rPr>
        <w:t>2023. aasta detsembris vaatas komisjoni kaubanduse peadirektoraat ühtse kontaktpunkti tegevussuunised</w:t>
      </w:r>
      <w:r>
        <w:rPr>
          <w:rStyle w:val="FootnoteReference"/>
          <w:rFonts w:ascii="Times New Roman" w:hAnsi="Times New Roman"/>
          <w:noProof/>
          <w:sz w:val="24"/>
        </w:rPr>
        <w:footnoteReference w:id="50"/>
      </w:r>
      <w:r>
        <w:rPr>
          <w:rFonts w:ascii="Times New Roman" w:hAnsi="Times New Roman"/>
          <w:noProof/>
          <w:sz w:val="24"/>
        </w:rPr>
        <w:t xml:space="preserve"> läbi ja lihtsustas neid veelgi ning kehtestas kaubanduse ja kestliku arenguga seotud kaebuste käsitlemiseks soovitusliku 120 tööpäeva pikkuse tähtaja.</w:t>
      </w:r>
    </w:p>
    <w:p w14:paraId="0513F6C4" w14:textId="77777777" w:rsidR="000D3E7E" w:rsidRPr="00955CE4" w:rsidRDefault="000D3E7E" w:rsidP="249F122D">
      <w:pPr>
        <w:pBdr>
          <w:top w:val="single" w:sz="4" w:space="4" w:color="000000"/>
          <w:left w:val="single" w:sz="4" w:space="4" w:color="000000"/>
          <w:bottom w:val="single" w:sz="4" w:space="4" w:color="000000"/>
          <w:right w:val="single" w:sz="4" w:space="4" w:color="000000"/>
        </w:pBdr>
        <w:spacing w:after="0" w:line="240" w:lineRule="auto"/>
        <w:jc w:val="both"/>
        <w:textAlignment w:val="baseline"/>
        <w:rPr>
          <w:rFonts w:ascii="Times New Roman" w:hAnsi="Times New Roman"/>
          <w:noProof/>
          <w:sz w:val="24"/>
        </w:rPr>
      </w:pPr>
    </w:p>
    <w:p w14:paraId="291A0B63" w14:textId="548EB9A9" w:rsidR="00DA6AD5" w:rsidRPr="00955CE4" w:rsidRDefault="00570F0D" w:rsidP="002037C5">
      <w:pPr>
        <w:pBdr>
          <w:top w:val="single" w:sz="4" w:space="4" w:color="000000"/>
          <w:left w:val="single" w:sz="4" w:space="4" w:color="000000"/>
          <w:bottom w:val="single" w:sz="4" w:space="4" w:color="000000"/>
          <w:right w:val="single" w:sz="4" w:space="4" w:color="000000"/>
        </w:pBdr>
        <w:spacing w:after="0" w:line="240" w:lineRule="auto"/>
        <w:jc w:val="both"/>
        <w:textAlignment w:val="baseline"/>
        <w:rPr>
          <w:rFonts w:ascii="Times New Roman" w:hAnsi="Times New Roman"/>
          <w:noProof/>
          <w:sz w:val="24"/>
        </w:rPr>
      </w:pPr>
      <w:r>
        <w:rPr>
          <w:rFonts w:ascii="Times New Roman" w:hAnsi="Times New Roman"/>
          <w:noProof/>
          <w:sz w:val="24"/>
        </w:rPr>
        <w:t>Selgitusi antakse ka kohtumistel, mis toimuvad potentsiaalsete kaebuseesitajatega enne teatise esitamist, ja edaspidistel kohtumistel, mis toimuvad pärast kaebuse esitamist. Komisjon võib asjade menetlemiseks algatada kaebuse ka omal algatusel (</w:t>
      </w:r>
      <w:r>
        <w:rPr>
          <w:rFonts w:ascii="Times New Roman" w:hAnsi="Times New Roman"/>
          <w:i/>
          <w:noProof/>
          <w:sz w:val="24"/>
        </w:rPr>
        <w:t>ex officio</w:t>
      </w:r>
      <w:r>
        <w:rPr>
          <w:rFonts w:ascii="Times New Roman" w:hAnsi="Times New Roman"/>
          <w:noProof/>
          <w:sz w:val="24"/>
        </w:rPr>
        <w:t>).</w:t>
      </w:r>
    </w:p>
    <w:bookmarkEnd w:id="95"/>
    <w:p w14:paraId="30D78B72" w14:textId="77777777" w:rsidR="0049727A" w:rsidRPr="00955CE4" w:rsidRDefault="0049727A" w:rsidP="00756E4E">
      <w:pPr>
        <w:spacing w:after="0" w:line="259" w:lineRule="auto"/>
        <w:contextualSpacing/>
        <w:jc w:val="both"/>
        <w:rPr>
          <w:rFonts w:ascii="Times New Roman" w:hAnsi="Times New Roman"/>
          <w:noProof/>
          <w:sz w:val="24"/>
        </w:rPr>
      </w:pPr>
    </w:p>
    <w:p w14:paraId="7EF80AFE" w14:textId="221D710F" w:rsidR="00993F48" w:rsidRPr="00955CE4" w:rsidRDefault="3C5FDE72" w:rsidP="003C320B">
      <w:pPr>
        <w:spacing w:after="0" w:line="259" w:lineRule="auto"/>
        <w:contextualSpacing/>
        <w:jc w:val="both"/>
        <w:rPr>
          <w:rFonts w:ascii="Times New Roman" w:hAnsi="Times New Roman"/>
          <w:noProof/>
          <w:sz w:val="24"/>
        </w:rPr>
      </w:pPr>
      <w:r>
        <w:rPr>
          <w:rFonts w:ascii="Times New Roman" w:hAnsi="Times New Roman"/>
          <w:noProof/>
          <w:sz w:val="24"/>
        </w:rPr>
        <w:t xml:space="preserve">Ühtne kontaktpunkt sai 2024. aastal </w:t>
      </w:r>
      <w:r>
        <w:rPr>
          <w:rFonts w:ascii="Times New Roman" w:hAnsi="Times New Roman"/>
          <w:b/>
          <w:noProof/>
          <w:sz w:val="24"/>
        </w:rPr>
        <w:t>43 kaebust</w:t>
      </w:r>
      <w:r>
        <w:rPr>
          <w:rFonts w:ascii="Times New Roman" w:hAnsi="Times New Roman"/>
          <w:noProof/>
          <w:sz w:val="24"/>
        </w:rPr>
        <w:t xml:space="preserve"> tõkete kohta </w:t>
      </w:r>
      <w:r>
        <w:rPr>
          <w:rFonts w:ascii="Times New Roman" w:hAnsi="Times New Roman"/>
          <w:b/>
          <w:noProof/>
          <w:sz w:val="24"/>
        </w:rPr>
        <w:t>24 partnerriigis</w:t>
      </w:r>
      <w:r>
        <w:rPr>
          <w:rFonts w:ascii="Times New Roman" w:hAnsi="Times New Roman"/>
          <w:noProof/>
          <w:sz w:val="24"/>
        </w:rPr>
        <w:t xml:space="preserve"> kõigist geograafilistest piirkondadest. Nagu ka eelmistel aastatel, puudutas suurim osa kaebustest (ligikaudu kolmandik) piirkonda, kuhu kuuluvad Euroopa lõunanaabrus, Lähis-Ida, Türgi, Venemaa ja Kesk-Aasia. Sellele järgnes piirkond, kuhu kuuluvad Lõuna- ja Kagu-Aasia, Austraalia ja Uus-Meremaa, mille osakaal kaebustest oli 28 %. Euroopa ja idanaabrus</w:t>
      </w:r>
      <w:r>
        <w:rPr>
          <w:rStyle w:val="FootnoteReference"/>
          <w:rFonts w:ascii="Times New Roman" w:eastAsia="Times New Roman" w:hAnsi="Times New Roman" w:cs="Times New Roman"/>
          <w:noProof/>
          <w:sz w:val="24"/>
          <w:szCs w:val="24"/>
        </w:rPr>
        <w:footnoteReference w:id="51"/>
      </w:r>
      <w:r>
        <w:rPr>
          <w:rFonts w:ascii="Times New Roman" w:hAnsi="Times New Roman"/>
          <w:noProof/>
          <w:sz w:val="24"/>
        </w:rPr>
        <w:t xml:space="preserve"> moodustasid peaaegu viiendiku kõigist kaebustest. Kokku puudutasid nimetatud kolme piirkonda umbes 78 % kõigist 2024. aastal saadud kaebustest.</w:t>
      </w:r>
    </w:p>
    <w:p w14:paraId="28B11258" w14:textId="77777777" w:rsidR="0049676D" w:rsidRPr="00570F0D" w:rsidRDefault="0049676D" w:rsidP="0049676D">
      <w:pPr>
        <w:spacing w:after="0"/>
        <w:rPr>
          <w:rFonts w:ascii="Times New Roman" w:eastAsia="Times New Roman" w:hAnsi="Times New Roman" w:cs="Times New Roman"/>
          <w:b/>
          <w:bCs/>
          <w:noProof/>
          <w:sz w:val="24"/>
          <w:szCs w:val="24"/>
          <w:lang w:eastAsia="en-IE"/>
        </w:rPr>
      </w:pPr>
    </w:p>
    <w:p w14:paraId="2ED41F4A" w14:textId="007BC614" w:rsidR="00810C68" w:rsidRPr="00955CE4" w:rsidRDefault="00810C68" w:rsidP="00810C68">
      <w:pPr>
        <w:rPr>
          <w:rFonts w:ascii="Times New Roman" w:hAnsi="Times New Roman"/>
          <w:b/>
          <w:noProof/>
          <w:sz w:val="24"/>
        </w:rPr>
      </w:pPr>
      <w:r>
        <w:rPr>
          <w:rFonts w:ascii="Times New Roman" w:hAnsi="Times New Roman"/>
          <w:b/>
          <w:noProof/>
          <w:sz w:val="24"/>
        </w:rPr>
        <w:t>Joonis 10. Ühtsele kontaktpunktile 2024. aastal esitatud kaebused piirkondade lõikes</w:t>
      </w:r>
    </w:p>
    <w:p w14:paraId="1BEFAE3D" w14:textId="091A6826" w:rsidR="000B7E57" w:rsidRPr="00570F0D" w:rsidRDefault="003D67CB" w:rsidP="00810C68">
      <w:pPr>
        <w:rPr>
          <w:rFonts w:ascii="Times New Roman" w:hAnsi="Times New Roman" w:cs="Times New Roman"/>
          <w:noProof/>
          <w:sz w:val="24"/>
          <w:szCs w:val="24"/>
        </w:rPr>
      </w:pPr>
      <w:r w:rsidRPr="00431B94">
        <w:rPr>
          <w:rFonts w:ascii="Times New Roman" w:hAnsi="Times New Roman" w:cs="Times New Roman"/>
          <w:noProof/>
          <w:sz w:val="24"/>
          <w:szCs w:val="24"/>
          <w:lang w:val="en-GB" w:eastAsia="en-GB"/>
        </w:rPr>
        <w:drawing>
          <wp:inline distT="0" distB="0" distL="0" distR="0" wp14:anchorId="551A2616" wp14:editId="6734013E">
            <wp:extent cx="4564049" cy="3061817"/>
            <wp:effectExtent l="0" t="0" r="0" b="0"/>
            <wp:docPr id="366572715" name="Picture 1" descr="A pie chart with different colored circles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72715" name="Picture 1" descr="A pie chart with different colored circles with Crust in the background&#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4570856" cy="3066384"/>
                    </a:xfrm>
                    <a:prstGeom prst="rect">
                      <a:avLst/>
                    </a:prstGeom>
                  </pic:spPr>
                </pic:pic>
              </a:graphicData>
            </a:graphic>
          </wp:inline>
        </w:drawing>
      </w:r>
    </w:p>
    <w:p w14:paraId="3EB9927C" w14:textId="6019429B" w:rsidR="00A07444" w:rsidRPr="00570F0D" w:rsidRDefault="00A07444" w:rsidP="00A07444">
      <w:pPr>
        <w:spacing w:before="240" w:after="240"/>
        <w:jc w:val="both"/>
        <w:rPr>
          <w:rFonts w:ascii="Times New Roman" w:eastAsia="Calibri" w:hAnsi="Times New Roman" w:cs="Times New Roman"/>
          <w:noProof/>
          <w:sz w:val="24"/>
          <w:szCs w:val="24"/>
        </w:rPr>
      </w:pPr>
      <w:r>
        <w:rPr>
          <w:rFonts w:ascii="Times New Roman" w:hAnsi="Times New Roman"/>
          <w:noProof/>
          <w:sz w:val="24"/>
        </w:rPr>
        <w:t xml:space="preserve">2024. aastal sai ühtne kontaktpunkt kaebusi väga erinevatelt sidusrühmadelt. </w:t>
      </w:r>
      <w:r>
        <w:rPr>
          <w:rFonts w:ascii="Times New Roman" w:hAnsi="Times New Roman"/>
          <w:b/>
          <w:noProof/>
          <w:sz w:val="24"/>
        </w:rPr>
        <w:t>Lõviosa neist oli pärit ELi äriringkondadest</w:t>
      </w:r>
      <w:r>
        <w:rPr>
          <w:rFonts w:ascii="Times New Roman" w:hAnsi="Times New Roman"/>
          <w:noProof/>
          <w:sz w:val="24"/>
        </w:rPr>
        <w:t> – 25 kaebust esitasid üksikettevõtjad, kümme Euroopa kaubandusühendused ja kolm riiklikud tööstusühendused. Lisaks esitasid ELi liikmesriigid neli kaebust. See on kooskõlas üldise suundumusega alates ühtse kontaktpunkti käivitamisest. Kokku on seni 89 % kõigist välistest kaebustest tulnud ELi äriringkondadest, sealhulgas 52 % üksikettevõtjatelt, 29 % ELi tasandi ühendustelt ja 8 % riiklikelt ühendustelt. Ülejäänud 10 % kaebustest on tulnud liikmesriikidelt.</w:t>
      </w:r>
    </w:p>
    <w:p w14:paraId="703567E0" w14:textId="373C905A" w:rsidR="00A07444" w:rsidRPr="00570F0D" w:rsidRDefault="00245E72" w:rsidP="00A07444">
      <w:pPr>
        <w:spacing w:before="240" w:after="240"/>
        <w:jc w:val="both"/>
        <w:rPr>
          <w:rFonts w:ascii="Times New Roman" w:eastAsia="Calibri" w:hAnsi="Times New Roman" w:cs="Times New Roman"/>
          <w:noProof/>
          <w:sz w:val="24"/>
          <w:szCs w:val="24"/>
        </w:rPr>
      </w:pPr>
      <w:r>
        <w:rPr>
          <w:rFonts w:ascii="Times New Roman" w:hAnsi="Times New Roman"/>
          <w:noProof/>
          <w:sz w:val="24"/>
        </w:rPr>
        <w:t>Senini on 48 % kõigist esitatud kaebustest olnud seotud uute või olemasolevate kaubandustõkete tuvastamisega.</w:t>
      </w:r>
    </w:p>
    <w:p w14:paraId="4BDEEB7E" w14:textId="0E6CDB5C" w:rsidR="00A07444" w:rsidRPr="00570F0D" w:rsidRDefault="00A07444" w:rsidP="00A07444">
      <w:pPr>
        <w:spacing w:before="240" w:after="240"/>
        <w:jc w:val="both"/>
        <w:rPr>
          <w:rFonts w:ascii="Times New Roman" w:hAnsi="Times New Roman" w:cs="Times New Roman"/>
          <w:noProof/>
          <w:sz w:val="24"/>
          <w:szCs w:val="24"/>
        </w:rPr>
      </w:pPr>
      <w:r>
        <w:rPr>
          <w:rFonts w:ascii="Times New Roman" w:hAnsi="Times New Roman"/>
          <w:noProof/>
          <w:sz w:val="24"/>
        </w:rPr>
        <w:t>Kõik 2024. aastal saadud kaebused ei viinud siiski kaubandustõkke kindlakstegemiseni. Lisaks ei võetud mõnda kaebust menetlusse, kuna need ei olnud esitatud ühtsele kontaktpunktile ELi sidusrühmade või muude tegevusjuhendi kohaselt kaebuse esitamise õigust omavate asutuste poolt. Mitut kaebust ei menetletud edasi, kuna ühtne kontaktpunkt ei saanud hindamise jätkamiseks piisavalt teavet. Samuti käsitlesid mõned kaebused ELi liikmesriike ja jäid seetõttu ühtse kontaktpunkti pädevusest välja. Viimaks ei registreeritud osa kaebusi kaubandustõketena, kuna ühtne kontaktpunkt ei leidnud oma esialgse hinnangu käigus tõendeid rikkumise kohta. Need kaebused lõpetati edasisi meetmeid võtmata.</w:t>
      </w:r>
    </w:p>
    <w:p w14:paraId="1CAF1A8D" w14:textId="76AB3BC0" w:rsidR="00A07444" w:rsidRPr="00955CE4" w:rsidRDefault="00A07444" w:rsidP="00A07444">
      <w:pPr>
        <w:pBdr>
          <w:top w:val="single" w:sz="4" w:space="4" w:color="000000"/>
          <w:left w:val="single" w:sz="4" w:space="0" w:color="000000"/>
          <w:bottom w:val="single" w:sz="4" w:space="4" w:color="000000"/>
          <w:right w:val="single" w:sz="4" w:space="4" w:color="000000"/>
        </w:pBdr>
        <w:spacing w:after="0" w:line="240" w:lineRule="auto"/>
        <w:jc w:val="both"/>
        <w:textAlignment w:val="baseline"/>
        <w:rPr>
          <w:rFonts w:ascii="Times New Roman" w:hAnsi="Times New Roman"/>
          <w:b/>
          <w:noProof/>
          <w:sz w:val="24"/>
        </w:rPr>
      </w:pPr>
      <w:r>
        <w:rPr>
          <w:rFonts w:ascii="Times New Roman" w:hAnsi="Times New Roman"/>
          <w:b/>
          <w:noProof/>
          <w:sz w:val="24"/>
        </w:rPr>
        <w:t>Praktiline näide. Argentina – keraamilised plaadid</w:t>
      </w:r>
    </w:p>
    <w:p w14:paraId="049A5444" w14:textId="77777777" w:rsidR="00A07444" w:rsidRPr="00955CE4" w:rsidRDefault="00A07444" w:rsidP="00A07444">
      <w:pPr>
        <w:pBdr>
          <w:top w:val="single" w:sz="4" w:space="4" w:color="000000"/>
          <w:left w:val="single" w:sz="4" w:space="0" w:color="000000"/>
          <w:bottom w:val="single" w:sz="4" w:space="4" w:color="000000"/>
          <w:right w:val="single" w:sz="4" w:space="4" w:color="000000"/>
        </w:pBdr>
        <w:spacing w:after="0" w:line="240" w:lineRule="auto"/>
        <w:jc w:val="both"/>
        <w:textAlignment w:val="baseline"/>
        <w:rPr>
          <w:rFonts w:ascii="Times New Roman" w:hAnsi="Times New Roman"/>
          <w:noProof/>
          <w:sz w:val="24"/>
        </w:rPr>
      </w:pPr>
    </w:p>
    <w:p w14:paraId="2F9F5B4B" w14:textId="768A1D39" w:rsidR="00A07444" w:rsidRPr="00955CE4" w:rsidRDefault="0071128C" w:rsidP="00A07444">
      <w:pPr>
        <w:pBdr>
          <w:top w:val="single" w:sz="4" w:space="4" w:color="000000"/>
          <w:left w:val="single" w:sz="4" w:space="0" w:color="000000"/>
          <w:bottom w:val="single" w:sz="4" w:space="4" w:color="000000"/>
          <w:right w:val="single" w:sz="4" w:space="4" w:color="000000"/>
        </w:pBdr>
        <w:spacing w:after="0" w:line="240" w:lineRule="auto"/>
        <w:jc w:val="both"/>
        <w:textAlignment w:val="baseline"/>
        <w:rPr>
          <w:rFonts w:ascii="Times New Roman" w:hAnsi="Times New Roman"/>
          <w:noProof/>
          <w:sz w:val="24"/>
        </w:rPr>
      </w:pPr>
      <w:r>
        <w:rPr>
          <w:rFonts w:ascii="Times New Roman" w:hAnsi="Times New Roman"/>
          <w:b/>
          <w:i/>
          <w:noProof/>
          <w:sz w:val="24"/>
        </w:rPr>
        <w:t>Kaebus:</w:t>
      </w:r>
      <w:r>
        <w:rPr>
          <w:rFonts w:ascii="Times New Roman" w:hAnsi="Times New Roman"/>
          <w:noProof/>
          <w:sz w:val="24"/>
        </w:rPr>
        <w:t xml:space="preserve"> 2023. aasta lõpus sai ühtne kontaktpunkt kaebuse </w:t>
      </w:r>
      <w:r>
        <w:rPr>
          <w:rFonts w:ascii="Times New Roman" w:hAnsi="Times New Roman"/>
          <w:b/>
          <w:noProof/>
          <w:sz w:val="24"/>
        </w:rPr>
        <w:t>Argentina</w:t>
      </w:r>
      <w:r>
        <w:rPr>
          <w:rFonts w:ascii="Times New Roman" w:hAnsi="Times New Roman"/>
          <w:noProof/>
          <w:sz w:val="24"/>
        </w:rPr>
        <w:t xml:space="preserve"> otsuse kohta, millega kehtestati uus impordi sertifitseerimise skeem nii riigisiseselt toodetud kui ka imporditud keraamilistele plaatidele.</w:t>
      </w:r>
    </w:p>
    <w:p w14:paraId="0F7E14A1" w14:textId="77777777" w:rsidR="00A07444" w:rsidRPr="00955CE4" w:rsidRDefault="00A07444" w:rsidP="00A07444">
      <w:pPr>
        <w:pBdr>
          <w:top w:val="single" w:sz="4" w:space="4" w:color="000000"/>
          <w:left w:val="single" w:sz="4" w:space="0" w:color="000000"/>
          <w:bottom w:val="single" w:sz="4" w:space="4" w:color="000000"/>
          <w:right w:val="single" w:sz="4" w:space="4" w:color="000000"/>
        </w:pBdr>
        <w:spacing w:after="0" w:line="240" w:lineRule="auto"/>
        <w:jc w:val="both"/>
        <w:textAlignment w:val="baseline"/>
        <w:rPr>
          <w:rFonts w:ascii="Times New Roman" w:hAnsi="Times New Roman"/>
          <w:noProof/>
          <w:sz w:val="24"/>
        </w:rPr>
      </w:pPr>
    </w:p>
    <w:p w14:paraId="72EA29CB" w14:textId="0B7E22AA" w:rsidR="00A07444" w:rsidRPr="00955CE4" w:rsidRDefault="0071128C" w:rsidP="00A07444">
      <w:pPr>
        <w:pBdr>
          <w:top w:val="single" w:sz="4" w:space="4" w:color="000000"/>
          <w:left w:val="single" w:sz="4" w:space="0" w:color="000000"/>
          <w:bottom w:val="single" w:sz="4" w:space="4" w:color="000000"/>
          <w:right w:val="single" w:sz="4" w:space="4" w:color="000000"/>
        </w:pBdr>
        <w:spacing w:after="0" w:line="240" w:lineRule="auto"/>
        <w:jc w:val="both"/>
        <w:textAlignment w:val="baseline"/>
        <w:rPr>
          <w:rFonts w:ascii="Times New Roman" w:hAnsi="Times New Roman"/>
          <w:noProof/>
          <w:sz w:val="24"/>
        </w:rPr>
      </w:pPr>
      <w:r>
        <w:rPr>
          <w:rFonts w:ascii="Times New Roman" w:hAnsi="Times New Roman"/>
          <w:b/>
          <w:i/>
          <w:noProof/>
          <w:sz w:val="24"/>
        </w:rPr>
        <w:t>Teatatud probleem:</w:t>
      </w:r>
      <w:r>
        <w:rPr>
          <w:rFonts w:ascii="Times New Roman" w:hAnsi="Times New Roman"/>
          <w:noProof/>
          <w:sz w:val="24"/>
        </w:rPr>
        <w:t xml:space="preserve"> skeemiga nõuti, et tootjad laseksid Argentina standardimise ja sertifitseerimise instituudil teha kolmanda isiku vastavushindamise, enne kui nad saavad oma tooted turule lasta. Seda meedet peeti ebavajalikuks takistuseks ELi tootjatele, kes juba toodavad oma keraamilisi plaate ülemaailmselt tunnustatud enesesertifitseerimise standardi alusel, mis ei nõua kolmanda isiku vastavushindamist. Seega kehtestati skeemiga märkimisväärne majanduslik ja halduslik koormus ELi ettevõtjatele, kes soovisid konkureerida Argentina turul.</w:t>
      </w:r>
    </w:p>
    <w:p w14:paraId="1C5251A0" w14:textId="77777777" w:rsidR="00A07444" w:rsidRPr="00955CE4" w:rsidRDefault="00A07444" w:rsidP="00A07444">
      <w:pPr>
        <w:pBdr>
          <w:top w:val="single" w:sz="4" w:space="4" w:color="000000"/>
          <w:left w:val="single" w:sz="4" w:space="0" w:color="000000"/>
          <w:bottom w:val="single" w:sz="4" w:space="4" w:color="000000"/>
          <w:right w:val="single" w:sz="4" w:space="4" w:color="000000"/>
        </w:pBdr>
        <w:spacing w:after="0" w:line="240" w:lineRule="auto"/>
        <w:jc w:val="both"/>
        <w:textAlignment w:val="baseline"/>
        <w:rPr>
          <w:rFonts w:ascii="Times New Roman" w:hAnsi="Times New Roman"/>
          <w:noProof/>
          <w:sz w:val="24"/>
        </w:rPr>
      </w:pPr>
    </w:p>
    <w:p w14:paraId="1D122ACA" w14:textId="49A20BE3" w:rsidR="00A07444" w:rsidRPr="00955CE4" w:rsidRDefault="00A07444" w:rsidP="00A07444">
      <w:pPr>
        <w:pBdr>
          <w:top w:val="single" w:sz="4" w:space="4" w:color="000000"/>
          <w:left w:val="single" w:sz="4" w:space="0" w:color="000000"/>
          <w:bottom w:val="single" w:sz="4" w:space="4" w:color="000000"/>
          <w:right w:val="single" w:sz="4" w:space="4" w:color="000000"/>
        </w:pBdr>
        <w:spacing w:after="0" w:line="240" w:lineRule="auto"/>
        <w:jc w:val="both"/>
        <w:textAlignment w:val="baseline"/>
        <w:rPr>
          <w:rFonts w:ascii="Times New Roman" w:hAnsi="Times New Roman"/>
          <w:noProof/>
          <w:sz w:val="24"/>
        </w:rPr>
      </w:pPr>
      <w:r>
        <w:rPr>
          <w:rFonts w:ascii="Times New Roman" w:hAnsi="Times New Roman"/>
          <w:b/>
          <w:i/>
          <w:noProof/>
          <w:sz w:val="24"/>
        </w:rPr>
        <w:t>Võetud meetmed:</w:t>
      </w:r>
      <w:r>
        <w:rPr>
          <w:rFonts w:ascii="Times New Roman" w:hAnsi="Times New Roman"/>
          <w:i/>
          <w:noProof/>
          <w:sz w:val="24"/>
        </w:rPr>
        <w:t xml:space="preserve"> </w:t>
      </w:r>
      <w:r>
        <w:rPr>
          <w:rFonts w:ascii="Times New Roman" w:hAnsi="Times New Roman"/>
          <w:noProof/>
          <w:sz w:val="24"/>
        </w:rPr>
        <w:t>komisjoni, mitme liikmesriigi ja ELi Buenos Airese delegatsiooni ühiste jõupingutuste tulemusel toimus 2024. aasta märtsis kohtumine Argentina kaubandusministriga, kes tunnistas, et otsus pani tootjatele ülemäärase koormuse ning tekitas Argentina lõpptarbijatele ohu, et nad peavad maksma keraamiliste plaatide eest kõrgemat hinda.</w:t>
      </w:r>
    </w:p>
    <w:p w14:paraId="5D003BAE" w14:textId="77777777" w:rsidR="00A07444" w:rsidRPr="00955CE4" w:rsidRDefault="00A07444" w:rsidP="00A07444">
      <w:pPr>
        <w:pBdr>
          <w:top w:val="single" w:sz="4" w:space="4" w:color="000000"/>
          <w:left w:val="single" w:sz="4" w:space="0" w:color="000000"/>
          <w:bottom w:val="single" w:sz="4" w:space="4" w:color="000000"/>
          <w:right w:val="single" w:sz="4" w:space="4" w:color="000000"/>
        </w:pBdr>
        <w:spacing w:after="0" w:line="240" w:lineRule="auto"/>
        <w:jc w:val="both"/>
        <w:textAlignment w:val="baseline"/>
        <w:rPr>
          <w:rFonts w:ascii="Times New Roman" w:hAnsi="Times New Roman"/>
          <w:noProof/>
          <w:sz w:val="24"/>
        </w:rPr>
      </w:pPr>
    </w:p>
    <w:p w14:paraId="5BB86C59" w14:textId="5D23624F" w:rsidR="00A07444" w:rsidRPr="00570F0D" w:rsidRDefault="00191746" w:rsidP="00756E4E">
      <w:pPr>
        <w:pBdr>
          <w:top w:val="single" w:sz="4" w:space="4" w:color="000000"/>
          <w:left w:val="single" w:sz="4" w:space="0" w:color="000000"/>
          <w:bottom w:val="single" w:sz="4" w:space="4" w:color="000000"/>
          <w:right w:val="single" w:sz="4" w:space="4" w:color="000000"/>
        </w:pBdr>
        <w:spacing w:after="0" w:line="240" w:lineRule="auto"/>
        <w:jc w:val="both"/>
        <w:textAlignment w:val="baseline"/>
        <w:rPr>
          <w:rFonts w:ascii="Times New Roman" w:eastAsia="Times New Roman" w:hAnsi="Times New Roman" w:cs="Times New Roman"/>
          <w:noProof/>
          <w:sz w:val="24"/>
          <w:szCs w:val="24"/>
        </w:rPr>
      </w:pPr>
      <w:r>
        <w:rPr>
          <w:rFonts w:ascii="Times New Roman" w:hAnsi="Times New Roman"/>
          <w:b/>
          <w:i/>
          <w:noProof/>
          <w:sz w:val="24"/>
        </w:rPr>
        <w:t>Lahendus</w:t>
      </w:r>
      <w:r>
        <w:rPr>
          <w:rFonts w:ascii="Times New Roman" w:hAnsi="Times New Roman"/>
          <w:noProof/>
          <w:sz w:val="24"/>
        </w:rPr>
        <w:t>: 30. augustil 2024. aastal avaldati uus otsus (236/2024), millega kaotati importijatele kehtinud nõuded. Selle asemel võivad ettevõtjad, kellelt nõutakse ehitusmaterjalide (sealhulgas keraamiliste plaatide) impordi sertifitseerimist, esitada vandetõendi vastavuse kohta rahvusvahelisele sertifikaadile, mida loetakse võrdväärseks IRAMi sertifikaadiga. Selle tõkke kõrvaldamise majanduslik mõju ELi keraamiliste plaatide eksportijatele Argentinasse on hinnanguliselt ligikaudu 16 miljonit eurot aastas.</w:t>
      </w:r>
      <w:bookmarkEnd w:id="64"/>
    </w:p>
    <w:sectPr w:rsidR="00A07444" w:rsidRPr="00570F0D" w:rsidSect="00BA7CEF">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DEB43" w14:textId="77777777" w:rsidR="00C05074" w:rsidRPr="005C57CC" w:rsidRDefault="00C05074" w:rsidP="00F64DF9">
      <w:pPr>
        <w:spacing w:after="0" w:line="240" w:lineRule="auto"/>
      </w:pPr>
      <w:r>
        <w:separator/>
      </w:r>
    </w:p>
  </w:endnote>
  <w:endnote w:type="continuationSeparator" w:id="0">
    <w:p w14:paraId="5E92251F" w14:textId="77777777" w:rsidR="00C05074" w:rsidRPr="005C57CC" w:rsidRDefault="00C05074" w:rsidP="00F64DF9">
      <w:pPr>
        <w:spacing w:after="0" w:line="240" w:lineRule="auto"/>
      </w:pPr>
      <w:r>
        <w:continuationSeparator/>
      </w:r>
    </w:p>
  </w:endnote>
  <w:endnote w:type="continuationNotice" w:id="1">
    <w:p w14:paraId="4BFC741B" w14:textId="77777777" w:rsidR="00C05074" w:rsidRPr="005C57CC" w:rsidRDefault="00C05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EC Square Sans Pro">
    <w:charset w:val="00"/>
    <w:family w:val="swiss"/>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8E830" w14:textId="06A9B22E" w:rsidR="00026B2A" w:rsidRPr="00026B2A" w:rsidRDefault="00026B2A" w:rsidP="00026B2A">
    <w:pPr>
      <w:pStyle w:val="FooterCoverPage"/>
      <w:rPr>
        <w:rFonts w:ascii="Arial" w:hAnsi="Arial" w:cs="Arial"/>
        <w:b/>
        <w:sz w:val="48"/>
      </w:rPr>
    </w:pPr>
    <w:r w:rsidRPr="00026B2A">
      <w:rPr>
        <w:rFonts w:ascii="Arial" w:hAnsi="Arial" w:cs="Arial"/>
        <w:b/>
        <w:sz w:val="48"/>
      </w:rPr>
      <w:t>ET</w:t>
    </w:r>
    <w:r w:rsidRPr="00026B2A">
      <w:rPr>
        <w:rFonts w:ascii="Arial" w:hAnsi="Arial" w:cs="Arial"/>
        <w:b/>
        <w:sz w:val="48"/>
      </w:rPr>
      <w:tab/>
    </w:r>
    <w:r w:rsidRPr="00026B2A">
      <w:rPr>
        <w:rFonts w:ascii="Arial" w:hAnsi="Arial" w:cs="Arial"/>
        <w:b/>
        <w:sz w:val="48"/>
      </w:rPr>
      <w:tab/>
    </w:r>
    <w:r w:rsidRPr="00026B2A">
      <w:tab/>
    </w:r>
    <w:r w:rsidRPr="00026B2A">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E447C" w14:textId="274D8594" w:rsidR="00026B2A" w:rsidRPr="00026B2A" w:rsidRDefault="00026B2A" w:rsidP="00026B2A">
    <w:pPr>
      <w:pStyle w:val="FooterCoverPage"/>
      <w:rPr>
        <w:rFonts w:ascii="Arial" w:hAnsi="Arial" w:cs="Arial"/>
        <w:b/>
        <w:sz w:val="48"/>
      </w:rPr>
    </w:pPr>
    <w:r w:rsidRPr="00026B2A">
      <w:rPr>
        <w:rFonts w:ascii="Arial" w:hAnsi="Arial" w:cs="Arial"/>
        <w:b/>
        <w:sz w:val="48"/>
      </w:rPr>
      <w:t>ET</w:t>
    </w:r>
    <w:r w:rsidRPr="00026B2A">
      <w:rPr>
        <w:rFonts w:ascii="Arial" w:hAnsi="Arial" w:cs="Arial"/>
        <w:b/>
        <w:sz w:val="48"/>
      </w:rPr>
      <w:tab/>
    </w:r>
    <w:r w:rsidRPr="00026B2A">
      <w:rPr>
        <w:rFonts w:ascii="Arial" w:hAnsi="Arial" w:cs="Arial"/>
        <w:b/>
        <w:sz w:val="48"/>
      </w:rPr>
      <w:tab/>
    </w:r>
    <w:r w:rsidRPr="00026B2A">
      <w:tab/>
    </w:r>
    <w:r w:rsidRPr="00026B2A">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CF5E7" w14:textId="77777777" w:rsidR="00026B2A" w:rsidRPr="00026B2A" w:rsidRDefault="00026B2A" w:rsidP="00026B2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DBEB" w14:textId="77777777" w:rsidR="00C61384" w:rsidRPr="005C57CC" w:rsidRDefault="00C61384" w:rsidP="00630BED">
    <w:pPr>
      <w:pStyle w:val="FooterCoverPage"/>
      <w:rPr>
        <w:rFonts w:ascii="Arial" w:hAnsi="Arial" w:cs="Arial"/>
        <w:b/>
        <w:sz w:val="48"/>
      </w:rPr>
    </w:pPr>
    <w:r>
      <w:rPr>
        <w:rFonts w:ascii="Arial" w:hAnsi="Arial"/>
        <w:b/>
        <w:sz w:val="48"/>
      </w:rPr>
      <w:t>ET</w:t>
    </w:r>
    <w:r>
      <w:tab/>
    </w:r>
    <w:r>
      <w:tab/>
    </w:r>
    <w:r>
      <w:tab/>
    </w:r>
    <w:r>
      <w:rPr>
        <w:rFonts w:ascii="Arial" w:hAnsi="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1BBE" w14:textId="77777777" w:rsidR="00C61384" w:rsidRPr="005C57CC" w:rsidRDefault="00C61384" w:rsidP="00630BED">
    <w:pPr>
      <w:pStyle w:val="FooterCoverPage"/>
      <w:rPr>
        <w:rFonts w:ascii="Arial" w:hAnsi="Arial" w:cs="Arial"/>
        <w:b/>
        <w:sz w:val="48"/>
      </w:rPr>
    </w:pPr>
    <w:r>
      <w:rPr>
        <w:rFonts w:ascii="Arial" w:hAnsi="Arial"/>
        <w:b/>
        <w:sz w:val="48"/>
      </w:rPr>
      <w:t>ET</w:t>
    </w:r>
    <w:r>
      <w:tab/>
    </w:r>
    <w:r>
      <w:tab/>
    </w:r>
    <w:r>
      <w:tab/>
    </w:r>
    <w:r>
      <w:rPr>
        <w:rFonts w:ascii="Arial" w:hAnsi="Arial"/>
        <w:b/>
        <w:sz w:val="48"/>
      </w:rPr>
      <w:t>ET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6EDA2" w14:textId="77777777" w:rsidR="00C61384" w:rsidRDefault="00C613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B1887" w14:textId="77777777" w:rsidR="00BA7CEF" w:rsidRPr="005C57CC" w:rsidRDefault="00BA7CE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33450"/>
      <w:docPartObj>
        <w:docPartGallery w:val="Page Numbers (Bottom of Page)"/>
        <w:docPartUnique/>
      </w:docPartObj>
    </w:sdtPr>
    <w:sdtEndPr>
      <w:rPr>
        <w:rFonts w:ascii="Times New Roman" w:hAnsi="Times New Roman" w:cs="Times New Roman"/>
      </w:rPr>
    </w:sdtEndPr>
    <w:sdtContent>
      <w:p w14:paraId="48F8EF31" w14:textId="0E94FBF1" w:rsidR="00BA7CEF" w:rsidRPr="005C57CC" w:rsidRDefault="00BA7CE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26B2A">
          <w:rPr>
            <w:rFonts w:ascii="Times New Roman" w:hAnsi="Times New Roman" w:cs="Times New Roman"/>
            <w:noProof/>
          </w:rPr>
          <w:t>9</w:t>
        </w:r>
        <w:r>
          <w:rPr>
            <w:rFonts w:ascii="Times New Roman" w:hAnsi="Times New Roman" w:cs="Times New Roman"/>
          </w:rPr>
          <w:fldChar w:fldCharType="end"/>
        </w:r>
      </w:p>
    </w:sdtContent>
  </w:sdt>
  <w:p w14:paraId="09A6D393" w14:textId="77777777" w:rsidR="00BA7CEF" w:rsidRPr="005C57CC" w:rsidRDefault="00BA7CE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8FA9" w14:textId="77777777" w:rsidR="00BA7CEF" w:rsidRPr="005C57CC" w:rsidRDefault="00BA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093AA" w14:textId="77777777" w:rsidR="00C05074" w:rsidRPr="005C57CC" w:rsidRDefault="00C05074" w:rsidP="00F64DF9">
      <w:pPr>
        <w:spacing w:after="0" w:line="240" w:lineRule="auto"/>
      </w:pPr>
      <w:r>
        <w:separator/>
      </w:r>
    </w:p>
  </w:footnote>
  <w:footnote w:type="continuationSeparator" w:id="0">
    <w:p w14:paraId="5415CEAB" w14:textId="77777777" w:rsidR="00C05074" w:rsidRPr="005C57CC" w:rsidRDefault="00C05074" w:rsidP="00F64DF9">
      <w:pPr>
        <w:spacing w:after="0" w:line="240" w:lineRule="auto"/>
      </w:pPr>
      <w:r>
        <w:continuationSeparator/>
      </w:r>
    </w:p>
  </w:footnote>
  <w:footnote w:type="continuationNotice" w:id="1">
    <w:p w14:paraId="7D706C62" w14:textId="77777777" w:rsidR="00C05074" w:rsidRPr="005C57CC" w:rsidRDefault="00C05074">
      <w:pPr>
        <w:spacing w:after="0" w:line="240" w:lineRule="auto"/>
      </w:pPr>
    </w:p>
  </w:footnote>
  <w:footnote w:id="2">
    <w:p w14:paraId="5945ADB1" w14:textId="67DA5F36" w:rsidR="009378FE" w:rsidRPr="00756E4E" w:rsidRDefault="009378FE" w:rsidP="009378FE">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Allikas: ELi ja Kanada CETA lepingu järelhindamine; lõpparuande eelnõu avaldati 16. juunil 2025: </w:t>
      </w:r>
      <w:hyperlink r:id="rId1" w:history="1">
        <w:r>
          <w:rPr>
            <w:rStyle w:val="Hyperlink"/>
            <w:rFonts w:ascii="Times New Roman" w:hAnsi="Times New Roman"/>
          </w:rPr>
          <w:t>Circabc</w:t>
        </w:r>
      </w:hyperlink>
      <w:r>
        <w:t>.</w:t>
      </w:r>
    </w:p>
  </w:footnote>
  <w:footnote w:id="3">
    <w:p w14:paraId="47F8736F" w14:textId="3F8378A7" w:rsidR="00587388" w:rsidRPr="00756E4E" w:rsidRDefault="00587388" w:rsidP="0058738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Trade Impact B.V. järelhindamine, avaldatud 16. juunil 2025; </w:t>
      </w:r>
      <w:hyperlink r:id="rId2" w:history="1">
        <w:r>
          <w:rPr>
            <w:rStyle w:val="Hyperlink"/>
            <w:rFonts w:ascii="Times New Roman" w:hAnsi="Times New Roman"/>
          </w:rPr>
          <w:t>Circabc</w:t>
        </w:r>
      </w:hyperlink>
      <w:r>
        <w:t>.</w:t>
      </w:r>
    </w:p>
  </w:footnote>
  <w:footnote w:id="4">
    <w:p w14:paraId="5654E7D2" w14:textId="31B876EF" w:rsidR="00305F63" w:rsidRPr="00756E4E" w:rsidRDefault="00305F63" w:rsidP="00305F63">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ELi ja Jaapani vaheline kokkulepe piiriülese andmeedastuse kohta</w:t>
        </w:r>
      </w:hyperlink>
      <w:r>
        <w:t>.</w:t>
      </w:r>
    </w:p>
  </w:footnote>
  <w:footnote w:id="5">
    <w:p w14:paraId="2AEA803C" w14:textId="77DA753D" w:rsidR="006F2D41" w:rsidRPr="00C14642" w:rsidRDefault="006F2D41" w:rsidP="006F2D41">
      <w:pPr>
        <w:spacing w:after="160" w:line="259" w:lineRule="auto"/>
        <w:jc w:val="both"/>
        <w:rPr>
          <w:rFonts w:ascii="Times New Roman" w:hAnsi="Times New Roman"/>
          <w:sz w:val="20"/>
        </w:rPr>
      </w:pPr>
      <w:r>
        <w:rPr>
          <w:rStyle w:val="FootnoteReference"/>
          <w:rFonts w:ascii="Times New Roman" w:hAnsi="Times New Roman"/>
        </w:rPr>
        <w:footnoteRef/>
      </w:r>
      <w:r>
        <w:t xml:space="preserve"> </w:t>
      </w:r>
      <w:r>
        <w:rPr>
          <w:rFonts w:ascii="Times New Roman" w:hAnsi="Times New Roman"/>
          <w:sz w:val="20"/>
        </w:rPr>
        <w:t>Albaania, Armeenia, Austraalia, Bosnia ja Hertsegoviina, Kanada, Tšiili, Colombia, Costa Rica, Ecuador, El Salvador, Gruusia, Guatemala, Honduras, Hongkong, Island, Iraak, Iisrael, Jaapan, Kasahstan, Lõuna-Korea, Kosovo, Liechtenstein, Mehhiko, Moldova, Montenegro, Aruba, Uus-Meremaa, Nicaragua, Põhja-Makedoonia, Norra, Panama, Peruu, Serbia, Singapur, Šveits, Taiwan, Ukraina, Ühendkuningriik, Ameerika Ühendriigid ja Vietnam.</w:t>
      </w:r>
    </w:p>
  </w:footnote>
  <w:footnote w:id="6">
    <w:p w14:paraId="4136960E" w14:textId="77777777" w:rsidR="00FB1AF3" w:rsidRPr="005C57CC" w:rsidRDefault="00FB1AF3" w:rsidP="00FB1AF3">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Koos Euroopa Majanduspiirkonna ja tolliliidu partnerriikidega ulatub see ligikaudu 270 miljardi euroni.</w:t>
      </w:r>
    </w:p>
  </w:footnote>
  <w:footnote w:id="7">
    <w:p w14:paraId="52910B4A" w14:textId="143A42B7" w:rsidR="00AE5722" w:rsidRPr="003B6A0F" w:rsidRDefault="00AE5722" w:rsidP="00AE5722">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sz w:val="22"/>
        </w:rPr>
        <w:t xml:space="preserve"> </w:t>
      </w:r>
      <w:bookmarkStart w:id="16" w:name="_Hlk211614407"/>
      <w:r>
        <w:rPr>
          <w:rFonts w:ascii="Times New Roman" w:hAnsi="Times New Roman"/>
        </w:rPr>
        <w:t xml:space="preserve">ELT L, 2024/2754, 29.10.2024, ELI: </w:t>
      </w:r>
      <w:hyperlink r:id="rId4" w:history="1">
        <w:r>
          <w:rPr>
            <w:rStyle w:val="Hyperlink"/>
            <w:rFonts w:ascii="Times New Roman" w:hAnsi="Times New Roman"/>
          </w:rPr>
          <w:t>http://data.europa.eu/eli/reg_impl/2024/2754/oj</w:t>
        </w:r>
      </w:hyperlink>
      <w:r>
        <w:rPr>
          <w:rFonts w:ascii="Times New Roman" w:hAnsi="Times New Roman"/>
        </w:rPr>
        <w:t>.</w:t>
      </w:r>
    </w:p>
    <w:bookmarkEnd w:id="16"/>
  </w:footnote>
  <w:footnote w:id="8">
    <w:p w14:paraId="31D88C10" w14:textId="2C6E5AAF" w:rsidR="009D0DDE" w:rsidRPr="005C57CC" w:rsidRDefault="009D0DDE">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Ühtne kontaktpunkt on kõigi ELi sidusrühmade esmaseks pöördumiskohaks potentsiaalsete kaubandustõkete korral kolmandates riikides või juhtudel, kui ei täideta kaubanduse ja kestliku arengu või üldiste tariifsete soodustuste kavaga seotud kestlikkuseeskirju.</w:t>
      </w:r>
    </w:p>
  </w:footnote>
  <w:footnote w:id="9">
    <w:p w14:paraId="1337E377" w14:textId="579E6031" w:rsidR="008031A5" w:rsidRPr="005C57CC" w:rsidRDefault="008031A5" w:rsidP="008031A5">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Neljas aruanne avaldati 3. oktoobril 2024. aastal ja on kättesaadav </w:t>
      </w:r>
      <w:hyperlink r:id="rId5" w:history="1">
        <w:r>
          <w:rPr>
            <w:rStyle w:val="Hyperlink"/>
            <w:rFonts w:ascii="Times New Roman" w:hAnsi="Times New Roman"/>
          </w:rPr>
          <w:t>komisjoni dokumendiregistris – COM(2024)385</w:t>
        </w:r>
      </w:hyperlink>
      <w:r>
        <w:rPr>
          <w:rFonts w:ascii="Times New Roman" w:hAnsi="Times New Roman"/>
        </w:rPr>
        <w:t>.</w:t>
      </w:r>
    </w:p>
  </w:footnote>
  <w:footnote w:id="10">
    <w:p w14:paraId="15F6BAF1" w14:textId="424CC62F" w:rsidR="00851198" w:rsidRPr="005C57CC" w:rsidRDefault="00851198">
      <w:pPr>
        <w:pStyle w:val="FootnoteText"/>
      </w:pPr>
      <w:r>
        <w:rPr>
          <w:rStyle w:val="FootnoteReference"/>
        </w:rPr>
        <w:footnoteRef/>
      </w:r>
      <w:r>
        <w:t xml:space="preserve"> </w:t>
      </w:r>
      <w:bookmarkStart w:id="18" w:name="_Hlk207962737"/>
      <w:r>
        <w:rPr>
          <w:rFonts w:ascii="Times New Roman" w:hAnsi="Times New Roman"/>
        </w:rPr>
        <w:t>Sooduskaubanduslepingute all mõistetakse käesolevas aruandes lepinguid, millega luuakse vabakaubanduspiirkond või liberaliseeritakse teenustekaubandus ning mille puhul seetõttu ei kohaldata üldise tolli- ja kaubanduskokkuleppe ning teenuskaubanduse üldlepingu enamsoodustusrežiimi.</w:t>
      </w:r>
    </w:p>
    <w:bookmarkEnd w:id="18"/>
  </w:footnote>
  <w:footnote w:id="11">
    <w:p w14:paraId="621E1881" w14:textId="3F67904B" w:rsidR="008031A5" w:rsidRPr="005C57CC" w:rsidRDefault="008031A5" w:rsidP="008031A5">
      <w:pPr>
        <w:pStyle w:val="FootnoteText"/>
        <w:jc w:val="both"/>
      </w:pPr>
      <w:r>
        <w:rPr>
          <w:rStyle w:val="FootnoteReference"/>
          <w:rFonts w:ascii="Times New Roman" w:hAnsi="Times New Roman"/>
        </w:rPr>
        <w:footnoteRef/>
      </w:r>
      <w:r>
        <w:t xml:space="preserve"> </w:t>
      </w:r>
      <w:r>
        <w:rPr>
          <w:rFonts w:ascii="Times New Roman" w:hAnsi="Times New Roman"/>
        </w:rPr>
        <w:t xml:space="preserve">Komisjoni talituste töödokument: individuaalsed teabelehed ELi kaubanduslepingute rakendamise kohta; SWD(2025) 940; </w:t>
      </w:r>
      <w:hyperlink r:id="rId6" w:history="1">
        <w:r>
          <w:rPr>
            <w:rStyle w:val="Hyperlink"/>
            <w:rFonts w:ascii="Times New Roman" w:hAnsi="Times New Roman"/>
          </w:rPr>
          <w:t>Circabc</w:t>
        </w:r>
      </w:hyperlink>
      <w:r>
        <w:t>.</w:t>
      </w:r>
    </w:p>
  </w:footnote>
  <w:footnote w:id="12">
    <w:p w14:paraId="379F099F" w14:textId="17F49949" w:rsidR="008031A5" w:rsidRPr="005C57CC" w:rsidRDefault="008031A5" w:rsidP="008031A5">
      <w:pPr>
        <w:pStyle w:val="FootnoteText"/>
        <w:jc w:val="both"/>
        <w:rPr>
          <w:rFonts w:ascii="Times New Roman" w:hAnsi="Times New Roman" w:cs="Times New Roman"/>
        </w:rPr>
      </w:pPr>
      <w:r>
        <w:rPr>
          <w:rStyle w:val="FootnoteReference"/>
          <w:rFonts w:ascii="Times New Roman" w:hAnsi="Times New Roman"/>
        </w:rPr>
        <w:footnoteRef/>
      </w:r>
      <w:r>
        <w:t xml:space="preserve"> </w:t>
      </w:r>
      <w:r>
        <w:rPr>
          <w:rFonts w:ascii="Times New Roman" w:hAnsi="Times New Roman"/>
        </w:rPr>
        <w:t xml:space="preserve">Euroopa Komisjoni kaubanduse peadirektoraadi veebileht rakendamise ja täitmise tagamise kohta: </w:t>
      </w:r>
      <w:hyperlink r:id="rId7" w:history="1">
        <w:r>
          <w:rPr>
            <w:rStyle w:val="Hyperlink"/>
            <w:rFonts w:ascii="Times New Roman" w:hAnsi="Times New Roman"/>
          </w:rPr>
          <w:t>ELi kaubanduslepingute rakendamine ja täitmise tagamine – Euroopa Komisjon (europa.eu)</w:t>
        </w:r>
      </w:hyperlink>
      <w:r>
        <w:t>.</w:t>
      </w:r>
    </w:p>
  </w:footnote>
  <w:footnote w:id="13">
    <w:p w14:paraId="6B40DCCB" w14:textId="02F03BCD" w:rsidR="008031A5" w:rsidRPr="00955CE4" w:rsidRDefault="008031A5" w:rsidP="008031A5">
      <w:pPr>
        <w:pStyle w:val="FootnoteText"/>
        <w:jc w:val="both"/>
        <w:rPr>
          <w:rFonts w:ascii="Times New Roman" w:hAnsi="Times New Roman"/>
        </w:rPr>
      </w:pPr>
      <w:r>
        <w:rPr>
          <w:rStyle w:val="FootnoteReference"/>
          <w:rFonts w:ascii="Times New Roman" w:hAnsi="Times New Roman" w:cs="Times New Roman"/>
        </w:rPr>
        <w:footnoteRef/>
      </w:r>
      <w:r>
        <w:t xml:space="preserve"> </w:t>
      </w:r>
      <w:r>
        <w:rPr>
          <w:rFonts w:ascii="Times New Roman" w:hAnsi="Times New Roman"/>
        </w:rPr>
        <w:t xml:space="preserve">Komisjoni 43. aruanne kaubanduse kaitsemeetmete kohta, </w:t>
      </w:r>
      <w:hyperlink r:id="rId8" w:history="1">
        <w:r>
          <w:rPr>
            <w:rStyle w:val="Hyperlink"/>
            <w:rFonts w:ascii="Times New Roman" w:hAnsi="Times New Roman"/>
          </w:rPr>
          <w:t>komisjoni dokumendiregister – COM(2025)428</w:t>
        </w:r>
      </w:hyperlink>
      <w:r>
        <w:t>.</w:t>
      </w:r>
    </w:p>
  </w:footnote>
  <w:footnote w:id="14">
    <w:p w14:paraId="32635541" w14:textId="1BD49C68" w:rsidR="008031A5" w:rsidRPr="005C57CC" w:rsidRDefault="008031A5" w:rsidP="008031A5">
      <w:pPr>
        <w:pStyle w:val="FootnoteText"/>
        <w:jc w:val="both"/>
        <w:rPr>
          <w:rFonts w:ascii="Times New Roman" w:hAnsi="Times New Roman" w:cs="Times New Roman"/>
        </w:rPr>
      </w:pPr>
      <w:bookmarkStart w:id="20" w:name="_Hlk167803711"/>
      <w:r>
        <w:rPr>
          <w:rStyle w:val="FootnoteReference"/>
          <w:rFonts w:ascii="Times New Roman" w:hAnsi="Times New Roman" w:cs="Times New Roman"/>
        </w:rPr>
        <w:footnoteRef/>
      </w:r>
      <w:r>
        <w:t xml:space="preserve"> </w:t>
      </w:r>
      <w:r>
        <w:rPr>
          <w:rFonts w:ascii="Times New Roman" w:hAnsi="Times New Roman"/>
        </w:rPr>
        <w:t xml:space="preserve">Viimane kolmandates riikides intellektuaalomandi õiguste kaitset ja jõustamist käsitlev aruanne avaldati 22. mail 2025 ning on kättesaadav </w:t>
      </w:r>
      <w:hyperlink r:id="rId9" w:history="1">
        <w:r>
          <w:rPr>
            <w:rFonts w:ascii="Times New Roman" w:hAnsi="Times New Roman"/>
            <w:color w:val="0000FF"/>
            <w:u w:val="single"/>
          </w:rPr>
          <w:t>komisjoni dokumendiregistris – SWD(2025)131</w:t>
        </w:r>
      </w:hyperlink>
      <w:r>
        <w:t>.</w:t>
      </w:r>
      <w:bookmarkEnd w:id="20"/>
    </w:p>
  </w:footnote>
  <w:footnote w:id="15">
    <w:p w14:paraId="27CA5BAF" w14:textId="165BD025" w:rsidR="008031A5" w:rsidRPr="005C57CC" w:rsidRDefault="008031A5" w:rsidP="008031A5">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Viimane võltsimis- ja piraatlusjuhtumite jälgimise nimekiri avaldati 22. mail 2025 ja on kättesaadav </w:t>
      </w:r>
      <w:hyperlink r:id="rId10" w:history="1">
        <w:r>
          <w:rPr>
            <w:rFonts w:ascii="Times New Roman" w:hAnsi="Times New Roman"/>
            <w:color w:val="0000FF"/>
            <w:u w:val="single"/>
          </w:rPr>
          <w:t>komisjoni dokumendiregistris – SWD(2025)132</w:t>
        </w:r>
      </w:hyperlink>
      <w:r>
        <w:t>.</w:t>
      </w:r>
    </w:p>
  </w:footnote>
  <w:footnote w:id="16">
    <w:p w14:paraId="192BFD7A" w14:textId="41051C4D" w:rsidR="008031A5" w:rsidRPr="005C57CC" w:rsidRDefault="008031A5" w:rsidP="008031A5">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Viies aastaaruanne liitu tehtavate välismaiste otseinvesteeringute taustauuringute kohta ja komisjoni talituste 14. oktoobri. 2025. aasta töödokument. </w:t>
      </w:r>
      <w:hyperlink r:id="rId11" w:history="1">
        <w:r>
          <w:rPr>
            <w:rStyle w:val="Hyperlink"/>
            <w:rFonts w:ascii="Times New Roman" w:hAnsi="Times New Roman"/>
          </w:rPr>
          <w:t>komisjoni dokumendiregistris – COM(2025)632</w:t>
        </w:r>
      </w:hyperlink>
      <w:r>
        <w:rPr>
          <w:rFonts w:ascii="Times New Roman" w:hAnsi="Times New Roman"/>
        </w:rPr>
        <w:t>.</w:t>
      </w:r>
    </w:p>
  </w:footnote>
  <w:footnote w:id="17">
    <w:p w14:paraId="47A7EDF0" w14:textId="5B4CD177" w:rsidR="008031A5" w:rsidRPr="00756E4E" w:rsidRDefault="008031A5" w:rsidP="008031A5">
      <w:pPr>
        <w:pStyle w:val="FootnoteText"/>
        <w:rPr>
          <w:rFonts w:ascii="Times New Roman" w:hAnsi="Times New Roman"/>
        </w:rPr>
      </w:pPr>
      <w:bookmarkStart w:id="22" w:name="_Hlk167803852"/>
      <w:r>
        <w:rPr>
          <w:rStyle w:val="FootnoteReference"/>
          <w:rFonts w:ascii="Times New Roman" w:hAnsi="Times New Roman" w:cs="Times New Roman"/>
        </w:rPr>
        <w:footnoteRef/>
      </w:r>
      <w:r>
        <w:rPr>
          <w:rFonts w:ascii="Times New Roman" w:hAnsi="Times New Roman"/>
        </w:rPr>
        <w:t xml:space="preserve"> Vt aruanne määruse (EL) 2021/821 rakendamise kohta ja kaheotstarbeliste kaupade ekspordikontrolli statistiline ajakohastus, 30. jaanuar 2025; COM(2025) 19; </w:t>
      </w:r>
      <w:bookmarkEnd w:id="22"/>
      <w:r>
        <w:rPr>
          <w:rFonts w:ascii="Times New Roman" w:hAnsi="Times New Roman" w:cs="Times New Roman"/>
        </w:rPr>
        <w:fldChar w:fldCharType="begin"/>
      </w:r>
      <w:r>
        <w:rPr>
          <w:rFonts w:ascii="Times New Roman" w:hAnsi="Times New Roman" w:cs="Times New Roman"/>
        </w:rPr>
        <w:instrText>HYPERLINK "https://ec.europa.eu/transparency/documents-register/detail?ref=COM(2025)19&amp;lang=et"</w:instrText>
      </w:r>
      <w:r>
        <w:rPr>
          <w:rFonts w:ascii="Times New Roman" w:hAnsi="Times New Roman" w:cs="Times New Roman"/>
        </w:rPr>
        <w:fldChar w:fldCharType="separate"/>
      </w:r>
      <w:r>
        <w:rPr>
          <w:rStyle w:val="Hyperlink"/>
          <w:rFonts w:ascii="Times New Roman" w:hAnsi="Times New Roman"/>
        </w:rPr>
        <w:t>Komisjoni dokumendiregister – COM(2025)19.</w:t>
      </w:r>
      <w:r>
        <w:rPr>
          <w:rFonts w:ascii="Times New Roman" w:hAnsi="Times New Roman" w:cs="Times New Roman"/>
        </w:rPr>
        <w:fldChar w:fldCharType="end"/>
      </w:r>
    </w:p>
  </w:footnote>
  <w:footnote w:id="18">
    <w:p w14:paraId="105FE802" w14:textId="32A38C4C" w:rsidR="008031A5" w:rsidRPr="005C57CC" w:rsidRDefault="008031A5" w:rsidP="008031A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23" w:name="_Hlk145061119"/>
      <w:r>
        <w:rPr>
          <w:rFonts w:ascii="Times New Roman" w:hAnsi="Times New Roman"/>
        </w:rPr>
        <w:t>Viimane aruanne üldiste tariifsete soodustuste kava käsitleva määruse kohaldamise kohta</w:t>
      </w:r>
      <w:bookmarkEnd w:id="23"/>
      <w:r>
        <w:rPr>
          <w:rFonts w:ascii="Times New Roman" w:hAnsi="Times New Roman"/>
        </w:rPr>
        <w:t>:</w:t>
      </w:r>
      <w:r>
        <w:rPr>
          <w:rFonts w:ascii="Times New Roman" w:hAnsi="Times New Roman"/>
          <w:color w:val="FF0000"/>
          <w:sz w:val="22"/>
        </w:rPr>
        <w:t xml:space="preserve"> </w:t>
      </w:r>
      <w:r>
        <w:rPr>
          <w:rFonts w:ascii="Times New Roman" w:hAnsi="Times New Roman"/>
        </w:rPr>
        <w:t xml:space="preserve">JOIN(2023) 34, </w:t>
      </w:r>
      <w:hyperlink r:id="rId12" w:history="1">
        <w:r>
          <w:rPr>
            <w:rStyle w:val="Hyperlink"/>
            <w:rFonts w:ascii="Times New Roman" w:hAnsi="Times New Roman"/>
          </w:rPr>
          <w:t>komisjoni dokumendiregister – JOIN(2023) 34 (europa.eu)</w:t>
        </w:r>
      </w:hyperlink>
      <w:r>
        <w:t>.</w:t>
      </w:r>
    </w:p>
  </w:footnote>
  <w:footnote w:id="19">
    <w:p w14:paraId="4A5443B5" w14:textId="01E476D6" w:rsidR="008031A5" w:rsidRPr="00756E4E" w:rsidRDefault="008031A5" w:rsidP="008031A5">
      <w:pPr>
        <w:pStyle w:val="FootnoteText"/>
        <w:rPr>
          <w:rFonts w:ascii="Times New Roman" w:hAnsi="Times New Roman"/>
        </w:rPr>
      </w:pPr>
      <w:r>
        <w:rPr>
          <w:rStyle w:val="FootnoteReference"/>
          <w:rFonts w:ascii="Times New Roman" w:hAnsi="Times New Roman" w:cs="Times New Roman"/>
        </w:rPr>
        <w:footnoteRef/>
      </w:r>
      <w:r>
        <w:t xml:space="preserve"> </w:t>
      </w:r>
      <w:r>
        <w:rPr>
          <w:rFonts w:ascii="Times New Roman" w:hAnsi="Times New Roman"/>
        </w:rPr>
        <w:t>Vt määruse (EL) 2022/2560 artikkel 52 (ELT L 330, 23.12.2022, lk 1). Esimese aruande tähtaeg on 2026. aastal.</w:t>
      </w:r>
    </w:p>
  </w:footnote>
  <w:footnote w:id="20">
    <w:p w14:paraId="1DB64C53" w14:textId="2ACF3716" w:rsidR="008031A5" w:rsidRPr="005C57CC" w:rsidRDefault="008031A5" w:rsidP="008031A5">
      <w:pPr>
        <w:pStyle w:val="FootnoteText"/>
        <w:rPr>
          <w:rFonts w:ascii="Times New Roman" w:hAnsi="Times New Roman" w:cs="Times New Roman"/>
        </w:rPr>
      </w:pPr>
      <w:r>
        <w:rPr>
          <w:rStyle w:val="FootnoteReference"/>
          <w:rFonts w:ascii="Times New Roman" w:hAnsi="Times New Roman"/>
        </w:rPr>
        <w:footnoteRef/>
      </w:r>
      <w:r>
        <w:t xml:space="preserve"> </w:t>
      </w:r>
      <w:r>
        <w:rPr>
          <w:rFonts w:ascii="Times New Roman" w:hAnsi="Times New Roman"/>
        </w:rPr>
        <w:t xml:space="preserve">Vt 30. juuli 2025. aasta määruse (EL) 2022/1031 artiklis 13 sätestatud aruanne. COM(2025) 430 final; </w:t>
      </w:r>
      <w:hyperlink r:id="rId13" w:history="1">
        <w:r>
          <w:rPr>
            <w:rStyle w:val="Hyperlink"/>
            <w:rFonts w:ascii="Times New Roman" w:hAnsi="Times New Roman"/>
          </w:rPr>
          <w:t>eur-lex.europa.eu/legal-content/ET/TXT/PDF/?uri=CELEX:52025DC0430</w:t>
        </w:r>
      </w:hyperlink>
      <w:r>
        <w:t>.</w:t>
      </w:r>
    </w:p>
  </w:footnote>
  <w:footnote w:id="21">
    <w:p w14:paraId="5B916D99" w14:textId="496B2FE5" w:rsidR="005F5F3C" w:rsidRPr="005C57CC" w:rsidRDefault="005F5F3C" w:rsidP="005F5F3C">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Nimekiri lepingutest on leitav aadressil: </w:t>
      </w:r>
      <w:hyperlink r:id="rId14" w:tgtFrame="_blank" w:history="1">
        <w:r>
          <w:rPr>
            <w:rStyle w:val="Hyperlink"/>
            <w:rFonts w:ascii="Times New Roman" w:hAnsi="Times New Roman"/>
          </w:rPr>
          <w:t>https://policy.trade.ec.europa.eu/eu-trade-relationships-country-and-region/negotiations-and-agreements_en</w:t>
        </w:r>
      </w:hyperlink>
      <w:r>
        <w:t>.</w:t>
      </w:r>
      <w:r>
        <w:rPr>
          <w:rFonts w:ascii="Times New Roman" w:hAnsi="Times New Roman"/>
          <w:u w:val="single"/>
        </w:rPr>
        <w:t xml:space="preserve"> </w:t>
      </w:r>
    </w:p>
  </w:footnote>
  <w:footnote w:id="22">
    <w:p w14:paraId="75266B35" w14:textId="3ED8A4DB" w:rsidR="005F5F3C" w:rsidRPr="00756E4E" w:rsidRDefault="005F5F3C" w:rsidP="00756E4E">
      <w:pPr>
        <w:pStyle w:val="FootnoteText"/>
        <w:jc w:val="both"/>
        <w:rPr>
          <w:rFonts w:ascii="Times New Roman" w:hAnsi="Times New Roman"/>
        </w:rPr>
      </w:pPr>
      <w:r>
        <w:rPr>
          <w:rStyle w:val="FootnoteReference"/>
          <w:rFonts w:ascii="Times New Roman" w:hAnsi="Times New Roman" w:cs="Times New Roman"/>
        </w:rPr>
        <w:footnoteRef/>
      </w:r>
      <w:r>
        <w:t xml:space="preserve"> </w:t>
      </w:r>
      <w:r>
        <w:rPr>
          <w:rFonts w:ascii="Times New Roman" w:hAnsi="Times New Roman"/>
        </w:rPr>
        <w:t>Kui lisada lepingud Argentiina, Brasiilia, Paraguay ja Uruguayga (Mercosur) ning Ida- ja Lääne-Aafrikaga sõlmitud majanduspartnerluslepingud, mis on vormistatud ja hetkel vastuvõtmisel (moodustades 3,4 % kogu ELi väliskaubandusest), suureneb ELi sooduskaubanduse osakaal peaaegu 50 %ni</w:t>
      </w:r>
      <w:r>
        <w:t>.</w:t>
      </w:r>
    </w:p>
  </w:footnote>
  <w:footnote w:id="23">
    <w:p w14:paraId="391074DA" w14:textId="6F4A5800" w:rsidR="001435CE" w:rsidRPr="00756E4E" w:rsidRDefault="001435CE">
      <w:pPr>
        <w:pStyle w:val="FootnoteText"/>
        <w:rPr>
          <w:rFonts w:ascii="Times New Roman" w:hAnsi="Times New Roman"/>
        </w:rPr>
      </w:pPr>
      <w:r>
        <w:rPr>
          <w:rStyle w:val="FootnoteReference"/>
          <w:rFonts w:ascii="Times New Roman" w:hAnsi="Times New Roman" w:cs="Times New Roman"/>
        </w:rPr>
        <w:footnoteRef/>
      </w:r>
      <w:r>
        <w:t xml:space="preserve"> </w:t>
      </w:r>
      <w:r>
        <w:rPr>
          <w:rFonts w:ascii="Times New Roman" w:hAnsi="Times New Roman"/>
        </w:rPr>
        <w:t>ASEAN-4 viitab Indoneesiale, Malaisiale, Filipiinidele ja Taile.</w:t>
      </w:r>
    </w:p>
  </w:footnote>
  <w:footnote w:id="24">
    <w:p w14:paraId="0A519865" w14:textId="6C94F717" w:rsidR="001435CE" w:rsidRPr="005C57CC" w:rsidRDefault="001435CE">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Allikas: Eurostat, Comexti andmebaas.</w:t>
      </w:r>
    </w:p>
  </w:footnote>
  <w:footnote w:id="25">
    <w:p w14:paraId="6FD810EB" w14:textId="18392C38" w:rsidR="00AC20BF" w:rsidRPr="005C57CC" w:rsidRDefault="00AC20BF" w:rsidP="00AC20BF">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Euroopa Komisjoni/põllumajanduse ja maaelu arengu peadirektoraadi 26. novembril 2024. aastal avaldatud uuring: </w:t>
      </w:r>
      <w:hyperlink r:id="rId15" w:history="1">
        <w:r>
          <w:rPr>
            <w:rStyle w:val="Hyperlink"/>
            <w:rFonts w:ascii="Times New Roman" w:hAnsi="Times New Roman"/>
          </w:rPr>
          <w:t>„Monitoring agri trade policy“ (Põllumajanduskaubanduse poliitika jälgimine)</w:t>
        </w:r>
      </w:hyperlink>
      <w:r>
        <w:rPr>
          <w:rFonts w:ascii="Times New Roman" w:hAnsi="Times New Roman"/>
        </w:rPr>
        <w:t>.</w:t>
      </w:r>
    </w:p>
  </w:footnote>
  <w:footnote w:id="26">
    <w:p w14:paraId="1577DB1B" w14:textId="4594F4AF" w:rsidR="00E071A4" w:rsidRPr="00756E4E" w:rsidRDefault="00E071A4" w:rsidP="00E071A4">
      <w:pPr>
        <w:pStyle w:val="FootnoteText"/>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Neljas aruanne toiduga kindlustatuse olukorrast Euroopa Liidus; </w:t>
      </w:r>
      <w:hyperlink r:id="rId16" w:history="1">
        <w:r>
          <w:rPr>
            <w:rStyle w:val="Hyperlink"/>
            <w:rFonts w:ascii="Times New Roman" w:hAnsi="Times New Roman"/>
          </w:rPr>
          <w:t>ELi põllumajanduse majandusülevaated</w:t>
        </w:r>
      </w:hyperlink>
      <w:r>
        <w:rPr>
          <w:rFonts w:ascii="Times New Roman" w:hAnsi="Times New Roman"/>
        </w:rPr>
        <w:t>.</w:t>
      </w:r>
    </w:p>
  </w:footnote>
  <w:footnote w:id="27">
    <w:p w14:paraId="321D4AEA" w14:textId="302AF1D1" w:rsidR="00E071A4" w:rsidRPr="00756E4E" w:rsidRDefault="00E071A4" w:rsidP="00E071A4">
      <w:pPr>
        <w:pStyle w:val="FootnoteText"/>
        <w:rPr>
          <w:rFonts w:ascii="Times New Roman" w:hAnsi="Times New Roman"/>
        </w:rPr>
      </w:pPr>
      <w:r>
        <w:rPr>
          <w:rStyle w:val="FootnoteReference"/>
          <w:rFonts w:ascii="Times New Roman" w:hAnsi="Times New Roman" w:cs="Times New Roman"/>
        </w:rPr>
        <w:footnoteRef/>
      </w:r>
      <w:r>
        <w:t xml:space="preserve"> </w:t>
      </w:r>
      <w:r>
        <w:rPr>
          <w:rFonts w:ascii="Times New Roman" w:hAnsi="Times New Roman"/>
        </w:rPr>
        <w:t>Sooduskaubanduspartnerid on 76 riiki, kellega ELil on sõlmitud sooduskaubandusleping, sõltumata sellest, kas leping hõlmab ka teenuseid või mitte.</w:t>
      </w:r>
    </w:p>
  </w:footnote>
  <w:footnote w:id="28">
    <w:p w14:paraId="3C52A54C" w14:textId="7A8BAE46" w:rsidR="00F43D70" w:rsidRPr="005C57CC" w:rsidRDefault="00F43D7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https://eur-lex.europa.eu/legal-content/ET/TXT/?uri=celex%3A21999A0204%2801%29</w:t>
        </w:r>
      </w:hyperlink>
      <w:r>
        <w:t>.</w:t>
      </w:r>
    </w:p>
  </w:footnote>
  <w:footnote w:id="29">
    <w:p w14:paraId="4225333A" w14:textId="5BA99AFB" w:rsidR="00362976" w:rsidRPr="00756E4E" w:rsidRDefault="00362976" w:rsidP="00362976">
      <w:pPr>
        <w:pStyle w:val="FootnoteText"/>
        <w:rPr>
          <w:rFonts w:ascii="Times New Roman" w:hAnsi="Times New Roman"/>
        </w:rPr>
      </w:pPr>
      <w:r>
        <w:rPr>
          <w:rStyle w:val="FootnoteReference"/>
          <w:rFonts w:ascii="Times New Roman" w:hAnsi="Times New Roman" w:cs="Times New Roman"/>
        </w:rPr>
        <w:footnoteRef/>
      </w:r>
      <w:r>
        <w:t xml:space="preserve"> </w:t>
      </w:r>
      <w:r>
        <w:rPr>
          <w:rFonts w:ascii="Times New Roman" w:hAnsi="Times New Roman"/>
        </w:rPr>
        <w:t xml:space="preserve">Kaubanduse ja kestliku arengu poliitika läbivaatamise peamiste järelduste kokkuvõtte leiab ka 2022. aasta aruandest rakendamise ja täitmise tagamise kohta: </w:t>
      </w:r>
      <w:hyperlink r:id="rId18" w:history="1">
        <w:r>
          <w:rPr>
            <w:rFonts w:ascii="Times New Roman" w:hAnsi="Times New Roman"/>
            <w:color w:val="0000FF"/>
            <w:u w:val="single"/>
          </w:rPr>
          <w:t>komisjoni dokumendiregister – COM(2022) 730 (europa.eu)</w:t>
        </w:r>
      </w:hyperlink>
      <w:r>
        <w:t>.</w:t>
      </w:r>
    </w:p>
  </w:footnote>
  <w:footnote w:id="30">
    <w:p w14:paraId="7CBA9B42" w14:textId="77777777" w:rsidR="004F12FE" w:rsidRPr="005C57CC" w:rsidRDefault="004F12FE" w:rsidP="004F12F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https://circabc.europa.eu/ui/group/8a31feb6-d901-421f-a607-ebbdd7d59ca0/library/01b3ba3c-a300-45ca-b12c-d069db91ed7e/details?download=true</w:t>
        </w:r>
      </w:hyperlink>
      <w:r>
        <w:t>.</w:t>
      </w:r>
    </w:p>
  </w:footnote>
  <w:footnote w:id="31">
    <w:p w14:paraId="182F1B3E" w14:textId="0D56C926" w:rsidR="00D24BB1" w:rsidRPr="005C57CC" w:rsidRDefault="00D24BB1" w:rsidP="00D24B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rPr>
          <w:t>CETA kaubanduse ja soolise võrdõiguslikkuse alane soovitus:</w:t>
        </w:r>
      </w:hyperlink>
      <w:hyperlink r:id="rId21" w:history="1">
        <w:r>
          <w:rPr>
            <w:rStyle w:val="Hyperlink"/>
            <w:rFonts w:ascii="Times New Roman" w:hAnsi="Times New Roman"/>
          </w:rPr>
          <w:t xml:space="preserve"> ELi ja Kanada 2020.–2021. aasta tööplaan</w:t>
        </w:r>
      </w:hyperlink>
      <w:r>
        <w:t>.</w:t>
      </w:r>
    </w:p>
  </w:footnote>
  <w:footnote w:id="32">
    <w:p w14:paraId="76DA04E5" w14:textId="14AB6A39" w:rsidR="00C72321" w:rsidRPr="005C57CC" w:rsidRDefault="00C7232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rPr>
          <w:t>https://www.euroclima.org/en/mapas-2021-en</w:t>
        </w:r>
      </w:hyperlink>
      <w:r>
        <w:t>.</w:t>
      </w:r>
    </w:p>
  </w:footnote>
  <w:footnote w:id="33">
    <w:p w14:paraId="6EE1C576" w14:textId="0F16DAC9" w:rsidR="001F4964" w:rsidRPr="00756E4E" w:rsidRDefault="001F4964" w:rsidP="001F4964">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23" w:history="1">
        <w:r>
          <w:rPr>
            <w:rStyle w:val="Hyperlink"/>
            <w:rFonts w:ascii="Times New Roman" w:hAnsi="Times New Roman"/>
          </w:rPr>
          <w:t>https://een.ec.europa.eu/</w:t>
        </w:r>
      </w:hyperlink>
      <w:r>
        <w:t>.</w:t>
      </w:r>
    </w:p>
  </w:footnote>
  <w:footnote w:id="34">
    <w:p w14:paraId="666120BF" w14:textId="7AD40ED5" w:rsidR="001F4964" w:rsidRPr="00756E4E" w:rsidRDefault="001F4964" w:rsidP="001F4964">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24" w:history="1">
        <w:r>
          <w:rPr>
            <w:rStyle w:val="Hyperlink"/>
            <w:rFonts w:ascii="Times New Roman" w:hAnsi="Times New Roman"/>
          </w:rPr>
          <w:t>https://een.ec.europa.eu/news/open-invitation-join-enterprise-europe-network-international-network-partner</w:t>
        </w:r>
      </w:hyperlink>
      <w:r>
        <w:t>.</w:t>
      </w:r>
    </w:p>
  </w:footnote>
  <w:footnote w:id="35">
    <w:p w14:paraId="1FE79E40" w14:textId="3449FBF6" w:rsidR="00EB7E33" w:rsidRPr="00756E4E" w:rsidRDefault="00EB7E33" w:rsidP="00EB7E33">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25" w:history="1">
        <w:r>
          <w:rPr>
            <w:rStyle w:val="Hyperlink"/>
            <w:rFonts w:ascii="Times New Roman" w:hAnsi="Times New Roman"/>
          </w:rPr>
          <w:t>https://www.youtube.com/playlist?list=PLq0qsbVGoO6EO_q6ho_ip0x9IgDTRRAJd</w:t>
        </w:r>
      </w:hyperlink>
      <w:r>
        <w:t>.</w:t>
      </w:r>
    </w:p>
  </w:footnote>
  <w:footnote w:id="36">
    <w:p w14:paraId="13AEB393" w14:textId="1553EC81" w:rsidR="00EB7E33" w:rsidRPr="005C57CC" w:rsidRDefault="00EB7E33" w:rsidP="00EB7E3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
            <w:rFonts w:ascii="Times New Roman" w:hAnsi="Times New Roman"/>
          </w:rPr>
          <w:t>https://een.ec.europa.eu/success-stories</w:t>
        </w:r>
      </w:hyperlink>
      <w:r>
        <w:t>.</w:t>
      </w:r>
    </w:p>
  </w:footnote>
  <w:footnote w:id="37">
    <w:p w14:paraId="6D309BD3" w14:textId="4FA4C610" w:rsidR="005819D0" w:rsidRPr="00756E4E" w:rsidRDefault="005819D0" w:rsidP="005819D0">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27" w:history="1">
        <w:r>
          <w:rPr>
            <w:rStyle w:val="Hyperlink"/>
            <w:rFonts w:ascii="Times New Roman" w:hAnsi="Times New Roman"/>
          </w:rPr>
          <w:t>https://single-market-economy.ec.europa.eu/publications/study-european-union-smes-internationalisation-strategy_en</w:t>
        </w:r>
      </w:hyperlink>
      <w:r>
        <w:t>.</w:t>
      </w:r>
    </w:p>
  </w:footnote>
  <w:footnote w:id="38">
    <w:p w14:paraId="2269AF19" w14:textId="7F4F2C4D" w:rsidR="005A6F0E" w:rsidRPr="00756E4E" w:rsidRDefault="005A6F0E" w:rsidP="005A6F0E">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28" w:history="1">
        <w:r>
          <w:rPr>
            <w:rStyle w:val="Hyperlink"/>
            <w:rFonts w:ascii="Times New Roman" w:hAnsi="Times New Roman"/>
          </w:rPr>
          <w:t>https://single-market-economy.ec.europa.eu/news/hybrid-workshop-sme-internationalisation-2025-02-10_en</w:t>
        </w:r>
      </w:hyperlink>
      <w:r>
        <w:t>.</w:t>
      </w:r>
    </w:p>
  </w:footnote>
  <w:footnote w:id="39">
    <w:p w14:paraId="5C7679BF" w14:textId="1B6373AC" w:rsidR="00B41055" w:rsidRPr="00756E4E" w:rsidRDefault="00B41055" w:rsidP="00B41055">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29" w:history="1">
        <w:r>
          <w:rPr>
            <w:rStyle w:val="Hyperlink"/>
            <w:rFonts w:ascii="Times New Roman" w:hAnsi="Times New Roman"/>
          </w:rPr>
          <w:t>https://circabc.europa.eu/ui/group/09242a36-a438-40fd-a7af-fe32e36cbd0e/library/8c22233e-aa1c-4d70-9f0e-abcd021fc1f7/details</w:t>
        </w:r>
      </w:hyperlink>
      <w:r>
        <w:t>.</w:t>
      </w:r>
    </w:p>
  </w:footnote>
  <w:footnote w:id="40">
    <w:p w14:paraId="48298887" w14:textId="51593DF6" w:rsidR="00B41055" w:rsidRPr="00756E4E" w:rsidRDefault="00B41055" w:rsidP="00B41055">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30" w:history="1">
        <w:r>
          <w:rPr>
            <w:rStyle w:val="Hyperlink"/>
            <w:rFonts w:ascii="Times New Roman" w:hAnsi="Times New Roman"/>
          </w:rPr>
          <w:t>https://circabc.europa.eu/ui/group/09242a36-a438-40fd-a7af-fe32e36cbd0e/library/619f8187-79fe-4141-9756-ca58c042333d/details</w:t>
        </w:r>
      </w:hyperlink>
      <w:r>
        <w:t>.</w:t>
      </w:r>
    </w:p>
  </w:footnote>
  <w:footnote w:id="41">
    <w:p w14:paraId="7C676B58" w14:textId="67AAF436" w:rsidR="00B41055" w:rsidRPr="00756E4E" w:rsidRDefault="00B41055" w:rsidP="00B41055">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31" w:history="1">
        <w:r>
          <w:rPr>
            <w:rStyle w:val="Hyperlink"/>
            <w:rFonts w:ascii="Times New Roman" w:hAnsi="Times New Roman"/>
          </w:rPr>
          <w:t>https://www.eu-japan.eu/</w:t>
        </w:r>
      </w:hyperlink>
      <w:r>
        <w:t>.</w:t>
      </w:r>
    </w:p>
  </w:footnote>
  <w:footnote w:id="42">
    <w:p w14:paraId="268E1A0A" w14:textId="2467A066" w:rsidR="00B41055" w:rsidRPr="00756E4E" w:rsidRDefault="00B41055" w:rsidP="00B41055">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https://www.eu-japan.eu/eubusinessinjapan/procedures/import-export/case-studies-and-success-stories</w:t>
        </w:r>
      </w:hyperlink>
      <w:r>
        <w:t>.</w:t>
      </w:r>
    </w:p>
  </w:footnote>
  <w:footnote w:id="43">
    <w:p w14:paraId="2F5DACB4" w14:textId="5F3341E5" w:rsidR="006B467A" w:rsidRPr="00D26674" w:rsidRDefault="006B467A" w:rsidP="006B467A">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33" w:history="1">
        <w:r>
          <w:rPr>
            <w:rStyle w:val="Hyperlink"/>
            <w:rFonts w:ascii="Times New Roman" w:hAnsi="Times New Roman"/>
          </w:rPr>
          <w:t>https://globaltradehelpdesk.org/en</w:t>
        </w:r>
      </w:hyperlink>
      <w:r>
        <w:t>.</w:t>
      </w:r>
    </w:p>
  </w:footnote>
  <w:footnote w:id="44">
    <w:p w14:paraId="37B74D6F" w14:textId="77777777" w:rsidR="006B467A" w:rsidRPr="00D26674" w:rsidRDefault="006B467A" w:rsidP="006B467A">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34" w:history="1">
        <w:r>
          <w:rPr>
            <w:rStyle w:val="Hyperlink"/>
            <w:rFonts w:ascii="Times New Roman" w:hAnsi="Times New Roman"/>
          </w:rPr>
          <w:t>directdoc.aspx (wto.org)</w:t>
        </w:r>
      </w:hyperlink>
      <w:r>
        <w:t>.</w:t>
      </w:r>
    </w:p>
  </w:footnote>
  <w:footnote w:id="45">
    <w:p w14:paraId="0E225F36" w14:textId="38D7A88C" w:rsidR="006B467A" w:rsidRPr="00D26674" w:rsidRDefault="006B467A" w:rsidP="006B467A">
      <w:pPr>
        <w:pStyle w:val="FootnoteText"/>
      </w:pPr>
      <w:r>
        <w:rPr>
          <w:rStyle w:val="FootnoteReference"/>
          <w:rFonts w:ascii="Times New Roman" w:hAnsi="Times New Roman" w:cs="Times New Roman"/>
        </w:rPr>
        <w:footnoteRef/>
      </w:r>
      <w:r>
        <w:rPr>
          <w:rFonts w:ascii="Times New Roman" w:hAnsi="Times New Roman"/>
        </w:rPr>
        <w:t xml:space="preserve"> </w:t>
      </w:r>
      <w:hyperlink r:id="rId35" w:history="1">
        <w:r>
          <w:rPr>
            <w:rStyle w:val="Hyperlink"/>
            <w:rFonts w:ascii="Times New Roman" w:hAnsi="Times New Roman"/>
          </w:rPr>
          <w:t>INFMSMEW47R1.pdf</w:t>
        </w:r>
      </w:hyperlink>
      <w:r>
        <w:t>.</w:t>
      </w:r>
    </w:p>
  </w:footnote>
  <w:footnote w:id="46">
    <w:p w14:paraId="57AB63D2" w14:textId="2EE23A18" w:rsidR="006B467A" w:rsidRPr="00D26674" w:rsidRDefault="006B467A" w:rsidP="006B467A">
      <w:pPr>
        <w:pStyle w:val="FootnoteText"/>
      </w:pPr>
      <w:r>
        <w:rPr>
          <w:rStyle w:val="FootnoteReference"/>
        </w:rPr>
        <w:footnoteRef/>
      </w:r>
      <w:r>
        <w:t xml:space="preserve"> </w:t>
      </w:r>
      <w:hyperlink r:id="rId36" w:history="1">
        <w:r>
          <w:rPr>
            <w:rStyle w:val="Hyperlink"/>
            <w:rFonts w:ascii="Times New Roman" w:hAnsi="Times New Roman"/>
          </w:rPr>
          <w:t>https://www.wto.org/english/tratop_e/msmes_e/msmes_e.htm</w:t>
        </w:r>
      </w:hyperlink>
      <w:r>
        <w:t>.</w:t>
      </w:r>
    </w:p>
  </w:footnote>
  <w:footnote w:id="47">
    <w:p w14:paraId="461FF9D4" w14:textId="2DD0DD4E" w:rsidR="005A6F0E" w:rsidRPr="005C57CC" w:rsidRDefault="005A6F0E">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Lõunanaabrus hõlmab kümmet partnerriiki (Alžeeria, Egiptus, Iisrael, Jordaania, Liibanon, Liibüa, Maroko, Palestiina, Süüria ja Tuneesia), mis teevad ELiga koostööd Euroopa naabruspoliitika (ENP) raames.</w:t>
      </w:r>
    </w:p>
  </w:footnote>
  <w:footnote w:id="48">
    <w:p w14:paraId="7CAF37BA" w14:textId="37DB66AA" w:rsidR="009A4EC6" w:rsidRPr="00756E4E" w:rsidRDefault="009A4EC6" w:rsidP="009A4EC6">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37" w:history="1">
        <w:r>
          <w:rPr>
            <w:rStyle w:val="Hyperlink"/>
            <w:rFonts w:ascii="Times New Roman" w:hAnsi="Times New Roman"/>
          </w:rPr>
          <w:t>https://circabc.europa.eu/ui/group/09242a36-a438-40fd-a7af-fe32e36cbd0e/library/46ce9fe8-838a-4d71-8dde-9f4cd9976d3e/details?download=true</w:t>
        </w:r>
      </w:hyperlink>
      <w:r>
        <w:t>.</w:t>
      </w:r>
    </w:p>
  </w:footnote>
  <w:footnote w:id="49">
    <w:p w14:paraId="65376A92" w14:textId="542E2205" w:rsidR="006C475F" w:rsidRPr="00756E4E" w:rsidRDefault="006C475F" w:rsidP="00DC5F3F">
      <w:pPr>
        <w:pStyle w:val="FootnoteText"/>
        <w:rPr>
          <w:rFonts w:ascii="Times New Roman" w:hAnsi="Times New Roman"/>
        </w:rPr>
      </w:pPr>
      <w:bookmarkStart w:id="89" w:name="_Hlk211614002"/>
      <w:r>
        <w:rPr>
          <w:rStyle w:val="FootnoteReference"/>
          <w:rFonts w:ascii="Times New Roman" w:hAnsi="Times New Roman" w:cs="Times New Roman"/>
        </w:rPr>
        <w:footnoteRef/>
      </w:r>
      <w:r>
        <w:rPr>
          <w:rFonts w:ascii="Times New Roman" w:hAnsi="Times New Roman"/>
        </w:rPr>
        <w:t xml:space="preserve"> Euroopa Parlamendi ja nõukogu 10. veebruari 2021. aasta määrus (EL) 2021/167, millega muudetakse määrust (EL) nr 654/2014, milles käsitletakse liidu õiguste kasutamist rahvusvaheliste kaubanduseeskirjade kohaldamisel ja jõustamisel (</w:t>
      </w:r>
      <w:bookmarkEnd w:id="89"/>
      <w:r>
        <w:rPr>
          <w:rFonts w:ascii="Times New Roman" w:hAnsi="Times New Roman"/>
        </w:rPr>
        <w:t xml:space="preserve">ELT L 49, 12.2.2021, lk 1, ELI: </w:t>
      </w:r>
      <w:hyperlink r:id="rId38" w:history="1">
        <w:r>
          <w:rPr>
            <w:rStyle w:val="Hyperlink"/>
            <w:rFonts w:ascii="Times New Roman" w:hAnsi="Times New Roman"/>
          </w:rPr>
          <w:t>http://data.europa.eu/eli/reg/2021/167/oj</w:t>
        </w:r>
      </w:hyperlink>
      <w:r>
        <w:rPr>
          <w:rFonts w:ascii="Times New Roman" w:hAnsi="Times New Roman"/>
        </w:rPr>
        <w:t>).</w:t>
      </w:r>
    </w:p>
  </w:footnote>
  <w:footnote w:id="50">
    <w:p w14:paraId="434BFA3E" w14:textId="13FF29C8" w:rsidR="003C320B" w:rsidRPr="00756E4E" w:rsidRDefault="003C320B">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hyperlink r:id="rId39" w:history="1">
        <w:r>
          <w:rPr>
            <w:rStyle w:val="Hyperlink"/>
            <w:rFonts w:ascii="Times New Roman" w:hAnsi="Times New Roman"/>
          </w:rPr>
          <w:t>https://trade.ec.europa.eu/access-to-markets/en/form-assets/operational_guidelines.pdf</w:t>
        </w:r>
      </w:hyperlink>
      <w:r>
        <w:t>.</w:t>
      </w:r>
    </w:p>
  </w:footnote>
  <w:footnote w:id="51">
    <w:p w14:paraId="1DD65C96" w14:textId="58696356" w:rsidR="009D0DDE" w:rsidRPr="009D0DDE" w:rsidRDefault="009D0DDE">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Idanaabrus hõlmab kuut Ida-Euroopa ja Lõuna-Kaukaasia riiki (Armeenia, Aserbaidžaan, Valgevene, Gruusia, Moldova ja Ukraina), mis teevad ELiga Euroopa naabruspoliitika raames koostööd.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D542" w14:textId="77777777" w:rsidR="00026B2A" w:rsidRPr="00026B2A" w:rsidRDefault="00026B2A" w:rsidP="00026B2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574E" w14:textId="77777777" w:rsidR="00026B2A" w:rsidRPr="00026B2A" w:rsidRDefault="00026B2A" w:rsidP="00026B2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E377" w14:textId="77777777" w:rsidR="00026B2A" w:rsidRPr="00026B2A" w:rsidRDefault="00026B2A" w:rsidP="00026B2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B35F" w14:textId="77777777" w:rsidR="00C61384" w:rsidRDefault="00C613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0EDF" w14:textId="77777777" w:rsidR="00C61384" w:rsidRDefault="00C613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B3D7" w14:textId="77777777" w:rsidR="00C61384" w:rsidRDefault="00C613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C272" w14:textId="77777777" w:rsidR="00BA7CEF" w:rsidRPr="005C57CC" w:rsidRDefault="00BA7C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7316" w14:textId="77777777" w:rsidR="00BA7CEF" w:rsidRPr="005C57CC" w:rsidRDefault="00BA7C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75C4" w14:textId="77777777" w:rsidR="00BA7CEF" w:rsidRPr="005C57CC" w:rsidRDefault="00BA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3F0"/>
    <w:multiLevelType w:val="hybridMultilevel"/>
    <w:tmpl w:val="7728C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359A"/>
    <w:multiLevelType w:val="hybridMultilevel"/>
    <w:tmpl w:val="B534F8D8"/>
    <w:lvl w:ilvl="0" w:tplc="28ACC192">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2B05970"/>
    <w:multiLevelType w:val="hybridMultilevel"/>
    <w:tmpl w:val="D5141B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C65290"/>
    <w:multiLevelType w:val="hybridMultilevel"/>
    <w:tmpl w:val="0BFAB2B4"/>
    <w:lvl w:ilvl="0" w:tplc="080C0015">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0C4A2D57"/>
    <w:multiLevelType w:val="hybridMultilevel"/>
    <w:tmpl w:val="A3BE2172"/>
    <w:lvl w:ilvl="0" w:tplc="C3484990">
      <w:start w:val="3"/>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9A1EE7"/>
    <w:multiLevelType w:val="hybridMultilevel"/>
    <w:tmpl w:val="31C0EA84"/>
    <w:lvl w:ilvl="0" w:tplc="F18AD202">
      <w:start w:val="4"/>
      <w:numFmt w:val="upperRoman"/>
      <w:lvlText w:val="%1."/>
      <w:lvlJc w:val="left"/>
      <w:pPr>
        <w:ind w:left="795" w:hanging="720"/>
      </w:pPr>
      <w:rPr>
        <w:rFonts w:hint="default"/>
      </w:rPr>
    </w:lvl>
    <w:lvl w:ilvl="1" w:tplc="18090019" w:tentative="1">
      <w:start w:val="1"/>
      <w:numFmt w:val="lowerLetter"/>
      <w:lvlText w:val="%2."/>
      <w:lvlJc w:val="left"/>
      <w:pPr>
        <w:ind w:left="1155" w:hanging="360"/>
      </w:pPr>
    </w:lvl>
    <w:lvl w:ilvl="2" w:tplc="1809001B" w:tentative="1">
      <w:start w:val="1"/>
      <w:numFmt w:val="lowerRoman"/>
      <w:lvlText w:val="%3."/>
      <w:lvlJc w:val="right"/>
      <w:pPr>
        <w:ind w:left="1875" w:hanging="180"/>
      </w:pPr>
    </w:lvl>
    <w:lvl w:ilvl="3" w:tplc="1809000F" w:tentative="1">
      <w:start w:val="1"/>
      <w:numFmt w:val="decimal"/>
      <w:lvlText w:val="%4."/>
      <w:lvlJc w:val="left"/>
      <w:pPr>
        <w:ind w:left="2595" w:hanging="360"/>
      </w:pPr>
    </w:lvl>
    <w:lvl w:ilvl="4" w:tplc="18090019" w:tentative="1">
      <w:start w:val="1"/>
      <w:numFmt w:val="lowerLetter"/>
      <w:lvlText w:val="%5."/>
      <w:lvlJc w:val="left"/>
      <w:pPr>
        <w:ind w:left="3315" w:hanging="360"/>
      </w:pPr>
    </w:lvl>
    <w:lvl w:ilvl="5" w:tplc="1809001B" w:tentative="1">
      <w:start w:val="1"/>
      <w:numFmt w:val="lowerRoman"/>
      <w:lvlText w:val="%6."/>
      <w:lvlJc w:val="right"/>
      <w:pPr>
        <w:ind w:left="4035" w:hanging="180"/>
      </w:pPr>
    </w:lvl>
    <w:lvl w:ilvl="6" w:tplc="1809000F" w:tentative="1">
      <w:start w:val="1"/>
      <w:numFmt w:val="decimal"/>
      <w:lvlText w:val="%7."/>
      <w:lvlJc w:val="left"/>
      <w:pPr>
        <w:ind w:left="4755" w:hanging="360"/>
      </w:pPr>
    </w:lvl>
    <w:lvl w:ilvl="7" w:tplc="18090019" w:tentative="1">
      <w:start w:val="1"/>
      <w:numFmt w:val="lowerLetter"/>
      <w:lvlText w:val="%8."/>
      <w:lvlJc w:val="left"/>
      <w:pPr>
        <w:ind w:left="5475" w:hanging="360"/>
      </w:pPr>
    </w:lvl>
    <w:lvl w:ilvl="8" w:tplc="1809001B" w:tentative="1">
      <w:start w:val="1"/>
      <w:numFmt w:val="lowerRoman"/>
      <w:lvlText w:val="%9."/>
      <w:lvlJc w:val="right"/>
      <w:pPr>
        <w:ind w:left="6195" w:hanging="180"/>
      </w:pPr>
    </w:lvl>
  </w:abstractNum>
  <w:abstractNum w:abstractNumId="6" w15:restartNumberingAfterBreak="0">
    <w:nsid w:val="163D5111"/>
    <w:multiLevelType w:val="multilevel"/>
    <w:tmpl w:val="6F7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82A38"/>
    <w:multiLevelType w:val="hybridMultilevel"/>
    <w:tmpl w:val="BFE2D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607A69"/>
    <w:multiLevelType w:val="multilevel"/>
    <w:tmpl w:val="A0E0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6411B"/>
    <w:multiLevelType w:val="hybridMultilevel"/>
    <w:tmpl w:val="5E28BFDA"/>
    <w:lvl w:ilvl="0" w:tplc="B58AE930">
      <w:start w:val="1"/>
      <w:numFmt w:val="upperRoman"/>
      <w:lvlText w:val="%1."/>
      <w:lvlJc w:val="left"/>
      <w:pPr>
        <w:ind w:left="795" w:hanging="720"/>
      </w:pPr>
      <w:rPr>
        <w:rFonts w:hint="default"/>
      </w:rPr>
    </w:lvl>
    <w:lvl w:ilvl="1" w:tplc="18090019" w:tentative="1">
      <w:start w:val="1"/>
      <w:numFmt w:val="lowerLetter"/>
      <w:lvlText w:val="%2."/>
      <w:lvlJc w:val="left"/>
      <w:pPr>
        <w:ind w:left="1155" w:hanging="360"/>
      </w:pPr>
    </w:lvl>
    <w:lvl w:ilvl="2" w:tplc="1809001B" w:tentative="1">
      <w:start w:val="1"/>
      <w:numFmt w:val="lowerRoman"/>
      <w:lvlText w:val="%3."/>
      <w:lvlJc w:val="right"/>
      <w:pPr>
        <w:ind w:left="1875" w:hanging="180"/>
      </w:pPr>
    </w:lvl>
    <w:lvl w:ilvl="3" w:tplc="1809000F" w:tentative="1">
      <w:start w:val="1"/>
      <w:numFmt w:val="decimal"/>
      <w:lvlText w:val="%4."/>
      <w:lvlJc w:val="left"/>
      <w:pPr>
        <w:ind w:left="2595" w:hanging="360"/>
      </w:pPr>
    </w:lvl>
    <w:lvl w:ilvl="4" w:tplc="18090019" w:tentative="1">
      <w:start w:val="1"/>
      <w:numFmt w:val="lowerLetter"/>
      <w:lvlText w:val="%5."/>
      <w:lvlJc w:val="left"/>
      <w:pPr>
        <w:ind w:left="3315" w:hanging="360"/>
      </w:pPr>
    </w:lvl>
    <w:lvl w:ilvl="5" w:tplc="1809001B" w:tentative="1">
      <w:start w:val="1"/>
      <w:numFmt w:val="lowerRoman"/>
      <w:lvlText w:val="%6."/>
      <w:lvlJc w:val="right"/>
      <w:pPr>
        <w:ind w:left="4035" w:hanging="180"/>
      </w:pPr>
    </w:lvl>
    <w:lvl w:ilvl="6" w:tplc="1809000F" w:tentative="1">
      <w:start w:val="1"/>
      <w:numFmt w:val="decimal"/>
      <w:lvlText w:val="%7."/>
      <w:lvlJc w:val="left"/>
      <w:pPr>
        <w:ind w:left="4755" w:hanging="360"/>
      </w:pPr>
    </w:lvl>
    <w:lvl w:ilvl="7" w:tplc="18090019" w:tentative="1">
      <w:start w:val="1"/>
      <w:numFmt w:val="lowerLetter"/>
      <w:lvlText w:val="%8."/>
      <w:lvlJc w:val="left"/>
      <w:pPr>
        <w:ind w:left="5475" w:hanging="360"/>
      </w:pPr>
    </w:lvl>
    <w:lvl w:ilvl="8" w:tplc="1809001B" w:tentative="1">
      <w:start w:val="1"/>
      <w:numFmt w:val="lowerRoman"/>
      <w:lvlText w:val="%9."/>
      <w:lvlJc w:val="right"/>
      <w:pPr>
        <w:ind w:left="6195" w:hanging="180"/>
      </w:pPr>
    </w:lvl>
  </w:abstractNum>
  <w:abstractNum w:abstractNumId="10" w15:restartNumberingAfterBreak="0">
    <w:nsid w:val="1C8B2755"/>
    <w:multiLevelType w:val="multilevel"/>
    <w:tmpl w:val="6114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F4FC2"/>
    <w:multiLevelType w:val="hybridMultilevel"/>
    <w:tmpl w:val="41C0EF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D3203B"/>
    <w:multiLevelType w:val="hybridMultilevel"/>
    <w:tmpl w:val="431630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0341DC2"/>
    <w:multiLevelType w:val="hybridMultilevel"/>
    <w:tmpl w:val="B31E2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B651B0"/>
    <w:multiLevelType w:val="hybridMultilevel"/>
    <w:tmpl w:val="3ABE1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CA58C2"/>
    <w:multiLevelType w:val="hybridMultilevel"/>
    <w:tmpl w:val="6534D7A8"/>
    <w:lvl w:ilvl="0" w:tplc="260627BA">
      <w:start w:val="1"/>
      <w:numFmt w:val="upperRoman"/>
      <w:pStyle w:val="Style1"/>
      <w:lvlText w:val="%1."/>
      <w:lvlJc w:val="left"/>
      <w:pPr>
        <w:ind w:left="795" w:hanging="720"/>
      </w:pPr>
      <w:rPr>
        <w:rFonts w:hint="default"/>
        <w:b/>
        <w:sz w:val="32"/>
        <w:szCs w:val="32"/>
      </w:r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16" w15:restartNumberingAfterBreak="0">
    <w:nsid w:val="231A57CE"/>
    <w:multiLevelType w:val="hybridMultilevel"/>
    <w:tmpl w:val="49DE5F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3C633D"/>
    <w:multiLevelType w:val="hybridMultilevel"/>
    <w:tmpl w:val="27649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7464FCA"/>
    <w:multiLevelType w:val="hybridMultilevel"/>
    <w:tmpl w:val="858491FA"/>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9FA0445"/>
    <w:multiLevelType w:val="hybridMultilevel"/>
    <w:tmpl w:val="E7CACC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BBC10B1"/>
    <w:multiLevelType w:val="hybridMultilevel"/>
    <w:tmpl w:val="6B6EB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DFF5931"/>
    <w:multiLevelType w:val="hybridMultilevel"/>
    <w:tmpl w:val="236EBC0A"/>
    <w:lvl w:ilvl="0" w:tplc="5C6E5DA6">
      <w:start w:val="3"/>
      <w:numFmt w:val="upperRoman"/>
      <w:lvlText w:val="%1."/>
      <w:lvlJc w:val="left"/>
      <w:pPr>
        <w:ind w:left="795" w:hanging="720"/>
      </w:pPr>
      <w:rPr>
        <w:rFonts w:hint="default"/>
      </w:rPr>
    </w:lvl>
    <w:lvl w:ilvl="1" w:tplc="18090019" w:tentative="1">
      <w:start w:val="1"/>
      <w:numFmt w:val="lowerLetter"/>
      <w:lvlText w:val="%2."/>
      <w:lvlJc w:val="left"/>
      <w:pPr>
        <w:ind w:left="1155" w:hanging="360"/>
      </w:pPr>
    </w:lvl>
    <w:lvl w:ilvl="2" w:tplc="1809001B" w:tentative="1">
      <w:start w:val="1"/>
      <w:numFmt w:val="lowerRoman"/>
      <w:lvlText w:val="%3."/>
      <w:lvlJc w:val="right"/>
      <w:pPr>
        <w:ind w:left="1875" w:hanging="180"/>
      </w:pPr>
    </w:lvl>
    <w:lvl w:ilvl="3" w:tplc="1809000F" w:tentative="1">
      <w:start w:val="1"/>
      <w:numFmt w:val="decimal"/>
      <w:lvlText w:val="%4."/>
      <w:lvlJc w:val="left"/>
      <w:pPr>
        <w:ind w:left="2595" w:hanging="360"/>
      </w:pPr>
    </w:lvl>
    <w:lvl w:ilvl="4" w:tplc="18090019" w:tentative="1">
      <w:start w:val="1"/>
      <w:numFmt w:val="lowerLetter"/>
      <w:lvlText w:val="%5."/>
      <w:lvlJc w:val="left"/>
      <w:pPr>
        <w:ind w:left="3315" w:hanging="360"/>
      </w:pPr>
    </w:lvl>
    <w:lvl w:ilvl="5" w:tplc="1809001B" w:tentative="1">
      <w:start w:val="1"/>
      <w:numFmt w:val="lowerRoman"/>
      <w:lvlText w:val="%6."/>
      <w:lvlJc w:val="right"/>
      <w:pPr>
        <w:ind w:left="4035" w:hanging="180"/>
      </w:pPr>
    </w:lvl>
    <w:lvl w:ilvl="6" w:tplc="1809000F" w:tentative="1">
      <w:start w:val="1"/>
      <w:numFmt w:val="decimal"/>
      <w:lvlText w:val="%7."/>
      <w:lvlJc w:val="left"/>
      <w:pPr>
        <w:ind w:left="4755" w:hanging="360"/>
      </w:pPr>
    </w:lvl>
    <w:lvl w:ilvl="7" w:tplc="18090019" w:tentative="1">
      <w:start w:val="1"/>
      <w:numFmt w:val="lowerLetter"/>
      <w:lvlText w:val="%8."/>
      <w:lvlJc w:val="left"/>
      <w:pPr>
        <w:ind w:left="5475" w:hanging="360"/>
      </w:pPr>
    </w:lvl>
    <w:lvl w:ilvl="8" w:tplc="1809001B" w:tentative="1">
      <w:start w:val="1"/>
      <w:numFmt w:val="lowerRoman"/>
      <w:lvlText w:val="%9."/>
      <w:lvlJc w:val="right"/>
      <w:pPr>
        <w:ind w:left="6195" w:hanging="180"/>
      </w:pPr>
    </w:lvl>
  </w:abstractNum>
  <w:abstractNum w:abstractNumId="23" w15:restartNumberingAfterBreak="0">
    <w:nsid w:val="2EDD18B2"/>
    <w:multiLevelType w:val="hybridMultilevel"/>
    <w:tmpl w:val="CE9E2E2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318B71B2"/>
    <w:multiLevelType w:val="hybridMultilevel"/>
    <w:tmpl w:val="CCF69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2010812"/>
    <w:multiLevelType w:val="hybridMultilevel"/>
    <w:tmpl w:val="9098B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D4662B9"/>
    <w:multiLevelType w:val="multilevel"/>
    <w:tmpl w:val="37A2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A6C3F"/>
    <w:multiLevelType w:val="hybridMultilevel"/>
    <w:tmpl w:val="FABCB13A"/>
    <w:lvl w:ilvl="0" w:tplc="B210ABC8">
      <w:start w:val="1"/>
      <w:numFmt w:val="decimal"/>
      <w:lvlText w:val="%1)"/>
      <w:lvlJc w:val="left"/>
      <w:pPr>
        <w:ind w:left="1020" w:hanging="360"/>
      </w:pPr>
    </w:lvl>
    <w:lvl w:ilvl="1" w:tplc="CB029B60">
      <w:start w:val="1"/>
      <w:numFmt w:val="decimal"/>
      <w:lvlText w:val="%2)"/>
      <w:lvlJc w:val="left"/>
      <w:pPr>
        <w:ind w:left="1020" w:hanging="360"/>
      </w:pPr>
    </w:lvl>
    <w:lvl w:ilvl="2" w:tplc="436268AE">
      <w:start w:val="1"/>
      <w:numFmt w:val="decimal"/>
      <w:lvlText w:val="%3)"/>
      <w:lvlJc w:val="left"/>
      <w:pPr>
        <w:ind w:left="1020" w:hanging="360"/>
      </w:pPr>
    </w:lvl>
    <w:lvl w:ilvl="3" w:tplc="5C5ED89A">
      <w:start w:val="1"/>
      <w:numFmt w:val="decimal"/>
      <w:lvlText w:val="%4)"/>
      <w:lvlJc w:val="left"/>
      <w:pPr>
        <w:ind w:left="1020" w:hanging="360"/>
      </w:pPr>
    </w:lvl>
    <w:lvl w:ilvl="4" w:tplc="34F86ED8">
      <w:start w:val="1"/>
      <w:numFmt w:val="decimal"/>
      <w:lvlText w:val="%5)"/>
      <w:lvlJc w:val="left"/>
      <w:pPr>
        <w:ind w:left="1020" w:hanging="360"/>
      </w:pPr>
    </w:lvl>
    <w:lvl w:ilvl="5" w:tplc="EB6C48B8">
      <w:start w:val="1"/>
      <w:numFmt w:val="decimal"/>
      <w:lvlText w:val="%6)"/>
      <w:lvlJc w:val="left"/>
      <w:pPr>
        <w:ind w:left="1020" w:hanging="360"/>
      </w:pPr>
    </w:lvl>
    <w:lvl w:ilvl="6" w:tplc="1EA889E4">
      <w:start w:val="1"/>
      <w:numFmt w:val="decimal"/>
      <w:lvlText w:val="%7)"/>
      <w:lvlJc w:val="left"/>
      <w:pPr>
        <w:ind w:left="1020" w:hanging="360"/>
      </w:pPr>
    </w:lvl>
    <w:lvl w:ilvl="7" w:tplc="7AE2CA0C">
      <w:start w:val="1"/>
      <w:numFmt w:val="decimal"/>
      <w:lvlText w:val="%8)"/>
      <w:lvlJc w:val="left"/>
      <w:pPr>
        <w:ind w:left="1020" w:hanging="360"/>
      </w:pPr>
    </w:lvl>
    <w:lvl w:ilvl="8" w:tplc="CF602154">
      <w:start w:val="1"/>
      <w:numFmt w:val="decimal"/>
      <w:lvlText w:val="%9)"/>
      <w:lvlJc w:val="left"/>
      <w:pPr>
        <w:ind w:left="1020" w:hanging="360"/>
      </w:pPr>
    </w:lvl>
  </w:abstractNum>
  <w:abstractNum w:abstractNumId="28" w15:restartNumberingAfterBreak="0">
    <w:nsid w:val="4568631F"/>
    <w:multiLevelType w:val="hybridMultilevel"/>
    <w:tmpl w:val="EF90FF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BD61BB6"/>
    <w:multiLevelType w:val="hybridMultilevel"/>
    <w:tmpl w:val="845A08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C92431D"/>
    <w:multiLevelType w:val="hybridMultilevel"/>
    <w:tmpl w:val="D2B4E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E2475B9"/>
    <w:multiLevelType w:val="hybridMultilevel"/>
    <w:tmpl w:val="355EAED8"/>
    <w:lvl w:ilvl="0" w:tplc="B89CD186">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E817424"/>
    <w:multiLevelType w:val="hybridMultilevel"/>
    <w:tmpl w:val="BED81882"/>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33" w15:restartNumberingAfterBreak="0">
    <w:nsid w:val="4F412AA7"/>
    <w:multiLevelType w:val="multilevel"/>
    <w:tmpl w:val="25F0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44674D"/>
    <w:multiLevelType w:val="hybridMultilevel"/>
    <w:tmpl w:val="93440C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83F35D3"/>
    <w:multiLevelType w:val="hybridMultilevel"/>
    <w:tmpl w:val="2B28F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9597437"/>
    <w:multiLevelType w:val="hybridMultilevel"/>
    <w:tmpl w:val="852C62A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342B43"/>
    <w:multiLevelType w:val="hybridMultilevel"/>
    <w:tmpl w:val="B10CB4D0"/>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8" w15:restartNumberingAfterBreak="0">
    <w:nsid w:val="60323610"/>
    <w:multiLevelType w:val="hybridMultilevel"/>
    <w:tmpl w:val="D75C7426"/>
    <w:lvl w:ilvl="0" w:tplc="18090001">
      <w:start w:val="1"/>
      <w:numFmt w:val="bullet"/>
      <w:lvlText w:val=""/>
      <w:lvlJc w:val="left"/>
      <w:pPr>
        <w:ind w:left="779" w:hanging="360"/>
      </w:pPr>
      <w:rPr>
        <w:rFonts w:ascii="Symbol" w:hAnsi="Symbol" w:hint="default"/>
      </w:rPr>
    </w:lvl>
    <w:lvl w:ilvl="1" w:tplc="18090003" w:tentative="1">
      <w:start w:val="1"/>
      <w:numFmt w:val="bullet"/>
      <w:lvlText w:val="o"/>
      <w:lvlJc w:val="left"/>
      <w:pPr>
        <w:ind w:left="1499" w:hanging="360"/>
      </w:pPr>
      <w:rPr>
        <w:rFonts w:ascii="Courier New" w:hAnsi="Courier New" w:cs="Courier New" w:hint="default"/>
      </w:rPr>
    </w:lvl>
    <w:lvl w:ilvl="2" w:tplc="18090005" w:tentative="1">
      <w:start w:val="1"/>
      <w:numFmt w:val="bullet"/>
      <w:lvlText w:val=""/>
      <w:lvlJc w:val="left"/>
      <w:pPr>
        <w:ind w:left="2219" w:hanging="360"/>
      </w:pPr>
      <w:rPr>
        <w:rFonts w:ascii="Wingdings" w:hAnsi="Wingdings" w:hint="default"/>
      </w:rPr>
    </w:lvl>
    <w:lvl w:ilvl="3" w:tplc="18090001" w:tentative="1">
      <w:start w:val="1"/>
      <w:numFmt w:val="bullet"/>
      <w:lvlText w:val=""/>
      <w:lvlJc w:val="left"/>
      <w:pPr>
        <w:ind w:left="2939" w:hanging="360"/>
      </w:pPr>
      <w:rPr>
        <w:rFonts w:ascii="Symbol" w:hAnsi="Symbol" w:hint="default"/>
      </w:rPr>
    </w:lvl>
    <w:lvl w:ilvl="4" w:tplc="18090003" w:tentative="1">
      <w:start w:val="1"/>
      <w:numFmt w:val="bullet"/>
      <w:lvlText w:val="o"/>
      <w:lvlJc w:val="left"/>
      <w:pPr>
        <w:ind w:left="3659" w:hanging="360"/>
      </w:pPr>
      <w:rPr>
        <w:rFonts w:ascii="Courier New" w:hAnsi="Courier New" w:cs="Courier New" w:hint="default"/>
      </w:rPr>
    </w:lvl>
    <w:lvl w:ilvl="5" w:tplc="18090005" w:tentative="1">
      <w:start w:val="1"/>
      <w:numFmt w:val="bullet"/>
      <w:lvlText w:val=""/>
      <w:lvlJc w:val="left"/>
      <w:pPr>
        <w:ind w:left="4379" w:hanging="360"/>
      </w:pPr>
      <w:rPr>
        <w:rFonts w:ascii="Wingdings" w:hAnsi="Wingdings" w:hint="default"/>
      </w:rPr>
    </w:lvl>
    <w:lvl w:ilvl="6" w:tplc="18090001" w:tentative="1">
      <w:start w:val="1"/>
      <w:numFmt w:val="bullet"/>
      <w:lvlText w:val=""/>
      <w:lvlJc w:val="left"/>
      <w:pPr>
        <w:ind w:left="5099" w:hanging="360"/>
      </w:pPr>
      <w:rPr>
        <w:rFonts w:ascii="Symbol" w:hAnsi="Symbol" w:hint="default"/>
      </w:rPr>
    </w:lvl>
    <w:lvl w:ilvl="7" w:tplc="18090003" w:tentative="1">
      <w:start w:val="1"/>
      <w:numFmt w:val="bullet"/>
      <w:lvlText w:val="o"/>
      <w:lvlJc w:val="left"/>
      <w:pPr>
        <w:ind w:left="5819" w:hanging="360"/>
      </w:pPr>
      <w:rPr>
        <w:rFonts w:ascii="Courier New" w:hAnsi="Courier New" w:cs="Courier New" w:hint="default"/>
      </w:rPr>
    </w:lvl>
    <w:lvl w:ilvl="8" w:tplc="18090005" w:tentative="1">
      <w:start w:val="1"/>
      <w:numFmt w:val="bullet"/>
      <w:lvlText w:val=""/>
      <w:lvlJc w:val="left"/>
      <w:pPr>
        <w:ind w:left="6539" w:hanging="360"/>
      </w:pPr>
      <w:rPr>
        <w:rFonts w:ascii="Wingdings" w:hAnsi="Wingdings" w:hint="default"/>
      </w:rPr>
    </w:lvl>
  </w:abstractNum>
  <w:abstractNum w:abstractNumId="39" w15:restartNumberingAfterBreak="0">
    <w:nsid w:val="60C82E26"/>
    <w:multiLevelType w:val="hybridMultilevel"/>
    <w:tmpl w:val="64347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7D636F0"/>
    <w:multiLevelType w:val="hybridMultilevel"/>
    <w:tmpl w:val="B84CD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7E57BC9"/>
    <w:multiLevelType w:val="hybridMultilevel"/>
    <w:tmpl w:val="43266F94"/>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9510CF4"/>
    <w:multiLevelType w:val="hybridMultilevel"/>
    <w:tmpl w:val="534AB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D977F32"/>
    <w:multiLevelType w:val="hybridMultilevel"/>
    <w:tmpl w:val="0AFCDA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DFD5B70"/>
    <w:multiLevelType w:val="hybridMultilevel"/>
    <w:tmpl w:val="9EB2851C"/>
    <w:lvl w:ilvl="0" w:tplc="33C46DF8">
      <w:start w:val="1"/>
      <w:numFmt w:val="bullet"/>
      <w:lvlText w:val=""/>
      <w:lvlJc w:val="left"/>
      <w:pPr>
        <w:ind w:left="720" w:hanging="360"/>
      </w:pPr>
      <w:rPr>
        <w:rFonts w:ascii="Symbol" w:hAnsi="Symbol" w:hint="default"/>
      </w:rPr>
    </w:lvl>
    <w:lvl w:ilvl="1" w:tplc="2C3E9A32">
      <w:start w:val="1"/>
      <w:numFmt w:val="bullet"/>
      <w:lvlText w:val="o"/>
      <w:lvlJc w:val="left"/>
      <w:pPr>
        <w:ind w:left="1440" w:hanging="360"/>
      </w:pPr>
      <w:rPr>
        <w:rFonts w:ascii="Courier New" w:hAnsi="Courier New" w:hint="default"/>
      </w:rPr>
    </w:lvl>
    <w:lvl w:ilvl="2" w:tplc="D99A70CC" w:tentative="1">
      <w:start w:val="1"/>
      <w:numFmt w:val="bullet"/>
      <w:lvlText w:val=""/>
      <w:lvlJc w:val="left"/>
      <w:pPr>
        <w:ind w:left="2160" w:hanging="360"/>
      </w:pPr>
      <w:rPr>
        <w:rFonts w:ascii="Wingdings" w:hAnsi="Wingdings" w:hint="default"/>
      </w:rPr>
    </w:lvl>
    <w:lvl w:ilvl="3" w:tplc="E258FF74" w:tentative="1">
      <w:start w:val="1"/>
      <w:numFmt w:val="bullet"/>
      <w:lvlText w:val=""/>
      <w:lvlJc w:val="left"/>
      <w:pPr>
        <w:ind w:left="2880" w:hanging="360"/>
      </w:pPr>
      <w:rPr>
        <w:rFonts w:ascii="Symbol" w:hAnsi="Symbol" w:hint="default"/>
      </w:rPr>
    </w:lvl>
    <w:lvl w:ilvl="4" w:tplc="C93A5AA8" w:tentative="1">
      <w:start w:val="1"/>
      <w:numFmt w:val="bullet"/>
      <w:lvlText w:val="o"/>
      <w:lvlJc w:val="left"/>
      <w:pPr>
        <w:ind w:left="3600" w:hanging="360"/>
      </w:pPr>
      <w:rPr>
        <w:rFonts w:ascii="Courier New" w:hAnsi="Courier New" w:hint="default"/>
      </w:rPr>
    </w:lvl>
    <w:lvl w:ilvl="5" w:tplc="32F683BE" w:tentative="1">
      <w:start w:val="1"/>
      <w:numFmt w:val="bullet"/>
      <w:lvlText w:val=""/>
      <w:lvlJc w:val="left"/>
      <w:pPr>
        <w:ind w:left="4320" w:hanging="360"/>
      </w:pPr>
      <w:rPr>
        <w:rFonts w:ascii="Wingdings" w:hAnsi="Wingdings" w:hint="default"/>
      </w:rPr>
    </w:lvl>
    <w:lvl w:ilvl="6" w:tplc="84064192" w:tentative="1">
      <w:start w:val="1"/>
      <w:numFmt w:val="bullet"/>
      <w:lvlText w:val=""/>
      <w:lvlJc w:val="left"/>
      <w:pPr>
        <w:ind w:left="5040" w:hanging="360"/>
      </w:pPr>
      <w:rPr>
        <w:rFonts w:ascii="Symbol" w:hAnsi="Symbol" w:hint="default"/>
      </w:rPr>
    </w:lvl>
    <w:lvl w:ilvl="7" w:tplc="F2E602CC" w:tentative="1">
      <w:start w:val="1"/>
      <w:numFmt w:val="bullet"/>
      <w:lvlText w:val="o"/>
      <w:lvlJc w:val="left"/>
      <w:pPr>
        <w:ind w:left="5760" w:hanging="360"/>
      </w:pPr>
      <w:rPr>
        <w:rFonts w:ascii="Courier New" w:hAnsi="Courier New" w:hint="default"/>
      </w:rPr>
    </w:lvl>
    <w:lvl w:ilvl="8" w:tplc="A1745742" w:tentative="1">
      <w:start w:val="1"/>
      <w:numFmt w:val="bullet"/>
      <w:lvlText w:val=""/>
      <w:lvlJc w:val="left"/>
      <w:pPr>
        <w:ind w:left="6480" w:hanging="360"/>
      </w:pPr>
      <w:rPr>
        <w:rFonts w:ascii="Wingdings" w:hAnsi="Wingdings" w:hint="default"/>
      </w:rPr>
    </w:lvl>
  </w:abstractNum>
  <w:abstractNum w:abstractNumId="45" w15:restartNumberingAfterBreak="0">
    <w:nsid w:val="70B942AE"/>
    <w:multiLevelType w:val="hybridMultilevel"/>
    <w:tmpl w:val="44A02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7CC1B81"/>
    <w:multiLevelType w:val="hybridMultilevel"/>
    <w:tmpl w:val="AFCEE1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D7B3D27"/>
    <w:multiLevelType w:val="hybridMultilevel"/>
    <w:tmpl w:val="87A65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3"/>
  </w:num>
  <w:num w:numId="4">
    <w:abstractNumId w:val="12"/>
  </w:num>
  <w:num w:numId="5">
    <w:abstractNumId w:val="41"/>
  </w:num>
  <w:num w:numId="6">
    <w:abstractNumId w:val="11"/>
  </w:num>
  <w:num w:numId="7">
    <w:abstractNumId w:val="28"/>
  </w:num>
  <w:num w:numId="8">
    <w:abstractNumId w:val="18"/>
  </w:num>
  <w:num w:numId="9">
    <w:abstractNumId w:val="42"/>
  </w:num>
  <w:num w:numId="10">
    <w:abstractNumId w:val="43"/>
  </w:num>
  <w:num w:numId="11">
    <w:abstractNumId w:val="31"/>
  </w:num>
  <w:num w:numId="12">
    <w:abstractNumId w:val="2"/>
  </w:num>
  <w:num w:numId="13">
    <w:abstractNumId w:val="7"/>
  </w:num>
  <w:num w:numId="14">
    <w:abstractNumId w:val="4"/>
  </w:num>
  <w:num w:numId="15">
    <w:abstractNumId w:val="9"/>
  </w:num>
  <w:num w:numId="16">
    <w:abstractNumId w:val="5"/>
  </w:num>
  <w:num w:numId="17">
    <w:abstractNumId w:val="22"/>
  </w:num>
  <w:num w:numId="18">
    <w:abstractNumId w:val="38"/>
  </w:num>
  <w:num w:numId="19">
    <w:abstractNumId w:val="17"/>
  </w:num>
  <w:num w:numId="20">
    <w:abstractNumId w:val="45"/>
  </w:num>
  <w:num w:numId="21">
    <w:abstractNumId w:val="34"/>
  </w:num>
  <w:num w:numId="22">
    <w:abstractNumId w:val="29"/>
  </w:num>
  <w:num w:numId="23">
    <w:abstractNumId w:val="24"/>
  </w:num>
  <w:num w:numId="24">
    <w:abstractNumId w:val="13"/>
  </w:num>
  <w:num w:numId="25">
    <w:abstractNumId w:val="40"/>
  </w:num>
  <w:num w:numId="26">
    <w:abstractNumId w:val="39"/>
  </w:num>
  <w:num w:numId="27">
    <w:abstractNumId w:val="35"/>
  </w:num>
  <w:num w:numId="28">
    <w:abstractNumId w:val="1"/>
  </w:num>
  <w:num w:numId="29">
    <w:abstractNumId w:val="27"/>
  </w:num>
  <w:num w:numId="30">
    <w:abstractNumId w:val="20"/>
  </w:num>
  <w:num w:numId="31">
    <w:abstractNumId w:val="14"/>
  </w:num>
  <w:num w:numId="32">
    <w:abstractNumId w:val="15"/>
  </w:num>
  <w:num w:numId="33">
    <w:abstractNumId w:val="47"/>
  </w:num>
  <w:num w:numId="34">
    <w:abstractNumId w:val="30"/>
  </w:num>
  <w:num w:numId="35">
    <w:abstractNumId w:val="46"/>
  </w:num>
  <w:num w:numId="36">
    <w:abstractNumId w:val="19"/>
  </w:num>
  <w:num w:numId="37">
    <w:abstractNumId w:val="33"/>
  </w:num>
  <w:num w:numId="38">
    <w:abstractNumId w:val="0"/>
  </w:num>
  <w:num w:numId="39">
    <w:abstractNumId w:val="8"/>
  </w:num>
  <w:num w:numId="40">
    <w:abstractNumId w:val="6"/>
  </w:num>
  <w:num w:numId="41">
    <w:abstractNumId w:val="10"/>
  </w:num>
  <w:num w:numId="42">
    <w:abstractNumId w:val="36"/>
  </w:num>
  <w:num w:numId="43">
    <w:abstractNumId w:val="16"/>
  </w:num>
  <w:num w:numId="44">
    <w:abstractNumId w:val="25"/>
  </w:num>
  <w:num w:numId="45">
    <w:abstractNumId w:val="23"/>
  </w:num>
  <w:num w:numId="46">
    <w:abstractNumId w:val="37"/>
  </w:num>
  <w:num w:numId="47">
    <w:abstractNumId w:val="26"/>
  </w:num>
  <w:num w:numId="48">
    <w:abstractNumId w:val="32"/>
  </w:num>
  <w:num w:numId="49">
    <w:abstractNumId w:val="44"/>
  </w:num>
  <w:num w:numId="5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nl-B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2"/>
  </w:compat>
  <w:docVars>
    <w:docVar w:name="DocStatus" w:val="Green"/>
    <w:docVar w:name="FigNum" w:val="1"/>
    <w:docVar w:name="LW_ACCOMPAGNANT.CP" w:val="&lt;UNUSED&gt;"/>
    <w:docVar w:name="LW_CORRIGENDUM" w:val="&lt;UNUSED&gt;"/>
    <w:docVar w:name="LW_COVERPAGE_EXISTS" w:val="True"/>
    <w:docVar w:name="LW_COVERPAGE_GUID" w:val="BB52F070-A769-48E2-8A94-FE8509F2EC20"/>
    <w:docVar w:name="LW_COVERPAGE_TYPE" w:val="1"/>
    <w:docVar w:name="LW_CROSSREFERENCE" w:val="{SWD(2025) 940 final}"/>
    <w:docVar w:name="LW_DATE.ADOPT.CP_ISODATE" w:val="&lt;EMPTY&gt;"/>
    <w:docVar w:name="LW_DocType" w:val="NORMAL"/>
    <w:docVar w:name="LW_EMISSION" w:val="3.11.2025"/>
    <w:docVar w:name="LW_EMISSION_ISODATE" w:val="2025-11-03"/>
    <w:docVar w:name="LW_EMISSION_LOCATION" w:val="BRX"/>
    <w:docVar w:name="LW_EMISSION_PREFIX" w:val="Brüssel,"/>
    <w:docVar w:name="LW_EMISSION_SUFFIX" w:val=" "/>
    <w:docVar w:name="LW_ID_DOCTYPE_NONLW" w:val="CP-008"/>
    <w:docVar w:name="LW_INTERETEEE.CP" w:val="&lt;UNUSED&gt;"/>
    <w:docVar w:name="LW_LANGUE" w:val="ET"/>
    <w:docVar w:name="LW_LANGUESFAISANTFOI.CP" w:val="&lt;UNUSED&gt;"/>
    <w:docVar w:name="LW_LEVEL_OF_SENSITIVITY" w:val="Standard treatment"/>
    <w:docVar w:name="LW_NOM.INST" w:val="EUROOPA KOMISJ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9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Li kaubanduspoliitika rakendamise ja täitmise tagamise kohta&lt;/FMT&gt;_x000b__x000d__x000d__x000d__x000d__x000d__x000d__x000d__x000b__x000d__x000d__x000d__x000d__x000d__x000d__x000d__x000d__x000d__x000d__x000d__x000b__x000d__x000d__x000d__x000d__x000d__x000d__x000d__x000d__x000d__x000d__x000d__x000d__x000d__x000d__x000d__x000d__x000d__x000b__x000d__x000d__x000d__x000d__x000d__x000d__x000d__x000d__x000d__x000d__x000d__x000d__x000d__x000d__x000d__x000d__x000b_"/>
    <w:docVar w:name="LW_TYPE.DOC.CP" w:val="KOMISJONI ARUANNE EUROOPA PARLAMENDILE, NÕUKOGULE, EUROOPA MAJANDUS- JA SOTSIAALKOMITEELE NING REGIOONIDE KOMITEELE"/>
    <w:docVar w:name="LW_TYPEACTEPRINCIPAL.CP" w:val="&lt;UNUSED&gt;"/>
    <w:docVar w:name="LwApiVersions" w:val="LW4CoDe 1.24.5.0; LW 9.0, Build 20240221"/>
  </w:docVars>
  <w:rsids>
    <w:rsidRoot w:val="00F64DF9"/>
    <w:rsid w:val="00000306"/>
    <w:rsid w:val="00000435"/>
    <w:rsid w:val="00000446"/>
    <w:rsid w:val="00000F1D"/>
    <w:rsid w:val="00001A3F"/>
    <w:rsid w:val="00002118"/>
    <w:rsid w:val="000026E5"/>
    <w:rsid w:val="00003E97"/>
    <w:rsid w:val="00005CD9"/>
    <w:rsid w:val="00006318"/>
    <w:rsid w:val="000064B2"/>
    <w:rsid w:val="00006AFF"/>
    <w:rsid w:val="00006FE3"/>
    <w:rsid w:val="000073AA"/>
    <w:rsid w:val="00011A41"/>
    <w:rsid w:val="00013341"/>
    <w:rsid w:val="0001351A"/>
    <w:rsid w:val="0001436F"/>
    <w:rsid w:val="000148E4"/>
    <w:rsid w:val="00014D9C"/>
    <w:rsid w:val="00015045"/>
    <w:rsid w:val="000152E9"/>
    <w:rsid w:val="00015308"/>
    <w:rsid w:val="0001587A"/>
    <w:rsid w:val="000158FF"/>
    <w:rsid w:val="00016DC2"/>
    <w:rsid w:val="0001770B"/>
    <w:rsid w:val="0002007D"/>
    <w:rsid w:val="00020BB6"/>
    <w:rsid w:val="000213CC"/>
    <w:rsid w:val="0002145A"/>
    <w:rsid w:val="000219B0"/>
    <w:rsid w:val="00021B7D"/>
    <w:rsid w:val="00022139"/>
    <w:rsid w:val="00022706"/>
    <w:rsid w:val="00022825"/>
    <w:rsid w:val="00022E5F"/>
    <w:rsid w:val="00023152"/>
    <w:rsid w:val="00023D5F"/>
    <w:rsid w:val="00024166"/>
    <w:rsid w:val="00024425"/>
    <w:rsid w:val="00025D2F"/>
    <w:rsid w:val="00026040"/>
    <w:rsid w:val="000262A9"/>
    <w:rsid w:val="000267B1"/>
    <w:rsid w:val="00026B2A"/>
    <w:rsid w:val="00026F47"/>
    <w:rsid w:val="00027915"/>
    <w:rsid w:val="000301F6"/>
    <w:rsid w:val="0003041A"/>
    <w:rsid w:val="00030B30"/>
    <w:rsid w:val="00030D72"/>
    <w:rsid w:val="00030F82"/>
    <w:rsid w:val="0003100C"/>
    <w:rsid w:val="00031133"/>
    <w:rsid w:val="00031881"/>
    <w:rsid w:val="00032199"/>
    <w:rsid w:val="00033C8C"/>
    <w:rsid w:val="00033FA0"/>
    <w:rsid w:val="00034BDF"/>
    <w:rsid w:val="00034C2B"/>
    <w:rsid w:val="00034EE0"/>
    <w:rsid w:val="00034F91"/>
    <w:rsid w:val="000358F9"/>
    <w:rsid w:val="00036749"/>
    <w:rsid w:val="0003679B"/>
    <w:rsid w:val="00036958"/>
    <w:rsid w:val="00037801"/>
    <w:rsid w:val="00037802"/>
    <w:rsid w:val="00037854"/>
    <w:rsid w:val="000400D7"/>
    <w:rsid w:val="00040381"/>
    <w:rsid w:val="000404FD"/>
    <w:rsid w:val="0004093D"/>
    <w:rsid w:val="00040C5A"/>
    <w:rsid w:val="00040E5B"/>
    <w:rsid w:val="00041B35"/>
    <w:rsid w:val="00042302"/>
    <w:rsid w:val="000426D1"/>
    <w:rsid w:val="00042E82"/>
    <w:rsid w:val="0004396E"/>
    <w:rsid w:val="00043CFC"/>
    <w:rsid w:val="0004492C"/>
    <w:rsid w:val="00044CD2"/>
    <w:rsid w:val="000451F5"/>
    <w:rsid w:val="00045514"/>
    <w:rsid w:val="0004610F"/>
    <w:rsid w:val="00047224"/>
    <w:rsid w:val="00047E84"/>
    <w:rsid w:val="00047EB3"/>
    <w:rsid w:val="000503D7"/>
    <w:rsid w:val="000504D9"/>
    <w:rsid w:val="00050592"/>
    <w:rsid w:val="00050B68"/>
    <w:rsid w:val="000529FF"/>
    <w:rsid w:val="00052E0D"/>
    <w:rsid w:val="00052E76"/>
    <w:rsid w:val="00052E8B"/>
    <w:rsid w:val="00053173"/>
    <w:rsid w:val="000534BE"/>
    <w:rsid w:val="0005471A"/>
    <w:rsid w:val="000547D5"/>
    <w:rsid w:val="000547EC"/>
    <w:rsid w:val="00054C0E"/>
    <w:rsid w:val="000559E2"/>
    <w:rsid w:val="00055BC5"/>
    <w:rsid w:val="00056777"/>
    <w:rsid w:val="00057136"/>
    <w:rsid w:val="000573AD"/>
    <w:rsid w:val="000576C4"/>
    <w:rsid w:val="0006021F"/>
    <w:rsid w:val="00060313"/>
    <w:rsid w:val="0006112E"/>
    <w:rsid w:val="00061513"/>
    <w:rsid w:val="00061AAB"/>
    <w:rsid w:val="00061DAB"/>
    <w:rsid w:val="00061FE6"/>
    <w:rsid w:val="000623CB"/>
    <w:rsid w:val="00064D98"/>
    <w:rsid w:val="00066375"/>
    <w:rsid w:val="00066B91"/>
    <w:rsid w:val="00067505"/>
    <w:rsid w:val="000675CA"/>
    <w:rsid w:val="00067EC4"/>
    <w:rsid w:val="00067EC8"/>
    <w:rsid w:val="00070A41"/>
    <w:rsid w:val="00071027"/>
    <w:rsid w:val="000728F1"/>
    <w:rsid w:val="0007332D"/>
    <w:rsid w:val="000743EA"/>
    <w:rsid w:val="00074B4A"/>
    <w:rsid w:val="00075074"/>
    <w:rsid w:val="00075E96"/>
    <w:rsid w:val="000767E3"/>
    <w:rsid w:val="00076D30"/>
    <w:rsid w:val="00076DBB"/>
    <w:rsid w:val="00076F2B"/>
    <w:rsid w:val="00077EB0"/>
    <w:rsid w:val="0008043A"/>
    <w:rsid w:val="00080F3A"/>
    <w:rsid w:val="000810B0"/>
    <w:rsid w:val="00081EC9"/>
    <w:rsid w:val="00081FFE"/>
    <w:rsid w:val="000822D4"/>
    <w:rsid w:val="00082817"/>
    <w:rsid w:val="000828AF"/>
    <w:rsid w:val="0008371A"/>
    <w:rsid w:val="000840A2"/>
    <w:rsid w:val="000846BD"/>
    <w:rsid w:val="00084929"/>
    <w:rsid w:val="00084B1E"/>
    <w:rsid w:val="0008533A"/>
    <w:rsid w:val="00085DEA"/>
    <w:rsid w:val="00086076"/>
    <w:rsid w:val="000861BC"/>
    <w:rsid w:val="00086953"/>
    <w:rsid w:val="00086FF0"/>
    <w:rsid w:val="00087EA5"/>
    <w:rsid w:val="00087F0A"/>
    <w:rsid w:val="00090906"/>
    <w:rsid w:val="00090B1C"/>
    <w:rsid w:val="00090C68"/>
    <w:rsid w:val="00090CF5"/>
    <w:rsid w:val="000918D1"/>
    <w:rsid w:val="00091BAB"/>
    <w:rsid w:val="00091E9C"/>
    <w:rsid w:val="000922FA"/>
    <w:rsid w:val="000927FE"/>
    <w:rsid w:val="000928FC"/>
    <w:rsid w:val="00092C4D"/>
    <w:rsid w:val="00092E7E"/>
    <w:rsid w:val="00092F11"/>
    <w:rsid w:val="00092FC6"/>
    <w:rsid w:val="00094069"/>
    <w:rsid w:val="0009448E"/>
    <w:rsid w:val="000944AE"/>
    <w:rsid w:val="0009498D"/>
    <w:rsid w:val="00094DA1"/>
    <w:rsid w:val="0009502C"/>
    <w:rsid w:val="00095A34"/>
    <w:rsid w:val="000966CB"/>
    <w:rsid w:val="00097434"/>
    <w:rsid w:val="000977A8"/>
    <w:rsid w:val="00097A2F"/>
    <w:rsid w:val="000A0789"/>
    <w:rsid w:val="000A0D30"/>
    <w:rsid w:val="000A0DBC"/>
    <w:rsid w:val="000A125B"/>
    <w:rsid w:val="000A137C"/>
    <w:rsid w:val="000A1B67"/>
    <w:rsid w:val="000A20BA"/>
    <w:rsid w:val="000A2104"/>
    <w:rsid w:val="000A2830"/>
    <w:rsid w:val="000A31FE"/>
    <w:rsid w:val="000A3479"/>
    <w:rsid w:val="000A3FD0"/>
    <w:rsid w:val="000A4592"/>
    <w:rsid w:val="000A476C"/>
    <w:rsid w:val="000A49D8"/>
    <w:rsid w:val="000A4E43"/>
    <w:rsid w:val="000A5E24"/>
    <w:rsid w:val="000A6B72"/>
    <w:rsid w:val="000A7426"/>
    <w:rsid w:val="000A75FC"/>
    <w:rsid w:val="000A7669"/>
    <w:rsid w:val="000A7850"/>
    <w:rsid w:val="000A7903"/>
    <w:rsid w:val="000A7BBC"/>
    <w:rsid w:val="000B093E"/>
    <w:rsid w:val="000B1146"/>
    <w:rsid w:val="000B1D64"/>
    <w:rsid w:val="000B20F5"/>
    <w:rsid w:val="000B2401"/>
    <w:rsid w:val="000B2591"/>
    <w:rsid w:val="000B28C7"/>
    <w:rsid w:val="000B3527"/>
    <w:rsid w:val="000B5291"/>
    <w:rsid w:val="000B69F7"/>
    <w:rsid w:val="000B6AA0"/>
    <w:rsid w:val="000B6C85"/>
    <w:rsid w:val="000B7553"/>
    <w:rsid w:val="000B7E57"/>
    <w:rsid w:val="000C172F"/>
    <w:rsid w:val="000C1C49"/>
    <w:rsid w:val="000C26A6"/>
    <w:rsid w:val="000C26D9"/>
    <w:rsid w:val="000C3F38"/>
    <w:rsid w:val="000C53DB"/>
    <w:rsid w:val="000C5552"/>
    <w:rsid w:val="000C6295"/>
    <w:rsid w:val="000C66AD"/>
    <w:rsid w:val="000D007E"/>
    <w:rsid w:val="000D0117"/>
    <w:rsid w:val="000D029A"/>
    <w:rsid w:val="000D0348"/>
    <w:rsid w:val="000D0639"/>
    <w:rsid w:val="000D0B2C"/>
    <w:rsid w:val="000D1521"/>
    <w:rsid w:val="000D16CC"/>
    <w:rsid w:val="000D27B8"/>
    <w:rsid w:val="000D3903"/>
    <w:rsid w:val="000D3E7E"/>
    <w:rsid w:val="000D5203"/>
    <w:rsid w:val="000D5621"/>
    <w:rsid w:val="000D5AB5"/>
    <w:rsid w:val="000D5AF6"/>
    <w:rsid w:val="000D5D02"/>
    <w:rsid w:val="000D631C"/>
    <w:rsid w:val="000D6592"/>
    <w:rsid w:val="000D660F"/>
    <w:rsid w:val="000D70B6"/>
    <w:rsid w:val="000D7548"/>
    <w:rsid w:val="000D755C"/>
    <w:rsid w:val="000D7C02"/>
    <w:rsid w:val="000D7EE1"/>
    <w:rsid w:val="000E0D34"/>
    <w:rsid w:val="000E12C7"/>
    <w:rsid w:val="000E1474"/>
    <w:rsid w:val="000E15D2"/>
    <w:rsid w:val="000E191B"/>
    <w:rsid w:val="000E1FC5"/>
    <w:rsid w:val="000E3879"/>
    <w:rsid w:val="000E392B"/>
    <w:rsid w:val="000E3CCA"/>
    <w:rsid w:val="000E3F3A"/>
    <w:rsid w:val="000E4382"/>
    <w:rsid w:val="000E4C1E"/>
    <w:rsid w:val="000E508E"/>
    <w:rsid w:val="000E5FE0"/>
    <w:rsid w:val="000E6B8D"/>
    <w:rsid w:val="000E75CD"/>
    <w:rsid w:val="000E7659"/>
    <w:rsid w:val="000E7CD0"/>
    <w:rsid w:val="000F0495"/>
    <w:rsid w:val="000F0B91"/>
    <w:rsid w:val="000F10BE"/>
    <w:rsid w:val="000F1C77"/>
    <w:rsid w:val="000F226F"/>
    <w:rsid w:val="000F245F"/>
    <w:rsid w:val="000F26D7"/>
    <w:rsid w:val="000F2DFF"/>
    <w:rsid w:val="000F37D9"/>
    <w:rsid w:val="000F44B0"/>
    <w:rsid w:val="000F51D8"/>
    <w:rsid w:val="000F5961"/>
    <w:rsid w:val="000F6D50"/>
    <w:rsid w:val="000F6F6B"/>
    <w:rsid w:val="000F7E27"/>
    <w:rsid w:val="00100D3F"/>
    <w:rsid w:val="00100F83"/>
    <w:rsid w:val="00101082"/>
    <w:rsid w:val="00101136"/>
    <w:rsid w:val="00101B1C"/>
    <w:rsid w:val="00101C5D"/>
    <w:rsid w:val="00101CC0"/>
    <w:rsid w:val="00102055"/>
    <w:rsid w:val="00102286"/>
    <w:rsid w:val="0010251E"/>
    <w:rsid w:val="0010283F"/>
    <w:rsid w:val="00102E48"/>
    <w:rsid w:val="00102F82"/>
    <w:rsid w:val="00102FAA"/>
    <w:rsid w:val="0010332E"/>
    <w:rsid w:val="0010362F"/>
    <w:rsid w:val="00103892"/>
    <w:rsid w:val="00104463"/>
    <w:rsid w:val="001049B8"/>
    <w:rsid w:val="0010503C"/>
    <w:rsid w:val="00105210"/>
    <w:rsid w:val="00105E30"/>
    <w:rsid w:val="00107215"/>
    <w:rsid w:val="001074B0"/>
    <w:rsid w:val="00107870"/>
    <w:rsid w:val="00107880"/>
    <w:rsid w:val="00107EBF"/>
    <w:rsid w:val="00110AA3"/>
    <w:rsid w:val="00110FC3"/>
    <w:rsid w:val="00111657"/>
    <w:rsid w:val="00111DDA"/>
    <w:rsid w:val="001121BE"/>
    <w:rsid w:val="00112A71"/>
    <w:rsid w:val="00112B8A"/>
    <w:rsid w:val="00112B99"/>
    <w:rsid w:val="0011318F"/>
    <w:rsid w:val="00113281"/>
    <w:rsid w:val="00113CCF"/>
    <w:rsid w:val="0011429D"/>
    <w:rsid w:val="001145DA"/>
    <w:rsid w:val="0011463C"/>
    <w:rsid w:val="00114700"/>
    <w:rsid w:val="00114B30"/>
    <w:rsid w:val="00115D0C"/>
    <w:rsid w:val="001168A5"/>
    <w:rsid w:val="00117BA1"/>
    <w:rsid w:val="00117E40"/>
    <w:rsid w:val="00120A83"/>
    <w:rsid w:val="00120ACA"/>
    <w:rsid w:val="00120F4B"/>
    <w:rsid w:val="00121323"/>
    <w:rsid w:val="00121BEC"/>
    <w:rsid w:val="00121DFD"/>
    <w:rsid w:val="0012275B"/>
    <w:rsid w:val="00122A5E"/>
    <w:rsid w:val="00122D8C"/>
    <w:rsid w:val="0012475A"/>
    <w:rsid w:val="001262E5"/>
    <w:rsid w:val="001263B8"/>
    <w:rsid w:val="001274A4"/>
    <w:rsid w:val="0012753A"/>
    <w:rsid w:val="00130648"/>
    <w:rsid w:val="00130E86"/>
    <w:rsid w:val="001311F0"/>
    <w:rsid w:val="001312F6"/>
    <w:rsid w:val="001329F4"/>
    <w:rsid w:val="001330BE"/>
    <w:rsid w:val="001352DC"/>
    <w:rsid w:val="0013605C"/>
    <w:rsid w:val="00136730"/>
    <w:rsid w:val="00136C26"/>
    <w:rsid w:val="001370FF"/>
    <w:rsid w:val="00137104"/>
    <w:rsid w:val="00140D0D"/>
    <w:rsid w:val="00140D3B"/>
    <w:rsid w:val="001412BC"/>
    <w:rsid w:val="00141A29"/>
    <w:rsid w:val="001423C2"/>
    <w:rsid w:val="00142584"/>
    <w:rsid w:val="001425C6"/>
    <w:rsid w:val="001426F7"/>
    <w:rsid w:val="001433D3"/>
    <w:rsid w:val="001435CE"/>
    <w:rsid w:val="00143DF6"/>
    <w:rsid w:val="001440F6"/>
    <w:rsid w:val="001448B1"/>
    <w:rsid w:val="00144947"/>
    <w:rsid w:val="0014498E"/>
    <w:rsid w:val="00145E44"/>
    <w:rsid w:val="00146E38"/>
    <w:rsid w:val="00150287"/>
    <w:rsid w:val="00150C3E"/>
    <w:rsid w:val="00150D62"/>
    <w:rsid w:val="00151407"/>
    <w:rsid w:val="00151541"/>
    <w:rsid w:val="00151994"/>
    <w:rsid w:val="00151B05"/>
    <w:rsid w:val="00152277"/>
    <w:rsid w:val="00152825"/>
    <w:rsid w:val="00152D33"/>
    <w:rsid w:val="00152E44"/>
    <w:rsid w:val="0015542C"/>
    <w:rsid w:val="001558A7"/>
    <w:rsid w:val="001562B8"/>
    <w:rsid w:val="00156955"/>
    <w:rsid w:val="00156DC4"/>
    <w:rsid w:val="001571ED"/>
    <w:rsid w:val="00157D93"/>
    <w:rsid w:val="0016087C"/>
    <w:rsid w:val="00160F78"/>
    <w:rsid w:val="001614E2"/>
    <w:rsid w:val="00162246"/>
    <w:rsid w:val="00162303"/>
    <w:rsid w:val="00162633"/>
    <w:rsid w:val="00162A51"/>
    <w:rsid w:val="0016318A"/>
    <w:rsid w:val="001633BA"/>
    <w:rsid w:val="00163435"/>
    <w:rsid w:val="0016362C"/>
    <w:rsid w:val="001638F0"/>
    <w:rsid w:val="00163937"/>
    <w:rsid w:val="001643FB"/>
    <w:rsid w:val="00164590"/>
    <w:rsid w:val="00164B50"/>
    <w:rsid w:val="00164D0D"/>
    <w:rsid w:val="001655CB"/>
    <w:rsid w:val="0016595B"/>
    <w:rsid w:val="001667A1"/>
    <w:rsid w:val="0016708E"/>
    <w:rsid w:val="00167BB1"/>
    <w:rsid w:val="00167BD3"/>
    <w:rsid w:val="00170AB9"/>
    <w:rsid w:val="00170CFE"/>
    <w:rsid w:val="00170FFE"/>
    <w:rsid w:val="00171C21"/>
    <w:rsid w:val="00171F8D"/>
    <w:rsid w:val="0017248B"/>
    <w:rsid w:val="00172BC3"/>
    <w:rsid w:val="00172F15"/>
    <w:rsid w:val="0017326F"/>
    <w:rsid w:val="00173696"/>
    <w:rsid w:val="0017450A"/>
    <w:rsid w:val="001749C0"/>
    <w:rsid w:val="00174E8B"/>
    <w:rsid w:val="0017539D"/>
    <w:rsid w:val="00175453"/>
    <w:rsid w:val="00176773"/>
    <w:rsid w:val="001771CC"/>
    <w:rsid w:val="00177E9D"/>
    <w:rsid w:val="00182065"/>
    <w:rsid w:val="00182401"/>
    <w:rsid w:val="00182516"/>
    <w:rsid w:val="0018251D"/>
    <w:rsid w:val="0018284D"/>
    <w:rsid w:val="00183209"/>
    <w:rsid w:val="00183259"/>
    <w:rsid w:val="00184070"/>
    <w:rsid w:val="001842D0"/>
    <w:rsid w:val="0018599C"/>
    <w:rsid w:val="00185B4C"/>
    <w:rsid w:val="00185BC0"/>
    <w:rsid w:val="00185EFE"/>
    <w:rsid w:val="0018617F"/>
    <w:rsid w:val="00186287"/>
    <w:rsid w:val="00190900"/>
    <w:rsid w:val="00190959"/>
    <w:rsid w:val="00190C0D"/>
    <w:rsid w:val="00190CC2"/>
    <w:rsid w:val="0019112C"/>
    <w:rsid w:val="00191746"/>
    <w:rsid w:val="00192BA4"/>
    <w:rsid w:val="00193D51"/>
    <w:rsid w:val="00193DF0"/>
    <w:rsid w:val="00193E43"/>
    <w:rsid w:val="00194207"/>
    <w:rsid w:val="00194391"/>
    <w:rsid w:val="00194A98"/>
    <w:rsid w:val="00194F20"/>
    <w:rsid w:val="00195625"/>
    <w:rsid w:val="00195B81"/>
    <w:rsid w:val="001964A2"/>
    <w:rsid w:val="0019681E"/>
    <w:rsid w:val="00196D67"/>
    <w:rsid w:val="00197181"/>
    <w:rsid w:val="001971F5"/>
    <w:rsid w:val="0019751F"/>
    <w:rsid w:val="001A03BB"/>
    <w:rsid w:val="001A0550"/>
    <w:rsid w:val="001A06C1"/>
    <w:rsid w:val="001A07A9"/>
    <w:rsid w:val="001A093F"/>
    <w:rsid w:val="001A0976"/>
    <w:rsid w:val="001A17B4"/>
    <w:rsid w:val="001A23EE"/>
    <w:rsid w:val="001A262E"/>
    <w:rsid w:val="001A429F"/>
    <w:rsid w:val="001A4610"/>
    <w:rsid w:val="001A539B"/>
    <w:rsid w:val="001A559B"/>
    <w:rsid w:val="001A5BF1"/>
    <w:rsid w:val="001A5E32"/>
    <w:rsid w:val="001A5F8E"/>
    <w:rsid w:val="001A6559"/>
    <w:rsid w:val="001A6932"/>
    <w:rsid w:val="001A6B92"/>
    <w:rsid w:val="001A6D3E"/>
    <w:rsid w:val="001A7087"/>
    <w:rsid w:val="001A7758"/>
    <w:rsid w:val="001A7C06"/>
    <w:rsid w:val="001B0061"/>
    <w:rsid w:val="001B0C4D"/>
    <w:rsid w:val="001B129E"/>
    <w:rsid w:val="001B2481"/>
    <w:rsid w:val="001B36A3"/>
    <w:rsid w:val="001B37EE"/>
    <w:rsid w:val="001B44D7"/>
    <w:rsid w:val="001B46FE"/>
    <w:rsid w:val="001B4981"/>
    <w:rsid w:val="001B4F6D"/>
    <w:rsid w:val="001B548F"/>
    <w:rsid w:val="001B5C0E"/>
    <w:rsid w:val="001B5F3E"/>
    <w:rsid w:val="001B6977"/>
    <w:rsid w:val="001B6980"/>
    <w:rsid w:val="001B737F"/>
    <w:rsid w:val="001B7984"/>
    <w:rsid w:val="001B7B6F"/>
    <w:rsid w:val="001C0022"/>
    <w:rsid w:val="001C017D"/>
    <w:rsid w:val="001C02EE"/>
    <w:rsid w:val="001C0581"/>
    <w:rsid w:val="001C123A"/>
    <w:rsid w:val="001C211F"/>
    <w:rsid w:val="001C2170"/>
    <w:rsid w:val="001C28A5"/>
    <w:rsid w:val="001C2C11"/>
    <w:rsid w:val="001C3419"/>
    <w:rsid w:val="001C348E"/>
    <w:rsid w:val="001C364B"/>
    <w:rsid w:val="001C3842"/>
    <w:rsid w:val="001C388C"/>
    <w:rsid w:val="001C3CE6"/>
    <w:rsid w:val="001C3FE9"/>
    <w:rsid w:val="001C4887"/>
    <w:rsid w:val="001C496F"/>
    <w:rsid w:val="001C62C3"/>
    <w:rsid w:val="001C6564"/>
    <w:rsid w:val="001C6CE0"/>
    <w:rsid w:val="001C7028"/>
    <w:rsid w:val="001C7DDB"/>
    <w:rsid w:val="001D0B1C"/>
    <w:rsid w:val="001D0CD9"/>
    <w:rsid w:val="001D1156"/>
    <w:rsid w:val="001D1351"/>
    <w:rsid w:val="001D18CD"/>
    <w:rsid w:val="001D1A03"/>
    <w:rsid w:val="001D2230"/>
    <w:rsid w:val="001D283A"/>
    <w:rsid w:val="001D29BC"/>
    <w:rsid w:val="001D30AC"/>
    <w:rsid w:val="001D32ED"/>
    <w:rsid w:val="001D3B6B"/>
    <w:rsid w:val="001D3DBC"/>
    <w:rsid w:val="001D412B"/>
    <w:rsid w:val="001D443E"/>
    <w:rsid w:val="001D54DF"/>
    <w:rsid w:val="001D6E68"/>
    <w:rsid w:val="001E077A"/>
    <w:rsid w:val="001E089E"/>
    <w:rsid w:val="001E0D6F"/>
    <w:rsid w:val="001E110C"/>
    <w:rsid w:val="001E14CF"/>
    <w:rsid w:val="001E155D"/>
    <w:rsid w:val="001E20A9"/>
    <w:rsid w:val="001E2979"/>
    <w:rsid w:val="001E2E4E"/>
    <w:rsid w:val="001E3E66"/>
    <w:rsid w:val="001E49D8"/>
    <w:rsid w:val="001E4EED"/>
    <w:rsid w:val="001E588B"/>
    <w:rsid w:val="001E5F63"/>
    <w:rsid w:val="001E6191"/>
    <w:rsid w:val="001E62B7"/>
    <w:rsid w:val="001E6C75"/>
    <w:rsid w:val="001E6D1A"/>
    <w:rsid w:val="001E7B3D"/>
    <w:rsid w:val="001F0066"/>
    <w:rsid w:val="001F1627"/>
    <w:rsid w:val="001F1861"/>
    <w:rsid w:val="001F2489"/>
    <w:rsid w:val="001F28C7"/>
    <w:rsid w:val="001F2AA4"/>
    <w:rsid w:val="001F2D88"/>
    <w:rsid w:val="001F2E4C"/>
    <w:rsid w:val="001F3067"/>
    <w:rsid w:val="001F34AF"/>
    <w:rsid w:val="001F3CD0"/>
    <w:rsid w:val="001F418A"/>
    <w:rsid w:val="001F4344"/>
    <w:rsid w:val="001F46AC"/>
    <w:rsid w:val="001F4964"/>
    <w:rsid w:val="001F520A"/>
    <w:rsid w:val="001F589A"/>
    <w:rsid w:val="001F5D57"/>
    <w:rsid w:val="001F5F91"/>
    <w:rsid w:val="001F6619"/>
    <w:rsid w:val="001F6CA2"/>
    <w:rsid w:val="001F6DFF"/>
    <w:rsid w:val="001F7411"/>
    <w:rsid w:val="002006FC"/>
    <w:rsid w:val="00200CFA"/>
    <w:rsid w:val="00200DB4"/>
    <w:rsid w:val="00200F5F"/>
    <w:rsid w:val="002013A6"/>
    <w:rsid w:val="00201B7B"/>
    <w:rsid w:val="00202606"/>
    <w:rsid w:val="002028F6"/>
    <w:rsid w:val="002032F7"/>
    <w:rsid w:val="002037C5"/>
    <w:rsid w:val="00203D95"/>
    <w:rsid w:val="00203F39"/>
    <w:rsid w:val="00204307"/>
    <w:rsid w:val="0020673A"/>
    <w:rsid w:val="00206C72"/>
    <w:rsid w:val="00206F5E"/>
    <w:rsid w:val="00206FED"/>
    <w:rsid w:val="00207922"/>
    <w:rsid w:val="00210354"/>
    <w:rsid w:val="002104E0"/>
    <w:rsid w:val="002108AA"/>
    <w:rsid w:val="00210AF3"/>
    <w:rsid w:val="00211A70"/>
    <w:rsid w:val="0021373B"/>
    <w:rsid w:val="00213ADF"/>
    <w:rsid w:val="0021412B"/>
    <w:rsid w:val="00215199"/>
    <w:rsid w:val="00215619"/>
    <w:rsid w:val="0021597D"/>
    <w:rsid w:val="00215B87"/>
    <w:rsid w:val="0022122C"/>
    <w:rsid w:val="0022163E"/>
    <w:rsid w:val="0022182C"/>
    <w:rsid w:val="00221ABF"/>
    <w:rsid w:val="002227A5"/>
    <w:rsid w:val="00222BC1"/>
    <w:rsid w:val="0022516F"/>
    <w:rsid w:val="002251C1"/>
    <w:rsid w:val="00225578"/>
    <w:rsid w:val="00226455"/>
    <w:rsid w:val="00227701"/>
    <w:rsid w:val="00227B34"/>
    <w:rsid w:val="00230292"/>
    <w:rsid w:val="00230908"/>
    <w:rsid w:val="00231303"/>
    <w:rsid w:val="00231581"/>
    <w:rsid w:val="002315CF"/>
    <w:rsid w:val="002328E0"/>
    <w:rsid w:val="00234003"/>
    <w:rsid w:val="00234E36"/>
    <w:rsid w:val="00235871"/>
    <w:rsid w:val="002359A3"/>
    <w:rsid w:val="002367C0"/>
    <w:rsid w:val="002374B5"/>
    <w:rsid w:val="00237882"/>
    <w:rsid w:val="0023798E"/>
    <w:rsid w:val="0024055E"/>
    <w:rsid w:val="00240876"/>
    <w:rsid w:val="00240FA3"/>
    <w:rsid w:val="00241077"/>
    <w:rsid w:val="002419E6"/>
    <w:rsid w:val="00241E5D"/>
    <w:rsid w:val="00242470"/>
    <w:rsid w:val="00242E1F"/>
    <w:rsid w:val="00243136"/>
    <w:rsid w:val="00243142"/>
    <w:rsid w:val="00243D94"/>
    <w:rsid w:val="002441E6"/>
    <w:rsid w:val="002442CF"/>
    <w:rsid w:val="0024573F"/>
    <w:rsid w:val="00245E72"/>
    <w:rsid w:val="00246CFA"/>
    <w:rsid w:val="00246D92"/>
    <w:rsid w:val="0024B41F"/>
    <w:rsid w:val="002505BF"/>
    <w:rsid w:val="00252243"/>
    <w:rsid w:val="00252AB9"/>
    <w:rsid w:val="00253A68"/>
    <w:rsid w:val="00254722"/>
    <w:rsid w:val="002559A0"/>
    <w:rsid w:val="00255DFC"/>
    <w:rsid w:val="002566A9"/>
    <w:rsid w:val="00256B5D"/>
    <w:rsid w:val="0025724B"/>
    <w:rsid w:val="00257525"/>
    <w:rsid w:val="00257543"/>
    <w:rsid w:val="00260301"/>
    <w:rsid w:val="00260904"/>
    <w:rsid w:val="00260F1A"/>
    <w:rsid w:val="00261327"/>
    <w:rsid w:val="002614B3"/>
    <w:rsid w:val="0026250F"/>
    <w:rsid w:val="0026273F"/>
    <w:rsid w:val="00262B48"/>
    <w:rsid w:val="002631B3"/>
    <w:rsid w:val="00263355"/>
    <w:rsid w:val="00263F91"/>
    <w:rsid w:val="002654D0"/>
    <w:rsid w:val="00265564"/>
    <w:rsid w:val="00265670"/>
    <w:rsid w:val="00265FF0"/>
    <w:rsid w:val="00266010"/>
    <w:rsid w:val="00266806"/>
    <w:rsid w:val="0026719A"/>
    <w:rsid w:val="002705B3"/>
    <w:rsid w:val="00270FD1"/>
    <w:rsid w:val="00271113"/>
    <w:rsid w:val="00272A8B"/>
    <w:rsid w:val="00272D18"/>
    <w:rsid w:val="00273CFA"/>
    <w:rsid w:val="00274053"/>
    <w:rsid w:val="002752E1"/>
    <w:rsid w:val="0027565C"/>
    <w:rsid w:val="00275DC3"/>
    <w:rsid w:val="002762E5"/>
    <w:rsid w:val="002767AB"/>
    <w:rsid w:val="00277E2E"/>
    <w:rsid w:val="00280974"/>
    <w:rsid w:val="00280F4A"/>
    <w:rsid w:val="00281381"/>
    <w:rsid w:val="00281D55"/>
    <w:rsid w:val="00281F6D"/>
    <w:rsid w:val="00282D44"/>
    <w:rsid w:val="00282DE4"/>
    <w:rsid w:val="0028306E"/>
    <w:rsid w:val="0028316A"/>
    <w:rsid w:val="00283840"/>
    <w:rsid w:val="00283944"/>
    <w:rsid w:val="00283F9E"/>
    <w:rsid w:val="00283FAE"/>
    <w:rsid w:val="00284120"/>
    <w:rsid w:val="002849E9"/>
    <w:rsid w:val="00284B30"/>
    <w:rsid w:val="00284F09"/>
    <w:rsid w:val="0028584B"/>
    <w:rsid w:val="00285CF4"/>
    <w:rsid w:val="00286356"/>
    <w:rsid w:val="0028725D"/>
    <w:rsid w:val="00287B02"/>
    <w:rsid w:val="002900EB"/>
    <w:rsid w:val="00290248"/>
    <w:rsid w:val="002908EC"/>
    <w:rsid w:val="00290E36"/>
    <w:rsid w:val="00292948"/>
    <w:rsid w:val="0029333E"/>
    <w:rsid w:val="00293E79"/>
    <w:rsid w:val="002943B6"/>
    <w:rsid w:val="002975E1"/>
    <w:rsid w:val="002976D8"/>
    <w:rsid w:val="002978A1"/>
    <w:rsid w:val="002A0004"/>
    <w:rsid w:val="002A0452"/>
    <w:rsid w:val="002A0E6A"/>
    <w:rsid w:val="002A10D2"/>
    <w:rsid w:val="002A1434"/>
    <w:rsid w:val="002A306F"/>
    <w:rsid w:val="002A3187"/>
    <w:rsid w:val="002A31B6"/>
    <w:rsid w:val="002A355D"/>
    <w:rsid w:val="002A3855"/>
    <w:rsid w:val="002A3A90"/>
    <w:rsid w:val="002A3FCA"/>
    <w:rsid w:val="002A44A2"/>
    <w:rsid w:val="002A44A8"/>
    <w:rsid w:val="002A4DA0"/>
    <w:rsid w:val="002A587D"/>
    <w:rsid w:val="002A59D2"/>
    <w:rsid w:val="002A5B4D"/>
    <w:rsid w:val="002A5C71"/>
    <w:rsid w:val="002A5F36"/>
    <w:rsid w:val="002A70B5"/>
    <w:rsid w:val="002A746C"/>
    <w:rsid w:val="002B0F15"/>
    <w:rsid w:val="002B1641"/>
    <w:rsid w:val="002B1804"/>
    <w:rsid w:val="002B2259"/>
    <w:rsid w:val="002B2916"/>
    <w:rsid w:val="002B30E9"/>
    <w:rsid w:val="002B3357"/>
    <w:rsid w:val="002B3512"/>
    <w:rsid w:val="002B3CA1"/>
    <w:rsid w:val="002B436E"/>
    <w:rsid w:val="002B5014"/>
    <w:rsid w:val="002B5896"/>
    <w:rsid w:val="002B5DBE"/>
    <w:rsid w:val="002B6033"/>
    <w:rsid w:val="002B60BF"/>
    <w:rsid w:val="002B675E"/>
    <w:rsid w:val="002B6F16"/>
    <w:rsid w:val="002B7175"/>
    <w:rsid w:val="002B7480"/>
    <w:rsid w:val="002B7554"/>
    <w:rsid w:val="002B7A30"/>
    <w:rsid w:val="002B7FCF"/>
    <w:rsid w:val="002B7FD9"/>
    <w:rsid w:val="002C050B"/>
    <w:rsid w:val="002C054C"/>
    <w:rsid w:val="002C084E"/>
    <w:rsid w:val="002C0C36"/>
    <w:rsid w:val="002C12F8"/>
    <w:rsid w:val="002C1718"/>
    <w:rsid w:val="002C18F2"/>
    <w:rsid w:val="002C2173"/>
    <w:rsid w:val="002C2B74"/>
    <w:rsid w:val="002C35FC"/>
    <w:rsid w:val="002C3E75"/>
    <w:rsid w:val="002C4615"/>
    <w:rsid w:val="002C4AC7"/>
    <w:rsid w:val="002C510D"/>
    <w:rsid w:val="002C62BA"/>
    <w:rsid w:val="002C6719"/>
    <w:rsid w:val="002C69A8"/>
    <w:rsid w:val="002C6DD6"/>
    <w:rsid w:val="002D089B"/>
    <w:rsid w:val="002D091B"/>
    <w:rsid w:val="002D098C"/>
    <w:rsid w:val="002D1DED"/>
    <w:rsid w:val="002D210F"/>
    <w:rsid w:val="002D212E"/>
    <w:rsid w:val="002D21E7"/>
    <w:rsid w:val="002D2249"/>
    <w:rsid w:val="002D336C"/>
    <w:rsid w:val="002D36F6"/>
    <w:rsid w:val="002D3B9A"/>
    <w:rsid w:val="002D4055"/>
    <w:rsid w:val="002D4153"/>
    <w:rsid w:val="002D4CD4"/>
    <w:rsid w:val="002D4DDE"/>
    <w:rsid w:val="002D5313"/>
    <w:rsid w:val="002D5876"/>
    <w:rsid w:val="002D59F4"/>
    <w:rsid w:val="002D6069"/>
    <w:rsid w:val="002D6BB1"/>
    <w:rsid w:val="002D6FD5"/>
    <w:rsid w:val="002D7C31"/>
    <w:rsid w:val="002E05D5"/>
    <w:rsid w:val="002E095C"/>
    <w:rsid w:val="002E1989"/>
    <w:rsid w:val="002E1C03"/>
    <w:rsid w:val="002E23B2"/>
    <w:rsid w:val="002E2731"/>
    <w:rsid w:val="002E2B69"/>
    <w:rsid w:val="002E3014"/>
    <w:rsid w:val="002E332D"/>
    <w:rsid w:val="002E38CA"/>
    <w:rsid w:val="002E3A68"/>
    <w:rsid w:val="002E4693"/>
    <w:rsid w:val="002E46E6"/>
    <w:rsid w:val="002E4836"/>
    <w:rsid w:val="002E510A"/>
    <w:rsid w:val="002E663D"/>
    <w:rsid w:val="002E66F7"/>
    <w:rsid w:val="002E6B86"/>
    <w:rsid w:val="002E7498"/>
    <w:rsid w:val="002F010B"/>
    <w:rsid w:val="002F0252"/>
    <w:rsid w:val="002F03E2"/>
    <w:rsid w:val="002F141F"/>
    <w:rsid w:val="002F19F6"/>
    <w:rsid w:val="002F2045"/>
    <w:rsid w:val="002F2124"/>
    <w:rsid w:val="002F21B1"/>
    <w:rsid w:val="002F2CB2"/>
    <w:rsid w:val="002F3105"/>
    <w:rsid w:val="002F360A"/>
    <w:rsid w:val="002F36A0"/>
    <w:rsid w:val="002F438A"/>
    <w:rsid w:val="002F50E0"/>
    <w:rsid w:val="002F556F"/>
    <w:rsid w:val="002F59D1"/>
    <w:rsid w:val="002F5FEA"/>
    <w:rsid w:val="002F601C"/>
    <w:rsid w:val="002F6260"/>
    <w:rsid w:val="002F6866"/>
    <w:rsid w:val="002F6873"/>
    <w:rsid w:val="002F74E7"/>
    <w:rsid w:val="002F796E"/>
    <w:rsid w:val="00300797"/>
    <w:rsid w:val="003008AF"/>
    <w:rsid w:val="00300E8F"/>
    <w:rsid w:val="003018DD"/>
    <w:rsid w:val="00301993"/>
    <w:rsid w:val="003019F3"/>
    <w:rsid w:val="00301B65"/>
    <w:rsid w:val="00302208"/>
    <w:rsid w:val="003029C9"/>
    <w:rsid w:val="00302A39"/>
    <w:rsid w:val="00302FE4"/>
    <w:rsid w:val="00303168"/>
    <w:rsid w:val="003041E1"/>
    <w:rsid w:val="003046A2"/>
    <w:rsid w:val="0030572A"/>
    <w:rsid w:val="00305C50"/>
    <w:rsid w:val="00305F63"/>
    <w:rsid w:val="00306311"/>
    <w:rsid w:val="00306BFD"/>
    <w:rsid w:val="00307660"/>
    <w:rsid w:val="003104DE"/>
    <w:rsid w:val="00310644"/>
    <w:rsid w:val="003111AB"/>
    <w:rsid w:val="003113E3"/>
    <w:rsid w:val="00311A57"/>
    <w:rsid w:val="00312762"/>
    <w:rsid w:val="0031378E"/>
    <w:rsid w:val="00313F0B"/>
    <w:rsid w:val="00316176"/>
    <w:rsid w:val="003165B4"/>
    <w:rsid w:val="003170BA"/>
    <w:rsid w:val="0031749D"/>
    <w:rsid w:val="003204B2"/>
    <w:rsid w:val="003204F6"/>
    <w:rsid w:val="00321891"/>
    <w:rsid w:val="003227EC"/>
    <w:rsid w:val="00322EE0"/>
    <w:rsid w:val="003239C6"/>
    <w:rsid w:val="00323C04"/>
    <w:rsid w:val="00323C47"/>
    <w:rsid w:val="00323FCC"/>
    <w:rsid w:val="00324116"/>
    <w:rsid w:val="003243F5"/>
    <w:rsid w:val="00324EDC"/>
    <w:rsid w:val="00325ACC"/>
    <w:rsid w:val="00325DE1"/>
    <w:rsid w:val="003262BD"/>
    <w:rsid w:val="00326E78"/>
    <w:rsid w:val="00326EBF"/>
    <w:rsid w:val="0032709A"/>
    <w:rsid w:val="0032729C"/>
    <w:rsid w:val="00327A41"/>
    <w:rsid w:val="003300B8"/>
    <w:rsid w:val="0033087E"/>
    <w:rsid w:val="003311CC"/>
    <w:rsid w:val="003311EE"/>
    <w:rsid w:val="003314A7"/>
    <w:rsid w:val="00331967"/>
    <w:rsid w:val="00332618"/>
    <w:rsid w:val="003326C6"/>
    <w:rsid w:val="00333443"/>
    <w:rsid w:val="003348E0"/>
    <w:rsid w:val="00334A10"/>
    <w:rsid w:val="0033523C"/>
    <w:rsid w:val="003357D2"/>
    <w:rsid w:val="00335B82"/>
    <w:rsid w:val="00335F7E"/>
    <w:rsid w:val="00336D9E"/>
    <w:rsid w:val="003373A2"/>
    <w:rsid w:val="003373A6"/>
    <w:rsid w:val="00337DC3"/>
    <w:rsid w:val="00340486"/>
    <w:rsid w:val="003409DD"/>
    <w:rsid w:val="003413ED"/>
    <w:rsid w:val="00341980"/>
    <w:rsid w:val="0034270D"/>
    <w:rsid w:val="00343692"/>
    <w:rsid w:val="00343BD5"/>
    <w:rsid w:val="00343C29"/>
    <w:rsid w:val="00344BA1"/>
    <w:rsid w:val="00344F16"/>
    <w:rsid w:val="00345F58"/>
    <w:rsid w:val="00345F66"/>
    <w:rsid w:val="00346456"/>
    <w:rsid w:val="00346C48"/>
    <w:rsid w:val="0034739F"/>
    <w:rsid w:val="00347E29"/>
    <w:rsid w:val="00347F8C"/>
    <w:rsid w:val="003501A4"/>
    <w:rsid w:val="003506DD"/>
    <w:rsid w:val="00350805"/>
    <w:rsid w:val="003509C4"/>
    <w:rsid w:val="00350B30"/>
    <w:rsid w:val="00350CD3"/>
    <w:rsid w:val="003510D1"/>
    <w:rsid w:val="00351BB6"/>
    <w:rsid w:val="003523EC"/>
    <w:rsid w:val="00353BA2"/>
    <w:rsid w:val="00353BC8"/>
    <w:rsid w:val="00354015"/>
    <w:rsid w:val="003549C4"/>
    <w:rsid w:val="0035544C"/>
    <w:rsid w:val="003556FF"/>
    <w:rsid w:val="00355BF1"/>
    <w:rsid w:val="00355D4C"/>
    <w:rsid w:val="00355E06"/>
    <w:rsid w:val="003569FF"/>
    <w:rsid w:val="00356C8A"/>
    <w:rsid w:val="00357088"/>
    <w:rsid w:val="00357436"/>
    <w:rsid w:val="003600C7"/>
    <w:rsid w:val="003607E9"/>
    <w:rsid w:val="00361F24"/>
    <w:rsid w:val="00361F67"/>
    <w:rsid w:val="003623CF"/>
    <w:rsid w:val="0036275B"/>
    <w:rsid w:val="003628BD"/>
    <w:rsid w:val="00362976"/>
    <w:rsid w:val="00363E19"/>
    <w:rsid w:val="00363FA2"/>
    <w:rsid w:val="003641F1"/>
    <w:rsid w:val="00364445"/>
    <w:rsid w:val="00364663"/>
    <w:rsid w:val="00365254"/>
    <w:rsid w:val="00365C4A"/>
    <w:rsid w:val="00366227"/>
    <w:rsid w:val="003664C6"/>
    <w:rsid w:val="00366AC6"/>
    <w:rsid w:val="00367A5D"/>
    <w:rsid w:val="00367EDA"/>
    <w:rsid w:val="003708EE"/>
    <w:rsid w:val="00371276"/>
    <w:rsid w:val="00372285"/>
    <w:rsid w:val="00374542"/>
    <w:rsid w:val="00374912"/>
    <w:rsid w:val="00374D98"/>
    <w:rsid w:val="00376469"/>
    <w:rsid w:val="0037715D"/>
    <w:rsid w:val="00380288"/>
    <w:rsid w:val="003809BC"/>
    <w:rsid w:val="00380DAA"/>
    <w:rsid w:val="00381345"/>
    <w:rsid w:val="0038158B"/>
    <w:rsid w:val="00381D94"/>
    <w:rsid w:val="0038287C"/>
    <w:rsid w:val="003829F7"/>
    <w:rsid w:val="00383E5B"/>
    <w:rsid w:val="003843E1"/>
    <w:rsid w:val="003848C0"/>
    <w:rsid w:val="00384E74"/>
    <w:rsid w:val="0038541D"/>
    <w:rsid w:val="00385422"/>
    <w:rsid w:val="00385608"/>
    <w:rsid w:val="00385783"/>
    <w:rsid w:val="00385831"/>
    <w:rsid w:val="00385E0F"/>
    <w:rsid w:val="00386152"/>
    <w:rsid w:val="00386683"/>
    <w:rsid w:val="003866DB"/>
    <w:rsid w:val="003867C4"/>
    <w:rsid w:val="00387628"/>
    <w:rsid w:val="00387A64"/>
    <w:rsid w:val="00387A99"/>
    <w:rsid w:val="00387E93"/>
    <w:rsid w:val="00387F8E"/>
    <w:rsid w:val="00390529"/>
    <w:rsid w:val="00390850"/>
    <w:rsid w:val="00391071"/>
    <w:rsid w:val="00391A80"/>
    <w:rsid w:val="0039215B"/>
    <w:rsid w:val="00392880"/>
    <w:rsid w:val="00393513"/>
    <w:rsid w:val="0039378E"/>
    <w:rsid w:val="00394899"/>
    <w:rsid w:val="00395183"/>
    <w:rsid w:val="003958A0"/>
    <w:rsid w:val="00395D10"/>
    <w:rsid w:val="00395EFB"/>
    <w:rsid w:val="00396213"/>
    <w:rsid w:val="0039665E"/>
    <w:rsid w:val="00396AFB"/>
    <w:rsid w:val="00396EFF"/>
    <w:rsid w:val="00397297"/>
    <w:rsid w:val="003978DF"/>
    <w:rsid w:val="003A0B45"/>
    <w:rsid w:val="003A1E94"/>
    <w:rsid w:val="003A269A"/>
    <w:rsid w:val="003A2818"/>
    <w:rsid w:val="003A31A2"/>
    <w:rsid w:val="003A4E5D"/>
    <w:rsid w:val="003A4FA4"/>
    <w:rsid w:val="003A5506"/>
    <w:rsid w:val="003A55BF"/>
    <w:rsid w:val="003A6CCC"/>
    <w:rsid w:val="003A7577"/>
    <w:rsid w:val="003A7FA5"/>
    <w:rsid w:val="003B06E7"/>
    <w:rsid w:val="003B17F0"/>
    <w:rsid w:val="003B268C"/>
    <w:rsid w:val="003B2890"/>
    <w:rsid w:val="003B2CA8"/>
    <w:rsid w:val="003B4006"/>
    <w:rsid w:val="003B57F2"/>
    <w:rsid w:val="003B5C86"/>
    <w:rsid w:val="003B5D02"/>
    <w:rsid w:val="003B5D84"/>
    <w:rsid w:val="003B61E4"/>
    <w:rsid w:val="003B631A"/>
    <w:rsid w:val="003B6A0F"/>
    <w:rsid w:val="003B732B"/>
    <w:rsid w:val="003B7D4F"/>
    <w:rsid w:val="003C028D"/>
    <w:rsid w:val="003C0541"/>
    <w:rsid w:val="003C0DCB"/>
    <w:rsid w:val="003C1B1E"/>
    <w:rsid w:val="003C320B"/>
    <w:rsid w:val="003C3285"/>
    <w:rsid w:val="003C3298"/>
    <w:rsid w:val="003C32A9"/>
    <w:rsid w:val="003C3843"/>
    <w:rsid w:val="003C3FA3"/>
    <w:rsid w:val="003C4117"/>
    <w:rsid w:val="003C430B"/>
    <w:rsid w:val="003C4394"/>
    <w:rsid w:val="003C55EA"/>
    <w:rsid w:val="003C59A8"/>
    <w:rsid w:val="003C5A5D"/>
    <w:rsid w:val="003C70B5"/>
    <w:rsid w:val="003C737E"/>
    <w:rsid w:val="003C745F"/>
    <w:rsid w:val="003C747D"/>
    <w:rsid w:val="003D0927"/>
    <w:rsid w:val="003D1761"/>
    <w:rsid w:val="003D1EB5"/>
    <w:rsid w:val="003D240F"/>
    <w:rsid w:val="003D253F"/>
    <w:rsid w:val="003D2837"/>
    <w:rsid w:val="003D3A0E"/>
    <w:rsid w:val="003D3E8E"/>
    <w:rsid w:val="003D3EB3"/>
    <w:rsid w:val="003D43F2"/>
    <w:rsid w:val="003D4DC2"/>
    <w:rsid w:val="003D4DFC"/>
    <w:rsid w:val="003D67CB"/>
    <w:rsid w:val="003D6DD2"/>
    <w:rsid w:val="003D77E2"/>
    <w:rsid w:val="003E010B"/>
    <w:rsid w:val="003E019D"/>
    <w:rsid w:val="003E056E"/>
    <w:rsid w:val="003E0745"/>
    <w:rsid w:val="003E15FC"/>
    <w:rsid w:val="003E1ACB"/>
    <w:rsid w:val="003E1C81"/>
    <w:rsid w:val="003E1D4C"/>
    <w:rsid w:val="003E247E"/>
    <w:rsid w:val="003E2735"/>
    <w:rsid w:val="003E372B"/>
    <w:rsid w:val="003E4589"/>
    <w:rsid w:val="003E4E46"/>
    <w:rsid w:val="003E59B1"/>
    <w:rsid w:val="003E5A3A"/>
    <w:rsid w:val="003E6632"/>
    <w:rsid w:val="003E692C"/>
    <w:rsid w:val="003E7C30"/>
    <w:rsid w:val="003F02EF"/>
    <w:rsid w:val="003F060E"/>
    <w:rsid w:val="003F093D"/>
    <w:rsid w:val="003F0CFC"/>
    <w:rsid w:val="003F11E0"/>
    <w:rsid w:val="003F13D0"/>
    <w:rsid w:val="003F1A61"/>
    <w:rsid w:val="003F1E32"/>
    <w:rsid w:val="003F1E66"/>
    <w:rsid w:val="003F2333"/>
    <w:rsid w:val="003F296C"/>
    <w:rsid w:val="003F2D69"/>
    <w:rsid w:val="003F2FF3"/>
    <w:rsid w:val="003F354B"/>
    <w:rsid w:val="003F4E6B"/>
    <w:rsid w:val="003F569D"/>
    <w:rsid w:val="003F57F9"/>
    <w:rsid w:val="003F5843"/>
    <w:rsid w:val="003F5A89"/>
    <w:rsid w:val="003F6FDF"/>
    <w:rsid w:val="003F7B43"/>
    <w:rsid w:val="00400824"/>
    <w:rsid w:val="0040118B"/>
    <w:rsid w:val="00401D0D"/>
    <w:rsid w:val="00401D32"/>
    <w:rsid w:val="00402395"/>
    <w:rsid w:val="00402DF8"/>
    <w:rsid w:val="0040490C"/>
    <w:rsid w:val="00404954"/>
    <w:rsid w:val="00405402"/>
    <w:rsid w:val="004055F7"/>
    <w:rsid w:val="004057B4"/>
    <w:rsid w:val="00405819"/>
    <w:rsid w:val="00405AD4"/>
    <w:rsid w:val="00405AE1"/>
    <w:rsid w:val="004060EA"/>
    <w:rsid w:val="00406554"/>
    <w:rsid w:val="00406F7A"/>
    <w:rsid w:val="0040749A"/>
    <w:rsid w:val="00407EBD"/>
    <w:rsid w:val="0041013D"/>
    <w:rsid w:val="0041143C"/>
    <w:rsid w:val="00411627"/>
    <w:rsid w:val="00411EEE"/>
    <w:rsid w:val="00412391"/>
    <w:rsid w:val="00412D5A"/>
    <w:rsid w:val="00412DCE"/>
    <w:rsid w:val="00413530"/>
    <w:rsid w:val="00413659"/>
    <w:rsid w:val="004136C3"/>
    <w:rsid w:val="00413EB3"/>
    <w:rsid w:val="00415031"/>
    <w:rsid w:val="00415CFF"/>
    <w:rsid w:val="00415F3B"/>
    <w:rsid w:val="00416859"/>
    <w:rsid w:val="00416A30"/>
    <w:rsid w:val="00416C1E"/>
    <w:rsid w:val="004173FF"/>
    <w:rsid w:val="004174E0"/>
    <w:rsid w:val="00420640"/>
    <w:rsid w:val="00420B62"/>
    <w:rsid w:val="00422693"/>
    <w:rsid w:val="0042288D"/>
    <w:rsid w:val="00422D23"/>
    <w:rsid w:val="004233C9"/>
    <w:rsid w:val="00423683"/>
    <w:rsid w:val="00423E17"/>
    <w:rsid w:val="0042401C"/>
    <w:rsid w:val="00424648"/>
    <w:rsid w:val="00424C24"/>
    <w:rsid w:val="00424D7F"/>
    <w:rsid w:val="00424DF6"/>
    <w:rsid w:val="00424FCA"/>
    <w:rsid w:val="00426426"/>
    <w:rsid w:val="00426D0C"/>
    <w:rsid w:val="004273F8"/>
    <w:rsid w:val="004274E4"/>
    <w:rsid w:val="00427F06"/>
    <w:rsid w:val="004301FB"/>
    <w:rsid w:val="004302B0"/>
    <w:rsid w:val="00430370"/>
    <w:rsid w:val="004304EA"/>
    <w:rsid w:val="004308E8"/>
    <w:rsid w:val="00431211"/>
    <w:rsid w:val="00431F8A"/>
    <w:rsid w:val="00432303"/>
    <w:rsid w:val="00432DB1"/>
    <w:rsid w:val="00432F3D"/>
    <w:rsid w:val="0043355E"/>
    <w:rsid w:val="00434C6D"/>
    <w:rsid w:val="00434DB9"/>
    <w:rsid w:val="0043519E"/>
    <w:rsid w:val="00435649"/>
    <w:rsid w:val="00435F1A"/>
    <w:rsid w:val="004360ED"/>
    <w:rsid w:val="00436C75"/>
    <w:rsid w:val="00436EF8"/>
    <w:rsid w:val="00436F74"/>
    <w:rsid w:val="00437871"/>
    <w:rsid w:val="00437FD9"/>
    <w:rsid w:val="004404D0"/>
    <w:rsid w:val="0044094F"/>
    <w:rsid w:val="00440B6B"/>
    <w:rsid w:val="00440C34"/>
    <w:rsid w:val="00440C9B"/>
    <w:rsid w:val="00442321"/>
    <w:rsid w:val="0044275C"/>
    <w:rsid w:val="00442CC3"/>
    <w:rsid w:val="00442F07"/>
    <w:rsid w:val="00442F5B"/>
    <w:rsid w:val="00442FD3"/>
    <w:rsid w:val="00444E0A"/>
    <w:rsid w:val="00445403"/>
    <w:rsid w:val="00445FFD"/>
    <w:rsid w:val="0044726D"/>
    <w:rsid w:val="0044757E"/>
    <w:rsid w:val="00450189"/>
    <w:rsid w:val="00451210"/>
    <w:rsid w:val="004520AA"/>
    <w:rsid w:val="0045224C"/>
    <w:rsid w:val="00452B7E"/>
    <w:rsid w:val="0045301F"/>
    <w:rsid w:val="00453034"/>
    <w:rsid w:val="0045303E"/>
    <w:rsid w:val="00453B41"/>
    <w:rsid w:val="00453F97"/>
    <w:rsid w:val="00454228"/>
    <w:rsid w:val="004546F0"/>
    <w:rsid w:val="00454A44"/>
    <w:rsid w:val="00454A72"/>
    <w:rsid w:val="00455538"/>
    <w:rsid w:val="004564CE"/>
    <w:rsid w:val="00456A86"/>
    <w:rsid w:val="00456E47"/>
    <w:rsid w:val="004573E2"/>
    <w:rsid w:val="004577D6"/>
    <w:rsid w:val="00460AB6"/>
    <w:rsid w:val="004610CF"/>
    <w:rsid w:val="0046131D"/>
    <w:rsid w:val="00461B5E"/>
    <w:rsid w:val="00461DDE"/>
    <w:rsid w:val="00462158"/>
    <w:rsid w:val="004628B4"/>
    <w:rsid w:val="00462908"/>
    <w:rsid w:val="00462946"/>
    <w:rsid w:val="00462CAC"/>
    <w:rsid w:val="00462EF9"/>
    <w:rsid w:val="004630B7"/>
    <w:rsid w:val="00463ADB"/>
    <w:rsid w:val="00463CCA"/>
    <w:rsid w:val="004646C6"/>
    <w:rsid w:val="00464A86"/>
    <w:rsid w:val="0046536F"/>
    <w:rsid w:val="00466445"/>
    <w:rsid w:val="00467361"/>
    <w:rsid w:val="004679BF"/>
    <w:rsid w:val="00467B3E"/>
    <w:rsid w:val="00470585"/>
    <w:rsid w:val="0047280A"/>
    <w:rsid w:val="00472B22"/>
    <w:rsid w:val="004731F6"/>
    <w:rsid w:val="00473BCD"/>
    <w:rsid w:val="004750A0"/>
    <w:rsid w:val="0047546A"/>
    <w:rsid w:val="00475912"/>
    <w:rsid w:val="004760DD"/>
    <w:rsid w:val="004762B0"/>
    <w:rsid w:val="00476ACA"/>
    <w:rsid w:val="00476B97"/>
    <w:rsid w:val="00477A5D"/>
    <w:rsid w:val="00477D80"/>
    <w:rsid w:val="00477EE0"/>
    <w:rsid w:val="00481BE7"/>
    <w:rsid w:val="0048201F"/>
    <w:rsid w:val="00482223"/>
    <w:rsid w:val="0048244C"/>
    <w:rsid w:val="0048262E"/>
    <w:rsid w:val="00482EEA"/>
    <w:rsid w:val="00483967"/>
    <w:rsid w:val="004841B1"/>
    <w:rsid w:val="00484625"/>
    <w:rsid w:val="004855CD"/>
    <w:rsid w:val="0048616C"/>
    <w:rsid w:val="0048727D"/>
    <w:rsid w:val="00487A07"/>
    <w:rsid w:val="00487EB7"/>
    <w:rsid w:val="00490860"/>
    <w:rsid w:val="004916AC"/>
    <w:rsid w:val="004917BE"/>
    <w:rsid w:val="00491A88"/>
    <w:rsid w:val="00491DF4"/>
    <w:rsid w:val="00491E39"/>
    <w:rsid w:val="00491EBF"/>
    <w:rsid w:val="00491FDC"/>
    <w:rsid w:val="00492651"/>
    <w:rsid w:val="00492BB8"/>
    <w:rsid w:val="00493162"/>
    <w:rsid w:val="004941E4"/>
    <w:rsid w:val="0049475B"/>
    <w:rsid w:val="00494F0D"/>
    <w:rsid w:val="00495B94"/>
    <w:rsid w:val="00495BAF"/>
    <w:rsid w:val="00496236"/>
    <w:rsid w:val="0049676D"/>
    <w:rsid w:val="00497134"/>
    <w:rsid w:val="0049727A"/>
    <w:rsid w:val="004975CA"/>
    <w:rsid w:val="00497B48"/>
    <w:rsid w:val="00497F42"/>
    <w:rsid w:val="004A00EE"/>
    <w:rsid w:val="004A1303"/>
    <w:rsid w:val="004A203E"/>
    <w:rsid w:val="004A2EFD"/>
    <w:rsid w:val="004A30BE"/>
    <w:rsid w:val="004A3752"/>
    <w:rsid w:val="004A38C5"/>
    <w:rsid w:val="004A3937"/>
    <w:rsid w:val="004A3A11"/>
    <w:rsid w:val="004A4542"/>
    <w:rsid w:val="004A45D1"/>
    <w:rsid w:val="004A46AF"/>
    <w:rsid w:val="004A4B9D"/>
    <w:rsid w:val="004A4FBF"/>
    <w:rsid w:val="004A5217"/>
    <w:rsid w:val="004A637A"/>
    <w:rsid w:val="004A756F"/>
    <w:rsid w:val="004A7973"/>
    <w:rsid w:val="004A7AED"/>
    <w:rsid w:val="004A7B97"/>
    <w:rsid w:val="004B1792"/>
    <w:rsid w:val="004B1ACA"/>
    <w:rsid w:val="004B2B0F"/>
    <w:rsid w:val="004B347D"/>
    <w:rsid w:val="004B41FE"/>
    <w:rsid w:val="004B4687"/>
    <w:rsid w:val="004B46AF"/>
    <w:rsid w:val="004B4BEC"/>
    <w:rsid w:val="004B568B"/>
    <w:rsid w:val="004B6237"/>
    <w:rsid w:val="004B67D7"/>
    <w:rsid w:val="004B7424"/>
    <w:rsid w:val="004B7715"/>
    <w:rsid w:val="004B7C9F"/>
    <w:rsid w:val="004B7D8E"/>
    <w:rsid w:val="004C0080"/>
    <w:rsid w:val="004C0170"/>
    <w:rsid w:val="004C0915"/>
    <w:rsid w:val="004C1610"/>
    <w:rsid w:val="004C1F73"/>
    <w:rsid w:val="004C2DE7"/>
    <w:rsid w:val="004C3F59"/>
    <w:rsid w:val="004C3F8C"/>
    <w:rsid w:val="004C47C8"/>
    <w:rsid w:val="004C4F37"/>
    <w:rsid w:val="004C5A1E"/>
    <w:rsid w:val="004C7071"/>
    <w:rsid w:val="004C7105"/>
    <w:rsid w:val="004C72EA"/>
    <w:rsid w:val="004C74BE"/>
    <w:rsid w:val="004C7C27"/>
    <w:rsid w:val="004D093D"/>
    <w:rsid w:val="004D153C"/>
    <w:rsid w:val="004D1736"/>
    <w:rsid w:val="004D1833"/>
    <w:rsid w:val="004D27D6"/>
    <w:rsid w:val="004D3378"/>
    <w:rsid w:val="004D3604"/>
    <w:rsid w:val="004D3BC0"/>
    <w:rsid w:val="004D3BC7"/>
    <w:rsid w:val="004D47C1"/>
    <w:rsid w:val="004D4830"/>
    <w:rsid w:val="004D533E"/>
    <w:rsid w:val="004D5832"/>
    <w:rsid w:val="004D63F8"/>
    <w:rsid w:val="004D64F1"/>
    <w:rsid w:val="004D6C86"/>
    <w:rsid w:val="004D70CE"/>
    <w:rsid w:val="004D7BD0"/>
    <w:rsid w:val="004D7FE7"/>
    <w:rsid w:val="004E0168"/>
    <w:rsid w:val="004E104A"/>
    <w:rsid w:val="004E1390"/>
    <w:rsid w:val="004E1B61"/>
    <w:rsid w:val="004E1E15"/>
    <w:rsid w:val="004E2846"/>
    <w:rsid w:val="004E2A56"/>
    <w:rsid w:val="004E45C9"/>
    <w:rsid w:val="004E5287"/>
    <w:rsid w:val="004E572F"/>
    <w:rsid w:val="004E5C95"/>
    <w:rsid w:val="004E689C"/>
    <w:rsid w:val="004E6911"/>
    <w:rsid w:val="004E6BDE"/>
    <w:rsid w:val="004E6ED9"/>
    <w:rsid w:val="004F04B1"/>
    <w:rsid w:val="004F05F2"/>
    <w:rsid w:val="004F12FE"/>
    <w:rsid w:val="004F1AB0"/>
    <w:rsid w:val="004F1B5E"/>
    <w:rsid w:val="004F20E1"/>
    <w:rsid w:val="004F216B"/>
    <w:rsid w:val="004F2CB1"/>
    <w:rsid w:val="004F34BB"/>
    <w:rsid w:val="004F45B6"/>
    <w:rsid w:val="004F55EF"/>
    <w:rsid w:val="004F6932"/>
    <w:rsid w:val="004F7397"/>
    <w:rsid w:val="004F74C9"/>
    <w:rsid w:val="004F75C1"/>
    <w:rsid w:val="004F7C64"/>
    <w:rsid w:val="004F7CCD"/>
    <w:rsid w:val="004F7CD5"/>
    <w:rsid w:val="004F7D4F"/>
    <w:rsid w:val="004F7E9B"/>
    <w:rsid w:val="00500370"/>
    <w:rsid w:val="005003DD"/>
    <w:rsid w:val="00500C83"/>
    <w:rsid w:val="00500CA8"/>
    <w:rsid w:val="005018C6"/>
    <w:rsid w:val="0050249C"/>
    <w:rsid w:val="005039EB"/>
    <w:rsid w:val="00503DC8"/>
    <w:rsid w:val="00503EF8"/>
    <w:rsid w:val="00504204"/>
    <w:rsid w:val="005045F0"/>
    <w:rsid w:val="00507637"/>
    <w:rsid w:val="00507E0F"/>
    <w:rsid w:val="00507EC5"/>
    <w:rsid w:val="00510FA1"/>
    <w:rsid w:val="00511A18"/>
    <w:rsid w:val="00511C45"/>
    <w:rsid w:val="005120ED"/>
    <w:rsid w:val="0051284E"/>
    <w:rsid w:val="00513982"/>
    <w:rsid w:val="0051456F"/>
    <w:rsid w:val="00514BD6"/>
    <w:rsid w:val="00514D4F"/>
    <w:rsid w:val="005150AE"/>
    <w:rsid w:val="00515517"/>
    <w:rsid w:val="005160F5"/>
    <w:rsid w:val="005161B7"/>
    <w:rsid w:val="005163C7"/>
    <w:rsid w:val="0051657F"/>
    <w:rsid w:val="00516891"/>
    <w:rsid w:val="005172E8"/>
    <w:rsid w:val="00517635"/>
    <w:rsid w:val="00517775"/>
    <w:rsid w:val="00517C88"/>
    <w:rsid w:val="005202F4"/>
    <w:rsid w:val="005204E5"/>
    <w:rsid w:val="005205D1"/>
    <w:rsid w:val="00520749"/>
    <w:rsid w:val="00521E74"/>
    <w:rsid w:val="005221A5"/>
    <w:rsid w:val="005229E4"/>
    <w:rsid w:val="00522D72"/>
    <w:rsid w:val="00523285"/>
    <w:rsid w:val="00524017"/>
    <w:rsid w:val="0052428E"/>
    <w:rsid w:val="00524D81"/>
    <w:rsid w:val="00525063"/>
    <w:rsid w:val="0052519A"/>
    <w:rsid w:val="005255F6"/>
    <w:rsid w:val="00525CE0"/>
    <w:rsid w:val="00526B15"/>
    <w:rsid w:val="00527035"/>
    <w:rsid w:val="00527A6A"/>
    <w:rsid w:val="00527BC2"/>
    <w:rsid w:val="00527BE8"/>
    <w:rsid w:val="00527EE7"/>
    <w:rsid w:val="00527FAB"/>
    <w:rsid w:val="00530074"/>
    <w:rsid w:val="0053113C"/>
    <w:rsid w:val="00531F0E"/>
    <w:rsid w:val="00532522"/>
    <w:rsid w:val="0053279E"/>
    <w:rsid w:val="00532C1D"/>
    <w:rsid w:val="00533415"/>
    <w:rsid w:val="005339A3"/>
    <w:rsid w:val="0053454C"/>
    <w:rsid w:val="00534782"/>
    <w:rsid w:val="00534AD5"/>
    <w:rsid w:val="00534B52"/>
    <w:rsid w:val="00534C1B"/>
    <w:rsid w:val="005363A3"/>
    <w:rsid w:val="00536C29"/>
    <w:rsid w:val="005373EE"/>
    <w:rsid w:val="00537840"/>
    <w:rsid w:val="00540C21"/>
    <w:rsid w:val="00540C88"/>
    <w:rsid w:val="005412B2"/>
    <w:rsid w:val="00541D81"/>
    <w:rsid w:val="00541F83"/>
    <w:rsid w:val="005422ED"/>
    <w:rsid w:val="0054247C"/>
    <w:rsid w:val="00542C6B"/>
    <w:rsid w:val="00542E61"/>
    <w:rsid w:val="00542F88"/>
    <w:rsid w:val="0054375F"/>
    <w:rsid w:val="005439E9"/>
    <w:rsid w:val="00543A67"/>
    <w:rsid w:val="00544784"/>
    <w:rsid w:val="00544C8E"/>
    <w:rsid w:val="00544D3B"/>
    <w:rsid w:val="00545999"/>
    <w:rsid w:val="00545A3C"/>
    <w:rsid w:val="00545B48"/>
    <w:rsid w:val="00547047"/>
    <w:rsid w:val="00551653"/>
    <w:rsid w:val="0055213A"/>
    <w:rsid w:val="00552569"/>
    <w:rsid w:val="005528EF"/>
    <w:rsid w:val="00552A5F"/>
    <w:rsid w:val="005531E8"/>
    <w:rsid w:val="0055420D"/>
    <w:rsid w:val="0055432B"/>
    <w:rsid w:val="00555FF2"/>
    <w:rsid w:val="00556493"/>
    <w:rsid w:val="00557021"/>
    <w:rsid w:val="0055715A"/>
    <w:rsid w:val="005571BC"/>
    <w:rsid w:val="00557619"/>
    <w:rsid w:val="00560043"/>
    <w:rsid w:val="005602AF"/>
    <w:rsid w:val="005603D7"/>
    <w:rsid w:val="00560BB3"/>
    <w:rsid w:val="0056109A"/>
    <w:rsid w:val="005621CB"/>
    <w:rsid w:val="00562BAE"/>
    <w:rsid w:val="0056414A"/>
    <w:rsid w:val="00564749"/>
    <w:rsid w:val="00564780"/>
    <w:rsid w:val="00564B47"/>
    <w:rsid w:val="00564E94"/>
    <w:rsid w:val="00565019"/>
    <w:rsid w:val="0056561D"/>
    <w:rsid w:val="005657AC"/>
    <w:rsid w:val="0056627B"/>
    <w:rsid w:val="00566697"/>
    <w:rsid w:val="005668D4"/>
    <w:rsid w:val="00566D84"/>
    <w:rsid w:val="00567F81"/>
    <w:rsid w:val="00570323"/>
    <w:rsid w:val="00570969"/>
    <w:rsid w:val="00570C99"/>
    <w:rsid w:val="00570F0D"/>
    <w:rsid w:val="0057180B"/>
    <w:rsid w:val="0057224C"/>
    <w:rsid w:val="0057236C"/>
    <w:rsid w:val="005726D5"/>
    <w:rsid w:val="005727E4"/>
    <w:rsid w:val="0057317D"/>
    <w:rsid w:val="00573364"/>
    <w:rsid w:val="00573E4B"/>
    <w:rsid w:val="00573F44"/>
    <w:rsid w:val="00574390"/>
    <w:rsid w:val="005744C4"/>
    <w:rsid w:val="00574722"/>
    <w:rsid w:val="005758EB"/>
    <w:rsid w:val="00575A9B"/>
    <w:rsid w:val="005763B0"/>
    <w:rsid w:val="005763B8"/>
    <w:rsid w:val="00576513"/>
    <w:rsid w:val="00576852"/>
    <w:rsid w:val="00576C11"/>
    <w:rsid w:val="00576EC0"/>
    <w:rsid w:val="00577EA5"/>
    <w:rsid w:val="0058023A"/>
    <w:rsid w:val="0058085F"/>
    <w:rsid w:val="00580A5E"/>
    <w:rsid w:val="0058120C"/>
    <w:rsid w:val="0058138A"/>
    <w:rsid w:val="005813E1"/>
    <w:rsid w:val="005819D0"/>
    <w:rsid w:val="00581CF6"/>
    <w:rsid w:val="00582575"/>
    <w:rsid w:val="00582654"/>
    <w:rsid w:val="00582902"/>
    <w:rsid w:val="00582B2E"/>
    <w:rsid w:val="00582EB4"/>
    <w:rsid w:val="005830A2"/>
    <w:rsid w:val="00583F2C"/>
    <w:rsid w:val="00584187"/>
    <w:rsid w:val="00584255"/>
    <w:rsid w:val="00585065"/>
    <w:rsid w:val="005850EE"/>
    <w:rsid w:val="005854C1"/>
    <w:rsid w:val="00585878"/>
    <w:rsid w:val="00585A28"/>
    <w:rsid w:val="00585AE6"/>
    <w:rsid w:val="00585F2A"/>
    <w:rsid w:val="005861E0"/>
    <w:rsid w:val="00586432"/>
    <w:rsid w:val="00587216"/>
    <w:rsid w:val="00587388"/>
    <w:rsid w:val="00590256"/>
    <w:rsid w:val="00592465"/>
    <w:rsid w:val="00593852"/>
    <w:rsid w:val="005944E5"/>
    <w:rsid w:val="00594CB8"/>
    <w:rsid w:val="00595149"/>
    <w:rsid w:val="00595296"/>
    <w:rsid w:val="00595376"/>
    <w:rsid w:val="005953B0"/>
    <w:rsid w:val="00595579"/>
    <w:rsid w:val="0059557D"/>
    <w:rsid w:val="0059578A"/>
    <w:rsid w:val="00595848"/>
    <w:rsid w:val="00596C72"/>
    <w:rsid w:val="005A0757"/>
    <w:rsid w:val="005A0842"/>
    <w:rsid w:val="005A0F3C"/>
    <w:rsid w:val="005A114C"/>
    <w:rsid w:val="005A1B65"/>
    <w:rsid w:val="005A2B25"/>
    <w:rsid w:val="005A41AB"/>
    <w:rsid w:val="005A4CBB"/>
    <w:rsid w:val="005A5B21"/>
    <w:rsid w:val="005A5E86"/>
    <w:rsid w:val="005A6D6F"/>
    <w:rsid w:val="005A6F0E"/>
    <w:rsid w:val="005A7994"/>
    <w:rsid w:val="005AD6BD"/>
    <w:rsid w:val="005B0038"/>
    <w:rsid w:val="005B099E"/>
    <w:rsid w:val="005B0C19"/>
    <w:rsid w:val="005B0CD5"/>
    <w:rsid w:val="005B1C3F"/>
    <w:rsid w:val="005B26F5"/>
    <w:rsid w:val="005B3509"/>
    <w:rsid w:val="005B4D99"/>
    <w:rsid w:val="005B5F46"/>
    <w:rsid w:val="005B7167"/>
    <w:rsid w:val="005B776C"/>
    <w:rsid w:val="005C0A20"/>
    <w:rsid w:val="005C1057"/>
    <w:rsid w:val="005C1489"/>
    <w:rsid w:val="005C16B8"/>
    <w:rsid w:val="005C1F22"/>
    <w:rsid w:val="005C30DF"/>
    <w:rsid w:val="005C31ED"/>
    <w:rsid w:val="005C3847"/>
    <w:rsid w:val="005C3B69"/>
    <w:rsid w:val="005C3DF5"/>
    <w:rsid w:val="005C57CC"/>
    <w:rsid w:val="005C5F7F"/>
    <w:rsid w:val="005C6EB7"/>
    <w:rsid w:val="005C7498"/>
    <w:rsid w:val="005D0F5D"/>
    <w:rsid w:val="005D1055"/>
    <w:rsid w:val="005D14AA"/>
    <w:rsid w:val="005D1D13"/>
    <w:rsid w:val="005D2803"/>
    <w:rsid w:val="005D32A1"/>
    <w:rsid w:val="005D32CF"/>
    <w:rsid w:val="005D3E6C"/>
    <w:rsid w:val="005D3EC9"/>
    <w:rsid w:val="005D3FA8"/>
    <w:rsid w:val="005D48DD"/>
    <w:rsid w:val="005D4B99"/>
    <w:rsid w:val="005D4F3C"/>
    <w:rsid w:val="005D52E1"/>
    <w:rsid w:val="005D5EF6"/>
    <w:rsid w:val="005D68DA"/>
    <w:rsid w:val="005D6BEB"/>
    <w:rsid w:val="005D72EE"/>
    <w:rsid w:val="005E01FF"/>
    <w:rsid w:val="005E0349"/>
    <w:rsid w:val="005E095E"/>
    <w:rsid w:val="005E0A84"/>
    <w:rsid w:val="005E0EF7"/>
    <w:rsid w:val="005E10AE"/>
    <w:rsid w:val="005E2329"/>
    <w:rsid w:val="005E25E2"/>
    <w:rsid w:val="005E25FD"/>
    <w:rsid w:val="005E2BA8"/>
    <w:rsid w:val="005E2C41"/>
    <w:rsid w:val="005E3226"/>
    <w:rsid w:val="005E3228"/>
    <w:rsid w:val="005E4012"/>
    <w:rsid w:val="005E4B69"/>
    <w:rsid w:val="005E4EA6"/>
    <w:rsid w:val="005E571C"/>
    <w:rsid w:val="005E5AF1"/>
    <w:rsid w:val="005E5C3A"/>
    <w:rsid w:val="005E5E0F"/>
    <w:rsid w:val="005E603A"/>
    <w:rsid w:val="005E66FA"/>
    <w:rsid w:val="005E71F1"/>
    <w:rsid w:val="005E797E"/>
    <w:rsid w:val="005F09E2"/>
    <w:rsid w:val="005F0CF6"/>
    <w:rsid w:val="005F1DBD"/>
    <w:rsid w:val="005F2381"/>
    <w:rsid w:val="005F2679"/>
    <w:rsid w:val="005F2951"/>
    <w:rsid w:val="005F4FC3"/>
    <w:rsid w:val="005F5EFC"/>
    <w:rsid w:val="005F5F3C"/>
    <w:rsid w:val="005F63A3"/>
    <w:rsid w:val="005F6469"/>
    <w:rsid w:val="005F66F2"/>
    <w:rsid w:val="005F698B"/>
    <w:rsid w:val="005F6F4E"/>
    <w:rsid w:val="005F6F65"/>
    <w:rsid w:val="005F73CA"/>
    <w:rsid w:val="006002B7"/>
    <w:rsid w:val="00600FBF"/>
    <w:rsid w:val="00601442"/>
    <w:rsid w:val="00601979"/>
    <w:rsid w:val="006024AB"/>
    <w:rsid w:val="006028A6"/>
    <w:rsid w:val="00602BD5"/>
    <w:rsid w:val="00602E3F"/>
    <w:rsid w:val="00603155"/>
    <w:rsid w:val="00603AE3"/>
    <w:rsid w:val="006046DE"/>
    <w:rsid w:val="006047A6"/>
    <w:rsid w:val="006067C0"/>
    <w:rsid w:val="00606831"/>
    <w:rsid w:val="00606AF7"/>
    <w:rsid w:val="00606CE1"/>
    <w:rsid w:val="00607030"/>
    <w:rsid w:val="0060727A"/>
    <w:rsid w:val="00607B30"/>
    <w:rsid w:val="006110FB"/>
    <w:rsid w:val="0061127E"/>
    <w:rsid w:val="006114E7"/>
    <w:rsid w:val="006116DA"/>
    <w:rsid w:val="0061311E"/>
    <w:rsid w:val="00613693"/>
    <w:rsid w:val="00613E50"/>
    <w:rsid w:val="006153FF"/>
    <w:rsid w:val="006154C4"/>
    <w:rsid w:val="0061580D"/>
    <w:rsid w:val="00616378"/>
    <w:rsid w:val="00616627"/>
    <w:rsid w:val="00617A7B"/>
    <w:rsid w:val="00617D20"/>
    <w:rsid w:val="00617EFE"/>
    <w:rsid w:val="0062191A"/>
    <w:rsid w:val="006219DF"/>
    <w:rsid w:val="00621B40"/>
    <w:rsid w:val="00621EB5"/>
    <w:rsid w:val="006223A8"/>
    <w:rsid w:val="00622741"/>
    <w:rsid w:val="00622E4B"/>
    <w:rsid w:val="00622E6C"/>
    <w:rsid w:val="00622EDB"/>
    <w:rsid w:val="006234B5"/>
    <w:rsid w:val="00623534"/>
    <w:rsid w:val="00623B92"/>
    <w:rsid w:val="006263DA"/>
    <w:rsid w:val="006266EA"/>
    <w:rsid w:val="00626E43"/>
    <w:rsid w:val="00627D4E"/>
    <w:rsid w:val="006309BF"/>
    <w:rsid w:val="00630BED"/>
    <w:rsid w:val="00630F45"/>
    <w:rsid w:val="00630FBA"/>
    <w:rsid w:val="00631467"/>
    <w:rsid w:val="006330BB"/>
    <w:rsid w:val="00633291"/>
    <w:rsid w:val="0063369E"/>
    <w:rsid w:val="006337BA"/>
    <w:rsid w:val="00633E97"/>
    <w:rsid w:val="00634F7F"/>
    <w:rsid w:val="006351CE"/>
    <w:rsid w:val="00635F62"/>
    <w:rsid w:val="00636290"/>
    <w:rsid w:val="006362B9"/>
    <w:rsid w:val="0063669C"/>
    <w:rsid w:val="00636B5C"/>
    <w:rsid w:val="006375C2"/>
    <w:rsid w:val="00637610"/>
    <w:rsid w:val="00640E17"/>
    <w:rsid w:val="006411B5"/>
    <w:rsid w:val="006418F8"/>
    <w:rsid w:val="00641E87"/>
    <w:rsid w:val="00642195"/>
    <w:rsid w:val="00643DD9"/>
    <w:rsid w:val="00643F19"/>
    <w:rsid w:val="00644919"/>
    <w:rsid w:val="0064499E"/>
    <w:rsid w:val="00645BC3"/>
    <w:rsid w:val="00645F3F"/>
    <w:rsid w:val="00646486"/>
    <w:rsid w:val="00646A46"/>
    <w:rsid w:val="00646F2B"/>
    <w:rsid w:val="00646FB9"/>
    <w:rsid w:val="00650808"/>
    <w:rsid w:val="006511BF"/>
    <w:rsid w:val="00651294"/>
    <w:rsid w:val="00653913"/>
    <w:rsid w:val="00653A97"/>
    <w:rsid w:val="00654789"/>
    <w:rsid w:val="006555CD"/>
    <w:rsid w:val="006557DC"/>
    <w:rsid w:val="00657A9E"/>
    <w:rsid w:val="0066093A"/>
    <w:rsid w:val="00661367"/>
    <w:rsid w:val="00661535"/>
    <w:rsid w:val="0066156D"/>
    <w:rsid w:val="006617A7"/>
    <w:rsid w:val="00662821"/>
    <w:rsid w:val="00662897"/>
    <w:rsid w:val="00662DBD"/>
    <w:rsid w:val="00662DC4"/>
    <w:rsid w:val="0066325A"/>
    <w:rsid w:val="00663B97"/>
    <w:rsid w:val="006640BB"/>
    <w:rsid w:val="006640EE"/>
    <w:rsid w:val="00664513"/>
    <w:rsid w:val="006648FB"/>
    <w:rsid w:val="006650F3"/>
    <w:rsid w:val="00665493"/>
    <w:rsid w:val="006655F7"/>
    <w:rsid w:val="00665A5E"/>
    <w:rsid w:val="00665FDC"/>
    <w:rsid w:val="00666F43"/>
    <w:rsid w:val="006677F8"/>
    <w:rsid w:val="00667909"/>
    <w:rsid w:val="00667C67"/>
    <w:rsid w:val="00671011"/>
    <w:rsid w:val="0067189E"/>
    <w:rsid w:val="006718C8"/>
    <w:rsid w:val="0067229A"/>
    <w:rsid w:val="006726E6"/>
    <w:rsid w:val="00672727"/>
    <w:rsid w:val="0067307B"/>
    <w:rsid w:val="00673329"/>
    <w:rsid w:val="00673534"/>
    <w:rsid w:val="0067359C"/>
    <w:rsid w:val="006737EF"/>
    <w:rsid w:val="00673A91"/>
    <w:rsid w:val="00673F3A"/>
    <w:rsid w:val="00674D67"/>
    <w:rsid w:val="00674D9B"/>
    <w:rsid w:val="0067674F"/>
    <w:rsid w:val="00676DCD"/>
    <w:rsid w:val="00677741"/>
    <w:rsid w:val="00677EC3"/>
    <w:rsid w:val="00680258"/>
    <w:rsid w:val="00682088"/>
    <w:rsid w:val="006828D2"/>
    <w:rsid w:val="00682935"/>
    <w:rsid w:val="00682CFE"/>
    <w:rsid w:val="00683132"/>
    <w:rsid w:val="0068341F"/>
    <w:rsid w:val="006836E6"/>
    <w:rsid w:val="006838AB"/>
    <w:rsid w:val="00683D38"/>
    <w:rsid w:val="00683F7B"/>
    <w:rsid w:val="0068440E"/>
    <w:rsid w:val="006849DA"/>
    <w:rsid w:val="00685A2C"/>
    <w:rsid w:val="00685B44"/>
    <w:rsid w:val="00685F71"/>
    <w:rsid w:val="0068600A"/>
    <w:rsid w:val="00687699"/>
    <w:rsid w:val="006878C7"/>
    <w:rsid w:val="00687DA9"/>
    <w:rsid w:val="00690891"/>
    <w:rsid w:val="006912C7"/>
    <w:rsid w:val="00692BDF"/>
    <w:rsid w:val="00693237"/>
    <w:rsid w:val="00693320"/>
    <w:rsid w:val="00693FE1"/>
    <w:rsid w:val="00693FFB"/>
    <w:rsid w:val="006943C8"/>
    <w:rsid w:val="0069483E"/>
    <w:rsid w:val="0069608A"/>
    <w:rsid w:val="006969B9"/>
    <w:rsid w:val="00696AE2"/>
    <w:rsid w:val="00696F75"/>
    <w:rsid w:val="006970FC"/>
    <w:rsid w:val="0069766C"/>
    <w:rsid w:val="0069791F"/>
    <w:rsid w:val="006A06AE"/>
    <w:rsid w:val="006A1B23"/>
    <w:rsid w:val="006A20E4"/>
    <w:rsid w:val="006A223A"/>
    <w:rsid w:val="006A250A"/>
    <w:rsid w:val="006A2A2A"/>
    <w:rsid w:val="006A30E5"/>
    <w:rsid w:val="006A38B9"/>
    <w:rsid w:val="006A3951"/>
    <w:rsid w:val="006A448B"/>
    <w:rsid w:val="006A540F"/>
    <w:rsid w:val="006A54A7"/>
    <w:rsid w:val="006A6399"/>
    <w:rsid w:val="006A6751"/>
    <w:rsid w:val="006A6CAE"/>
    <w:rsid w:val="006A7885"/>
    <w:rsid w:val="006A7922"/>
    <w:rsid w:val="006A7CEB"/>
    <w:rsid w:val="006B0259"/>
    <w:rsid w:val="006B1700"/>
    <w:rsid w:val="006B2034"/>
    <w:rsid w:val="006B23F4"/>
    <w:rsid w:val="006B2568"/>
    <w:rsid w:val="006B3252"/>
    <w:rsid w:val="006B32A4"/>
    <w:rsid w:val="006B34BB"/>
    <w:rsid w:val="006B467A"/>
    <w:rsid w:val="006B6965"/>
    <w:rsid w:val="006B6F4E"/>
    <w:rsid w:val="006B70D2"/>
    <w:rsid w:val="006B71D0"/>
    <w:rsid w:val="006C003D"/>
    <w:rsid w:val="006C047D"/>
    <w:rsid w:val="006C0927"/>
    <w:rsid w:val="006C0973"/>
    <w:rsid w:val="006C0A3D"/>
    <w:rsid w:val="006C0F46"/>
    <w:rsid w:val="006C15AA"/>
    <w:rsid w:val="006C1659"/>
    <w:rsid w:val="006C1C6E"/>
    <w:rsid w:val="006C20DB"/>
    <w:rsid w:val="006C42CF"/>
    <w:rsid w:val="006C475F"/>
    <w:rsid w:val="006C4AAF"/>
    <w:rsid w:val="006C53B8"/>
    <w:rsid w:val="006C5E3A"/>
    <w:rsid w:val="006C6CE2"/>
    <w:rsid w:val="006C72FA"/>
    <w:rsid w:val="006D13B2"/>
    <w:rsid w:val="006D1579"/>
    <w:rsid w:val="006D18D3"/>
    <w:rsid w:val="006D235A"/>
    <w:rsid w:val="006D28EF"/>
    <w:rsid w:val="006D2933"/>
    <w:rsid w:val="006D2A00"/>
    <w:rsid w:val="006D3989"/>
    <w:rsid w:val="006D3D9E"/>
    <w:rsid w:val="006D3FB8"/>
    <w:rsid w:val="006D43FA"/>
    <w:rsid w:val="006D44EA"/>
    <w:rsid w:val="006D5977"/>
    <w:rsid w:val="006D65F3"/>
    <w:rsid w:val="006D667E"/>
    <w:rsid w:val="006D6F9A"/>
    <w:rsid w:val="006D70B5"/>
    <w:rsid w:val="006E01A0"/>
    <w:rsid w:val="006E0A90"/>
    <w:rsid w:val="006E0E20"/>
    <w:rsid w:val="006E1B7F"/>
    <w:rsid w:val="006E20C6"/>
    <w:rsid w:val="006E2AB4"/>
    <w:rsid w:val="006E37E5"/>
    <w:rsid w:val="006E38A2"/>
    <w:rsid w:val="006E3D17"/>
    <w:rsid w:val="006E4267"/>
    <w:rsid w:val="006E4692"/>
    <w:rsid w:val="006E48A2"/>
    <w:rsid w:val="006E4EA1"/>
    <w:rsid w:val="006E5273"/>
    <w:rsid w:val="006E529A"/>
    <w:rsid w:val="006E5472"/>
    <w:rsid w:val="006E637F"/>
    <w:rsid w:val="006E7951"/>
    <w:rsid w:val="006E7A87"/>
    <w:rsid w:val="006E7B03"/>
    <w:rsid w:val="006F18EC"/>
    <w:rsid w:val="006F1DCD"/>
    <w:rsid w:val="006F1F64"/>
    <w:rsid w:val="006F253E"/>
    <w:rsid w:val="006F2D41"/>
    <w:rsid w:val="006F3EC6"/>
    <w:rsid w:val="006F4321"/>
    <w:rsid w:val="006F5609"/>
    <w:rsid w:val="006F5C9F"/>
    <w:rsid w:val="006F5FB8"/>
    <w:rsid w:val="006F602C"/>
    <w:rsid w:val="006F6092"/>
    <w:rsid w:val="006F613F"/>
    <w:rsid w:val="006F624F"/>
    <w:rsid w:val="006F7893"/>
    <w:rsid w:val="006F7EA9"/>
    <w:rsid w:val="007001F4"/>
    <w:rsid w:val="00700A2F"/>
    <w:rsid w:val="007026C2"/>
    <w:rsid w:val="007032BF"/>
    <w:rsid w:val="00703545"/>
    <w:rsid w:val="00703CC2"/>
    <w:rsid w:val="00704039"/>
    <w:rsid w:val="0070439D"/>
    <w:rsid w:val="00704481"/>
    <w:rsid w:val="00704F2F"/>
    <w:rsid w:val="00705510"/>
    <w:rsid w:val="00706B31"/>
    <w:rsid w:val="007072B8"/>
    <w:rsid w:val="007074C8"/>
    <w:rsid w:val="00707621"/>
    <w:rsid w:val="00710184"/>
    <w:rsid w:val="0071034B"/>
    <w:rsid w:val="00710FE6"/>
    <w:rsid w:val="007110D4"/>
    <w:rsid w:val="0071128C"/>
    <w:rsid w:val="00712121"/>
    <w:rsid w:val="007123B4"/>
    <w:rsid w:val="00712588"/>
    <w:rsid w:val="0071314B"/>
    <w:rsid w:val="0071389C"/>
    <w:rsid w:val="00713BD9"/>
    <w:rsid w:val="00714E50"/>
    <w:rsid w:val="007156B2"/>
    <w:rsid w:val="007162C6"/>
    <w:rsid w:val="00716643"/>
    <w:rsid w:val="00716C5C"/>
    <w:rsid w:val="00716DBE"/>
    <w:rsid w:val="007179DF"/>
    <w:rsid w:val="007204CC"/>
    <w:rsid w:val="00720B19"/>
    <w:rsid w:val="0072181E"/>
    <w:rsid w:val="00723564"/>
    <w:rsid w:val="00723D64"/>
    <w:rsid w:val="00724300"/>
    <w:rsid w:val="00724DBC"/>
    <w:rsid w:val="00724DC6"/>
    <w:rsid w:val="00725C23"/>
    <w:rsid w:val="00725FB7"/>
    <w:rsid w:val="0072649E"/>
    <w:rsid w:val="007267BA"/>
    <w:rsid w:val="00726EC2"/>
    <w:rsid w:val="00727133"/>
    <w:rsid w:val="007271A6"/>
    <w:rsid w:val="00727854"/>
    <w:rsid w:val="00727AE8"/>
    <w:rsid w:val="00731275"/>
    <w:rsid w:val="00732079"/>
    <w:rsid w:val="007325F7"/>
    <w:rsid w:val="00732CEE"/>
    <w:rsid w:val="007333F0"/>
    <w:rsid w:val="00733402"/>
    <w:rsid w:val="00733D8F"/>
    <w:rsid w:val="00734D7D"/>
    <w:rsid w:val="0073570B"/>
    <w:rsid w:val="00735A27"/>
    <w:rsid w:val="0073611C"/>
    <w:rsid w:val="007364A4"/>
    <w:rsid w:val="00737048"/>
    <w:rsid w:val="00737FCE"/>
    <w:rsid w:val="00740344"/>
    <w:rsid w:val="007408CF"/>
    <w:rsid w:val="0074260E"/>
    <w:rsid w:val="007426CB"/>
    <w:rsid w:val="00743661"/>
    <w:rsid w:val="007449D3"/>
    <w:rsid w:val="00745F0D"/>
    <w:rsid w:val="00746663"/>
    <w:rsid w:val="00746A10"/>
    <w:rsid w:val="00746CAA"/>
    <w:rsid w:val="00746F9F"/>
    <w:rsid w:val="00747A18"/>
    <w:rsid w:val="00747B60"/>
    <w:rsid w:val="00747B91"/>
    <w:rsid w:val="007517B3"/>
    <w:rsid w:val="007519F8"/>
    <w:rsid w:val="007521F5"/>
    <w:rsid w:val="007525FD"/>
    <w:rsid w:val="00752C07"/>
    <w:rsid w:val="00752FAF"/>
    <w:rsid w:val="00754A3B"/>
    <w:rsid w:val="00754BD6"/>
    <w:rsid w:val="007557B8"/>
    <w:rsid w:val="007560F2"/>
    <w:rsid w:val="0075680D"/>
    <w:rsid w:val="00756E1E"/>
    <w:rsid w:val="00756E4C"/>
    <w:rsid w:val="00756E4E"/>
    <w:rsid w:val="00756F74"/>
    <w:rsid w:val="007578FA"/>
    <w:rsid w:val="00757F77"/>
    <w:rsid w:val="00758A85"/>
    <w:rsid w:val="0076023E"/>
    <w:rsid w:val="0076083D"/>
    <w:rsid w:val="00760BF0"/>
    <w:rsid w:val="00760FB8"/>
    <w:rsid w:val="00761B3E"/>
    <w:rsid w:val="00761DA8"/>
    <w:rsid w:val="00761EDD"/>
    <w:rsid w:val="007620B1"/>
    <w:rsid w:val="007623D3"/>
    <w:rsid w:val="00762FBE"/>
    <w:rsid w:val="007632B1"/>
    <w:rsid w:val="00763452"/>
    <w:rsid w:val="0076350F"/>
    <w:rsid w:val="00763FEF"/>
    <w:rsid w:val="00764AD2"/>
    <w:rsid w:val="00764F06"/>
    <w:rsid w:val="00765A07"/>
    <w:rsid w:val="00765E8F"/>
    <w:rsid w:val="00766182"/>
    <w:rsid w:val="007664F9"/>
    <w:rsid w:val="00766E7A"/>
    <w:rsid w:val="00767769"/>
    <w:rsid w:val="007677C8"/>
    <w:rsid w:val="007677CF"/>
    <w:rsid w:val="00767FBF"/>
    <w:rsid w:val="00770056"/>
    <w:rsid w:val="0077029A"/>
    <w:rsid w:val="00770335"/>
    <w:rsid w:val="007717E8"/>
    <w:rsid w:val="00771A96"/>
    <w:rsid w:val="00771BDC"/>
    <w:rsid w:val="00771D36"/>
    <w:rsid w:val="007728E7"/>
    <w:rsid w:val="00772AB2"/>
    <w:rsid w:val="00772E30"/>
    <w:rsid w:val="0077338E"/>
    <w:rsid w:val="007734D3"/>
    <w:rsid w:val="007736CE"/>
    <w:rsid w:val="00773D0B"/>
    <w:rsid w:val="00773DC1"/>
    <w:rsid w:val="0077435D"/>
    <w:rsid w:val="007748A6"/>
    <w:rsid w:val="007748F7"/>
    <w:rsid w:val="00774AA4"/>
    <w:rsid w:val="00774F53"/>
    <w:rsid w:val="007753BF"/>
    <w:rsid w:val="00776496"/>
    <w:rsid w:val="00777442"/>
    <w:rsid w:val="00777540"/>
    <w:rsid w:val="007777A9"/>
    <w:rsid w:val="00777906"/>
    <w:rsid w:val="00777A9E"/>
    <w:rsid w:val="00780122"/>
    <w:rsid w:val="0078086C"/>
    <w:rsid w:val="007811F0"/>
    <w:rsid w:val="00781204"/>
    <w:rsid w:val="00781BED"/>
    <w:rsid w:val="00782461"/>
    <w:rsid w:val="00782577"/>
    <w:rsid w:val="007825DB"/>
    <w:rsid w:val="00782F12"/>
    <w:rsid w:val="00783931"/>
    <w:rsid w:val="00784AE6"/>
    <w:rsid w:val="00784BF5"/>
    <w:rsid w:val="00784C84"/>
    <w:rsid w:val="00785183"/>
    <w:rsid w:val="00785839"/>
    <w:rsid w:val="00785AA2"/>
    <w:rsid w:val="00786046"/>
    <w:rsid w:val="00786463"/>
    <w:rsid w:val="007868FE"/>
    <w:rsid w:val="00787011"/>
    <w:rsid w:val="007871D3"/>
    <w:rsid w:val="0078727D"/>
    <w:rsid w:val="00790351"/>
    <w:rsid w:val="00790413"/>
    <w:rsid w:val="00790DB9"/>
    <w:rsid w:val="00792081"/>
    <w:rsid w:val="00792DF7"/>
    <w:rsid w:val="00793689"/>
    <w:rsid w:val="00793F03"/>
    <w:rsid w:val="007941BC"/>
    <w:rsid w:val="007943D1"/>
    <w:rsid w:val="00794557"/>
    <w:rsid w:val="00794D29"/>
    <w:rsid w:val="00794D92"/>
    <w:rsid w:val="00794FA1"/>
    <w:rsid w:val="007951DC"/>
    <w:rsid w:val="007955E0"/>
    <w:rsid w:val="007956A8"/>
    <w:rsid w:val="00796089"/>
    <w:rsid w:val="0079671C"/>
    <w:rsid w:val="00796F27"/>
    <w:rsid w:val="007A02D5"/>
    <w:rsid w:val="007A0788"/>
    <w:rsid w:val="007A1706"/>
    <w:rsid w:val="007A19FA"/>
    <w:rsid w:val="007A1C6A"/>
    <w:rsid w:val="007A25E3"/>
    <w:rsid w:val="007A39E4"/>
    <w:rsid w:val="007A4461"/>
    <w:rsid w:val="007A4E95"/>
    <w:rsid w:val="007A6C84"/>
    <w:rsid w:val="007A6E73"/>
    <w:rsid w:val="007A6E7C"/>
    <w:rsid w:val="007A6F0E"/>
    <w:rsid w:val="007A6FAC"/>
    <w:rsid w:val="007A7056"/>
    <w:rsid w:val="007B03BA"/>
    <w:rsid w:val="007B07DE"/>
    <w:rsid w:val="007B125A"/>
    <w:rsid w:val="007B1877"/>
    <w:rsid w:val="007B1DCE"/>
    <w:rsid w:val="007B2248"/>
    <w:rsid w:val="007B3A33"/>
    <w:rsid w:val="007B482A"/>
    <w:rsid w:val="007B4AA8"/>
    <w:rsid w:val="007B5947"/>
    <w:rsid w:val="007B6E71"/>
    <w:rsid w:val="007B70E2"/>
    <w:rsid w:val="007C01DC"/>
    <w:rsid w:val="007C0418"/>
    <w:rsid w:val="007C0777"/>
    <w:rsid w:val="007C0DA2"/>
    <w:rsid w:val="007C0E13"/>
    <w:rsid w:val="007C1171"/>
    <w:rsid w:val="007C29A9"/>
    <w:rsid w:val="007C2A0F"/>
    <w:rsid w:val="007C2B4E"/>
    <w:rsid w:val="007C310B"/>
    <w:rsid w:val="007C3880"/>
    <w:rsid w:val="007C40F4"/>
    <w:rsid w:val="007C4ADC"/>
    <w:rsid w:val="007C4E1F"/>
    <w:rsid w:val="007C5038"/>
    <w:rsid w:val="007C50EA"/>
    <w:rsid w:val="007C656D"/>
    <w:rsid w:val="007D0342"/>
    <w:rsid w:val="007D06F2"/>
    <w:rsid w:val="007D0781"/>
    <w:rsid w:val="007D0BDB"/>
    <w:rsid w:val="007D0D94"/>
    <w:rsid w:val="007D1E3C"/>
    <w:rsid w:val="007D32E1"/>
    <w:rsid w:val="007D3979"/>
    <w:rsid w:val="007D503A"/>
    <w:rsid w:val="007D60E3"/>
    <w:rsid w:val="007D630D"/>
    <w:rsid w:val="007D63A7"/>
    <w:rsid w:val="007D7076"/>
    <w:rsid w:val="007D7215"/>
    <w:rsid w:val="007D7B9A"/>
    <w:rsid w:val="007DF6E2"/>
    <w:rsid w:val="007E0473"/>
    <w:rsid w:val="007E18A7"/>
    <w:rsid w:val="007E1EC7"/>
    <w:rsid w:val="007E1ED3"/>
    <w:rsid w:val="007E204B"/>
    <w:rsid w:val="007E2AF0"/>
    <w:rsid w:val="007E2CE4"/>
    <w:rsid w:val="007E2F76"/>
    <w:rsid w:val="007E2F8E"/>
    <w:rsid w:val="007E3C2F"/>
    <w:rsid w:val="007E3F89"/>
    <w:rsid w:val="007E4595"/>
    <w:rsid w:val="007E554A"/>
    <w:rsid w:val="007E5862"/>
    <w:rsid w:val="007E5F0F"/>
    <w:rsid w:val="007E6185"/>
    <w:rsid w:val="007E666C"/>
    <w:rsid w:val="007E6E0E"/>
    <w:rsid w:val="007E73F7"/>
    <w:rsid w:val="007E76B5"/>
    <w:rsid w:val="007E7995"/>
    <w:rsid w:val="007F0412"/>
    <w:rsid w:val="007F0731"/>
    <w:rsid w:val="007F0770"/>
    <w:rsid w:val="007F0B0C"/>
    <w:rsid w:val="007F10B9"/>
    <w:rsid w:val="007F1349"/>
    <w:rsid w:val="007F2168"/>
    <w:rsid w:val="007F361F"/>
    <w:rsid w:val="007F3892"/>
    <w:rsid w:val="007F3992"/>
    <w:rsid w:val="007F5933"/>
    <w:rsid w:val="007F6072"/>
    <w:rsid w:val="007F6626"/>
    <w:rsid w:val="007F7D76"/>
    <w:rsid w:val="007F7DE6"/>
    <w:rsid w:val="007F7FF0"/>
    <w:rsid w:val="0080090F"/>
    <w:rsid w:val="0080104C"/>
    <w:rsid w:val="008014BF"/>
    <w:rsid w:val="00801666"/>
    <w:rsid w:val="00801FE8"/>
    <w:rsid w:val="008020CB"/>
    <w:rsid w:val="00802102"/>
    <w:rsid w:val="008023F2"/>
    <w:rsid w:val="008031A5"/>
    <w:rsid w:val="00803440"/>
    <w:rsid w:val="00803962"/>
    <w:rsid w:val="00803F8C"/>
    <w:rsid w:val="00804828"/>
    <w:rsid w:val="00804B69"/>
    <w:rsid w:val="00804E9E"/>
    <w:rsid w:val="00804F2F"/>
    <w:rsid w:val="008051DA"/>
    <w:rsid w:val="00805409"/>
    <w:rsid w:val="00805468"/>
    <w:rsid w:val="00805FA1"/>
    <w:rsid w:val="00806948"/>
    <w:rsid w:val="00807355"/>
    <w:rsid w:val="0080798D"/>
    <w:rsid w:val="00807BD9"/>
    <w:rsid w:val="00807C2D"/>
    <w:rsid w:val="00810001"/>
    <w:rsid w:val="008101E5"/>
    <w:rsid w:val="00810A03"/>
    <w:rsid w:val="00810C68"/>
    <w:rsid w:val="00810F2D"/>
    <w:rsid w:val="00810FF7"/>
    <w:rsid w:val="00811161"/>
    <w:rsid w:val="008111A5"/>
    <w:rsid w:val="00811A1D"/>
    <w:rsid w:val="00812547"/>
    <w:rsid w:val="00812B77"/>
    <w:rsid w:val="00812BB8"/>
    <w:rsid w:val="00812F82"/>
    <w:rsid w:val="00813595"/>
    <w:rsid w:val="00813C92"/>
    <w:rsid w:val="00813E54"/>
    <w:rsid w:val="008140DA"/>
    <w:rsid w:val="008144F3"/>
    <w:rsid w:val="00814535"/>
    <w:rsid w:val="00814A9A"/>
    <w:rsid w:val="0081540B"/>
    <w:rsid w:val="00816C33"/>
    <w:rsid w:val="0082040A"/>
    <w:rsid w:val="00820668"/>
    <w:rsid w:val="008209C6"/>
    <w:rsid w:val="00820B9B"/>
    <w:rsid w:val="00820BAD"/>
    <w:rsid w:val="00820C0F"/>
    <w:rsid w:val="00820C37"/>
    <w:rsid w:val="00821081"/>
    <w:rsid w:val="00821341"/>
    <w:rsid w:val="008214BA"/>
    <w:rsid w:val="00821C9B"/>
    <w:rsid w:val="00821FC8"/>
    <w:rsid w:val="00822944"/>
    <w:rsid w:val="00823285"/>
    <w:rsid w:val="00823E67"/>
    <w:rsid w:val="008240C9"/>
    <w:rsid w:val="0082435B"/>
    <w:rsid w:val="00824F0F"/>
    <w:rsid w:val="008255C9"/>
    <w:rsid w:val="00825C41"/>
    <w:rsid w:val="00826496"/>
    <w:rsid w:val="00826AA9"/>
    <w:rsid w:val="00826BCC"/>
    <w:rsid w:val="0082723A"/>
    <w:rsid w:val="008272BB"/>
    <w:rsid w:val="008276FC"/>
    <w:rsid w:val="00827762"/>
    <w:rsid w:val="00827877"/>
    <w:rsid w:val="00827D6F"/>
    <w:rsid w:val="0083097D"/>
    <w:rsid w:val="008309B9"/>
    <w:rsid w:val="00830F20"/>
    <w:rsid w:val="008310D6"/>
    <w:rsid w:val="008321F1"/>
    <w:rsid w:val="00832612"/>
    <w:rsid w:val="008326BA"/>
    <w:rsid w:val="008328A5"/>
    <w:rsid w:val="008333C6"/>
    <w:rsid w:val="0083365B"/>
    <w:rsid w:val="008336EE"/>
    <w:rsid w:val="00833E72"/>
    <w:rsid w:val="00833F0C"/>
    <w:rsid w:val="008377B2"/>
    <w:rsid w:val="00837A99"/>
    <w:rsid w:val="00837D55"/>
    <w:rsid w:val="008405C6"/>
    <w:rsid w:val="00840C5F"/>
    <w:rsid w:val="00841A88"/>
    <w:rsid w:val="00841E63"/>
    <w:rsid w:val="00843238"/>
    <w:rsid w:val="008438A7"/>
    <w:rsid w:val="00844162"/>
    <w:rsid w:val="00844EAC"/>
    <w:rsid w:val="008452C2"/>
    <w:rsid w:val="00845687"/>
    <w:rsid w:val="00845AD1"/>
    <w:rsid w:val="008464FF"/>
    <w:rsid w:val="00851198"/>
    <w:rsid w:val="00852395"/>
    <w:rsid w:val="00852E0B"/>
    <w:rsid w:val="0085318A"/>
    <w:rsid w:val="0085329C"/>
    <w:rsid w:val="008535FC"/>
    <w:rsid w:val="008536C4"/>
    <w:rsid w:val="00854154"/>
    <w:rsid w:val="00854E38"/>
    <w:rsid w:val="00855CD1"/>
    <w:rsid w:val="0085649F"/>
    <w:rsid w:val="008565F9"/>
    <w:rsid w:val="00857EBE"/>
    <w:rsid w:val="0086279B"/>
    <w:rsid w:val="00863B03"/>
    <w:rsid w:val="008642EA"/>
    <w:rsid w:val="0086446D"/>
    <w:rsid w:val="0086465A"/>
    <w:rsid w:val="00864665"/>
    <w:rsid w:val="00864784"/>
    <w:rsid w:val="00864D4B"/>
    <w:rsid w:val="0086546B"/>
    <w:rsid w:val="00865481"/>
    <w:rsid w:val="00865515"/>
    <w:rsid w:val="008659A3"/>
    <w:rsid w:val="00866D1A"/>
    <w:rsid w:val="00866D9F"/>
    <w:rsid w:val="00867D02"/>
    <w:rsid w:val="00870013"/>
    <w:rsid w:val="00870493"/>
    <w:rsid w:val="0087075A"/>
    <w:rsid w:val="00872A49"/>
    <w:rsid w:val="00872C96"/>
    <w:rsid w:val="00872D21"/>
    <w:rsid w:val="0087334B"/>
    <w:rsid w:val="00873674"/>
    <w:rsid w:val="00873748"/>
    <w:rsid w:val="00873806"/>
    <w:rsid w:val="00873AB7"/>
    <w:rsid w:val="00874140"/>
    <w:rsid w:val="00874C5E"/>
    <w:rsid w:val="0087509C"/>
    <w:rsid w:val="0087548D"/>
    <w:rsid w:val="00875747"/>
    <w:rsid w:val="008762F8"/>
    <w:rsid w:val="00876A11"/>
    <w:rsid w:val="00876DE3"/>
    <w:rsid w:val="00880C30"/>
    <w:rsid w:val="00881898"/>
    <w:rsid w:val="00882020"/>
    <w:rsid w:val="00882039"/>
    <w:rsid w:val="00882100"/>
    <w:rsid w:val="00882156"/>
    <w:rsid w:val="008833AD"/>
    <w:rsid w:val="008833B8"/>
    <w:rsid w:val="00883470"/>
    <w:rsid w:val="00883A57"/>
    <w:rsid w:val="00883AFA"/>
    <w:rsid w:val="00884005"/>
    <w:rsid w:val="00885284"/>
    <w:rsid w:val="00885368"/>
    <w:rsid w:val="008854FB"/>
    <w:rsid w:val="008857B4"/>
    <w:rsid w:val="00885EF6"/>
    <w:rsid w:val="00886B65"/>
    <w:rsid w:val="00887631"/>
    <w:rsid w:val="0089087A"/>
    <w:rsid w:val="00890DA4"/>
    <w:rsid w:val="00891498"/>
    <w:rsid w:val="0089182A"/>
    <w:rsid w:val="0089198D"/>
    <w:rsid w:val="00892913"/>
    <w:rsid w:val="008929D0"/>
    <w:rsid w:val="0089362D"/>
    <w:rsid w:val="008939EE"/>
    <w:rsid w:val="00894141"/>
    <w:rsid w:val="00894386"/>
    <w:rsid w:val="0089480E"/>
    <w:rsid w:val="00894FA8"/>
    <w:rsid w:val="00895F8C"/>
    <w:rsid w:val="00897370"/>
    <w:rsid w:val="008974A2"/>
    <w:rsid w:val="00897968"/>
    <w:rsid w:val="008A14B5"/>
    <w:rsid w:val="008A1910"/>
    <w:rsid w:val="008A1D91"/>
    <w:rsid w:val="008A2808"/>
    <w:rsid w:val="008A2D83"/>
    <w:rsid w:val="008A378E"/>
    <w:rsid w:val="008A3DF4"/>
    <w:rsid w:val="008A43D4"/>
    <w:rsid w:val="008A4BAC"/>
    <w:rsid w:val="008A61F7"/>
    <w:rsid w:val="008A70A0"/>
    <w:rsid w:val="008A77EB"/>
    <w:rsid w:val="008A7BA5"/>
    <w:rsid w:val="008B06A4"/>
    <w:rsid w:val="008B0D2D"/>
    <w:rsid w:val="008B1584"/>
    <w:rsid w:val="008B1F97"/>
    <w:rsid w:val="008B2942"/>
    <w:rsid w:val="008B2B98"/>
    <w:rsid w:val="008B2F26"/>
    <w:rsid w:val="008B3021"/>
    <w:rsid w:val="008B3518"/>
    <w:rsid w:val="008B435C"/>
    <w:rsid w:val="008B49CB"/>
    <w:rsid w:val="008B4EA9"/>
    <w:rsid w:val="008B4F21"/>
    <w:rsid w:val="008B5A71"/>
    <w:rsid w:val="008B5FC8"/>
    <w:rsid w:val="008B6775"/>
    <w:rsid w:val="008B7645"/>
    <w:rsid w:val="008B7781"/>
    <w:rsid w:val="008B77DD"/>
    <w:rsid w:val="008B7DD7"/>
    <w:rsid w:val="008C04B0"/>
    <w:rsid w:val="008C09C7"/>
    <w:rsid w:val="008C10FF"/>
    <w:rsid w:val="008C19B9"/>
    <w:rsid w:val="008C20D2"/>
    <w:rsid w:val="008C20D4"/>
    <w:rsid w:val="008C287F"/>
    <w:rsid w:val="008C2ACA"/>
    <w:rsid w:val="008C2F1D"/>
    <w:rsid w:val="008C32DC"/>
    <w:rsid w:val="008C351E"/>
    <w:rsid w:val="008C3D5F"/>
    <w:rsid w:val="008C4072"/>
    <w:rsid w:val="008C4ED8"/>
    <w:rsid w:val="008C5AC4"/>
    <w:rsid w:val="008C62A9"/>
    <w:rsid w:val="008C6B64"/>
    <w:rsid w:val="008C76AB"/>
    <w:rsid w:val="008C7BBF"/>
    <w:rsid w:val="008C7CBE"/>
    <w:rsid w:val="008D0823"/>
    <w:rsid w:val="008D2940"/>
    <w:rsid w:val="008D3566"/>
    <w:rsid w:val="008D3686"/>
    <w:rsid w:val="008D382C"/>
    <w:rsid w:val="008D3B54"/>
    <w:rsid w:val="008D3FDA"/>
    <w:rsid w:val="008D4B06"/>
    <w:rsid w:val="008D4D90"/>
    <w:rsid w:val="008D572A"/>
    <w:rsid w:val="008D5DCF"/>
    <w:rsid w:val="008D6905"/>
    <w:rsid w:val="008D72D6"/>
    <w:rsid w:val="008E01F7"/>
    <w:rsid w:val="008E0CA1"/>
    <w:rsid w:val="008E0E1C"/>
    <w:rsid w:val="008E16C5"/>
    <w:rsid w:val="008E1BCB"/>
    <w:rsid w:val="008E1FBB"/>
    <w:rsid w:val="008E3230"/>
    <w:rsid w:val="008E33F1"/>
    <w:rsid w:val="008E3BA4"/>
    <w:rsid w:val="008E40DB"/>
    <w:rsid w:val="008E45B8"/>
    <w:rsid w:val="008E4843"/>
    <w:rsid w:val="008E5448"/>
    <w:rsid w:val="008E588D"/>
    <w:rsid w:val="008E590D"/>
    <w:rsid w:val="008E59D4"/>
    <w:rsid w:val="008E714B"/>
    <w:rsid w:val="008E753D"/>
    <w:rsid w:val="008F065F"/>
    <w:rsid w:val="008F07F4"/>
    <w:rsid w:val="008F0AB2"/>
    <w:rsid w:val="008F1B23"/>
    <w:rsid w:val="008F24D8"/>
    <w:rsid w:val="008F3B46"/>
    <w:rsid w:val="008F3CDB"/>
    <w:rsid w:val="008F44FE"/>
    <w:rsid w:val="008F48C2"/>
    <w:rsid w:val="008F4E37"/>
    <w:rsid w:val="008F5155"/>
    <w:rsid w:val="008F548F"/>
    <w:rsid w:val="008F5CB6"/>
    <w:rsid w:val="008F65E9"/>
    <w:rsid w:val="008F675E"/>
    <w:rsid w:val="008F7137"/>
    <w:rsid w:val="008F7681"/>
    <w:rsid w:val="008F7D41"/>
    <w:rsid w:val="009002AE"/>
    <w:rsid w:val="00900C7C"/>
    <w:rsid w:val="0090144B"/>
    <w:rsid w:val="0090153B"/>
    <w:rsid w:val="0090154A"/>
    <w:rsid w:val="00901DB3"/>
    <w:rsid w:val="00902077"/>
    <w:rsid w:val="00902B48"/>
    <w:rsid w:val="00902F46"/>
    <w:rsid w:val="0090509E"/>
    <w:rsid w:val="0090512F"/>
    <w:rsid w:val="009051B0"/>
    <w:rsid w:val="00905A2D"/>
    <w:rsid w:val="0090640E"/>
    <w:rsid w:val="00906C0C"/>
    <w:rsid w:val="0091137B"/>
    <w:rsid w:val="00911A8F"/>
    <w:rsid w:val="0091278A"/>
    <w:rsid w:val="00913112"/>
    <w:rsid w:val="00913667"/>
    <w:rsid w:val="00913BEA"/>
    <w:rsid w:val="0091496E"/>
    <w:rsid w:val="00914EEF"/>
    <w:rsid w:val="00914F8A"/>
    <w:rsid w:val="009157E4"/>
    <w:rsid w:val="0091675B"/>
    <w:rsid w:val="0091710F"/>
    <w:rsid w:val="00920349"/>
    <w:rsid w:val="00920387"/>
    <w:rsid w:val="0092053E"/>
    <w:rsid w:val="009206AF"/>
    <w:rsid w:val="00920F4B"/>
    <w:rsid w:val="00921080"/>
    <w:rsid w:val="009210F4"/>
    <w:rsid w:val="0092122E"/>
    <w:rsid w:val="009214A6"/>
    <w:rsid w:val="0092159B"/>
    <w:rsid w:val="0092295B"/>
    <w:rsid w:val="009230E4"/>
    <w:rsid w:val="00923B9B"/>
    <w:rsid w:val="00923E5F"/>
    <w:rsid w:val="00925230"/>
    <w:rsid w:val="0092652D"/>
    <w:rsid w:val="009265ED"/>
    <w:rsid w:val="00926865"/>
    <w:rsid w:val="009268D2"/>
    <w:rsid w:val="00927B13"/>
    <w:rsid w:val="00927C55"/>
    <w:rsid w:val="0093041D"/>
    <w:rsid w:val="00930620"/>
    <w:rsid w:val="009308C8"/>
    <w:rsid w:val="0093158B"/>
    <w:rsid w:val="00931D6D"/>
    <w:rsid w:val="0093222C"/>
    <w:rsid w:val="0093379F"/>
    <w:rsid w:val="009337F8"/>
    <w:rsid w:val="00933B2D"/>
    <w:rsid w:val="00934E12"/>
    <w:rsid w:val="00935A6B"/>
    <w:rsid w:val="00936B53"/>
    <w:rsid w:val="00936C54"/>
    <w:rsid w:val="00936F56"/>
    <w:rsid w:val="009378FE"/>
    <w:rsid w:val="00937E5F"/>
    <w:rsid w:val="009409AE"/>
    <w:rsid w:val="00940A0B"/>
    <w:rsid w:val="009416C9"/>
    <w:rsid w:val="0094227F"/>
    <w:rsid w:val="0094255A"/>
    <w:rsid w:val="009433C1"/>
    <w:rsid w:val="009451CF"/>
    <w:rsid w:val="00945849"/>
    <w:rsid w:val="00945AD9"/>
    <w:rsid w:val="00945FAF"/>
    <w:rsid w:val="0094662A"/>
    <w:rsid w:val="009468D5"/>
    <w:rsid w:val="00946B6F"/>
    <w:rsid w:val="00946D61"/>
    <w:rsid w:val="0094776A"/>
    <w:rsid w:val="00947887"/>
    <w:rsid w:val="00947A0A"/>
    <w:rsid w:val="00950971"/>
    <w:rsid w:val="00950B09"/>
    <w:rsid w:val="00951416"/>
    <w:rsid w:val="00951C68"/>
    <w:rsid w:val="00951D11"/>
    <w:rsid w:val="0095213F"/>
    <w:rsid w:val="009524E9"/>
    <w:rsid w:val="009526BA"/>
    <w:rsid w:val="00952BD8"/>
    <w:rsid w:val="00953B66"/>
    <w:rsid w:val="00955CCB"/>
    <w:rsid w:val="00955CE4"/>
    <w:rsid w:val="0095628D"/>
    <w:rsid w:val="00956772"/>
    <w:rsid w:val="00956BE4"/>
    <w:rsid w:val="00956D8D"/>
    <w:rsid w:val="00956DA9"/>
    <w:rsid w:val="009576FC"/>
    <w:rsid w:val="00957706"/>
    <w:rsid w:val="00957D30"/>
    <w:rsid w:val="00960482"/>
    <w:rsid w:val="0096070D"/>
    <w:rsid w:val="00960E50"/>
    <w:rsid w:val="009613F6"/>
    <w:rsid w:val="009615BC"/>
    <w:rsid w:val="00961D33"/>
    <w:rsid w:val="009624C4"/>
    <w:rsid w:val="00962721"/>
    <w:rsid w:val="009632DB"/>
    <w:rsid w:val="00963AF9"/>
    <w:rsid w:val="00963D01"/>
    <w:rsid w:val="0096405C"/>
    <w:rsid w:val="00964A14"/>
    <w:rsid w:val="0096543D"/>
    <w:rsid w:val="009654C2"/>
    <w:rsid w:val="00965948"/>
    <w:rsid w:val="00966171"/>
    <w:rsid w:val="009669E0"/>
    <w:rsid w:val="00966A14"/>
    <w:rsid w:val="00966E2B"/>
    <w:rsid w:val="0096743C"/>
    <w:rsid w:val="009677CE"/>
    <w:rsid w:val="00967D0C"/>
    <w:rsid w:val="0097019A"/>
    <w:rsid w:val="00970D12"/>
    <w:rsid w:val="00970F90"/>
    <w:rsid w:val="00971BB0"/>
    <w:rsid w:val="009725D4"/>
    <w:rsid w:val="00972CF5"/>
    <w:rsid w:val="00973B2C"/>
    <w:rsid w:val="00974010"/>
    <w:rsid w:val="0097420D"/>
    <w:rsid w:val="009747FF"/>
    <w:rsid w:val="00974EE3"/>
    <w:rsid w:val="0097543F"/>
    <w:rsid w:val="00975887"/>
    <w:rsid w:val="00975C4E"/>
    <w:rsid w:val="00976FD1"/>
    <w:rsid w:val="009779A3"/>
    <w:rsid w:val="009802F5"/>
    <w:rsid w:val="00980B70"/>
    <w:rsid w:val="00980D61"/>
    <w:rsid w:val="00981103"/>
    <w:rsid w:val="0098140C"/>
    <w:rsid w:val="00981459"/>
    <w:rsid w:val="009814D5"/>
    <w:rsid w:val="00981613"/>
    <w:rsid w:val="0098295D"/>
    <w:rsid w:val="00982D70"/>
    <w:rsid w:val="00982FB5"/>
    <w:rsid w:val="009839A7"/>
    <w:rsid w:val="00983CF1"/>
    <w:rsid w:val="00983D80"/>
    <w:rsid w:val="009840CF"/>
    <w:rsid w:val="00986044"/>
    <w:rsid w:val="009867F7"/>
    <w:rsid w:val="00987024"/>
    <w:rsid w:val="0098721B"/>
    <w:rsid w:val="00987C52"/>
    <w:rsid w:val="009904A4"/>
    <w:rsid w:val="00990C44"/>
    <w:rsid w:val="00990ED6"/>
    <w:rsid w:val="00991B56"/>
    <w:rsid w:val="009922CA"/>
    <w:rsid w:val="00992518"/>
    <w:rsid w:val="009934D3"/>
    <w:rsid w:val="00993F48"/>
    <w:rsid w:val="00994D1C"/>
    <w:rsid w:val="00994F87"/>
    <w:rsid w:val="00995845"/>
    <w:rsid w:val="00995FD1"/>
    <w:rsid w:val="009966B4"/>
    <w:rsid w:val="00996737"/>
    <w:rsid w:val="00996BAF"/>
    <w:rsid w:val="00996E00"/>
    <w:rsid w:val="009973EC"/>
    <w:rsid w:val="00997F78"/>
    <w:rsid w:val="009A02AE"/>
    <w:rsid w:val="009A048C"/>
    <w:rsid w:val="009A08B9"/>
    <w:rsid w:val="009A0961"/>
    <w:rsid w:val="009A09B2"/>
    <w:rsid w:val="009A0C78"/>
    <w:rsid w:val="009A2FBA"/>
    <w:rsid w:val="009A350C"/>
    <w:rsid w:val="009A41AC"/>
    <w:rsid w:val="009A4AB7"/>
    <w:rsid w:val="009A4DEC"/>
    <w:rsid w:val="009A4EC6"/>
    <w:rsid w:val="009A4FC9"/>
    <w:rsid w:val="009A547E"/>
    <w:rsid w:val="009A5963"/>
    <w:rsid w:val="009A5C95"/>
    <w:rsid w:val="009A681A"/>
    <w:rsid w:val="009A72F6"/>
    <w:rsid w:val="009A7450"/>
    <w:rsid w:val="009A7990"/>
    <w:rsid w:val="009A7B71"/>
    <w:rsid w:val="009B0557"/>
    <w:rsid w:val="009B0A2D"/>
    <w:rsid w:val="009B1784"/>
    <w:rsid w:val="009B1E61"/>
    <w:rsid w:val="009B2395"/>
    <w:rsid w:val="009B282B"/>
    <w:rsid w:val="009B2B14"/>
    <w:rsid w:val="009B3B30"/>
    <w:rsid w:val="009B4205"/>
    <w:rsid w:val="009B43A1"/>
    <w:rsid w:val="009B46FC"/>
    <w:rsid w:val="009B473E"/>
    <w:rsid w:val="009B4A3D"/>
    <w:rsid w:val="009B65D1"/>
    <w:rsid w:val="009B736C"/>
    <w:rsid w:val="009B776D"/>
    <w:rsid w:val="009C00CD"/>
    <w:rsid w:val="009C04BA"/>
    <w:rsid w:val="009C055F"/>
    <w:rsid w:val="009C130A"/>
    <w:rsid w:val="009C17BE"/>
    <w:rsid w:val="009C1DEC"/>
    <w:rsid w:val="009C1E64"/>
    <w:rsid w:val="009C1F2C"/>
    <w:rsid w:val="009C1FA0"/>
    <w:rsid w:val="009C27CE"/>
    <w:rsid w:val="009C294E"/>
    <w:rsid w:val="009C2BC7"/>
    <w:rsid w:val="009C342B"/>
    <w:rsid w:val="009C5A25"/>
    <w:rsid w:val="009C5D8F"/>
    <w:rsid w:val="009C712A"/>
    <w:rsid w:val="009C7337"/>
    <w:rsid w:val="009C79FE"/>
    <w:rsid w:val="009C7B26"/>
    <w:rsid w:val="009D0333"/>
    <w:rsid w:val="009D06D6"/>
    <w:rsid w:val="009D0A1C"/>
    <w:rsid w:val="009D0DDE"/>
    <w:rsid w:val="009D1B41"/>
    <w:rsid w:val="009D22AE"/>
    <w:rsid w:val="009D2E67"/>
    <w:rsid w:val="009D36CE"/>
    <w:rsid w:val="009D371F"/>
    <w:rsid w:val="009D37E0"/>
    <w:rsid w:val="009D40D2"/>
    <w:rsid w:val="009D4820"/>
    <w:rsid w:val="009D4EAC"/>
    <w:rsid w:val="009D57FC"/>
    <w:rsid w:val="009D762F"/>
    <w:rsid w:val="009D7778"/>
    <w:rsid w:val="009D7F20"/>
    <w:rsid w:val="009E0463"/>
    <w:rsid w:val="009E058E"/>
    <w:rsid w:val="009E0931"/>
    <w:rsid w:val="009E11E8"/>
    <w:rsid w:val="009E1DC7"/>
    <w:rsid w:val="009E212A"/>
    <w:rsid w:val="009E3316"/>
    <w:rsid w:val="009E3341"/>
    <w:rsid w:val="009E3A2F"/>
    <w:rsid w:val="009E5006"/>
    <w:rsid w:val="009E594A"/>
    <w:rsid w:val="009E5FF1"/>
    <w:rsid w:val="009E6463"/>
    <w:rsid w:val="009E67FE"/>
    <w:rsid w:val="009E69B8"/>
    <w:rsid w:val="009F026B"/>
    <w:rsid w:val="009F04C9"/>
    <w:rsid w:val="009F0B86"/>
    <w:rsid w:val="009F0C89"/>
    <w:rsid w:val="009F0E44"/>
    <w:rsid w:val="009F1480"/>
    <w:rsid w:val="009F1821"/>
    <w:rsid w:val="009F20E5"/>
    <w:rsid w:val="009F242C"/>
    <w:rsid w:val="009F3B5A"/>
    <w:rsid w:val="009F3EDC"/>
    <w:rsid w:val="009F3F22"/>
    <w:rsid w:val="009F43FF"/>
    <w:rsid w:val="009F5484"/>
    <w:rsid w:val="009F5D01"/>
    <w:rsid w:val="009F6639"/>
    <w:rsid w:val="009F6F09"/>
    <w:rsid w:val="009F786F"/>
    <w:rsid w:val="009F7FC3"/>
    <w:rsid w:val="00A00207"/>
    <w:rsid w:val="00A00349"/>
    <w:rsid w:val="00A0065B"/>
    <w:rsid w:val="00A00945"/>
    <w:rsid w:val="00A00DE0"/>
    <w:rsid w:val="00A012FB"/>
    <w:rsid w:val="00A01C0F"/>
    <w:rsid w:val="00A0271C"/>
    <w:rsid w:val="00A02D7B"/>
    <w:rsid w:val="00A0421D"/>
    <w:rsid w:val="00A04E7B"/>
    <w:rsid w:val="00A04EEE"/>
    <w:rsid w:val="00A04F2F"/>
    <w:rsid w:val="00A056AD"/>
    <w:rsid w:val="00A05770"/>
    <w:rsid w:val="00A05D0E"/>
    <w:rsid w:val="00A05FE5"/>
    <w:rsid w:val="00A07444"/>
    <w:rsid w:val="00A07D89"/>
    <w:rsid w:val="00A102DD"/>
    <w:rsid w:val="00A1036C"/>
    <w:rsid w:val="00A105F7"/>
    <w:rsid w:val="00A106DF"/>
    <w:rsid w:val="00A10814"/>
    <w:rsid w:val="00A11A3A"/>
    <w:rsid w:val="00A11EFD"/>
    <w:rsid w:val="00A1208E"/>
    <w:rsid w:val="00A1236F"/>
    <w:rsid w:val="00A13944"/>
    <w:rsid w:val="00A13982"/>
    <w:rsid w:val="00A14370"/>
    <w:rsid w:val="00A146F7"/>
    <w:rsid w:val="00A1534B"/>
    <w:rsid w:val="00A1569C"/>
    <w:rsid w:val="00A157CD"/>
    <w:rsid w:val="00A161F4"/>
    <w:rsid w:val="00A1715C"/>
    <w:rsid w:val="00A1757D"/>
    <w:rsid w:val="00A17D18"/>
    <w:rsid w:val="00A20726"/>
    <w:rsid w:val="00A21A2E"/>
    <w:rsid w:val="00A220A8"/>
    <w:rsid w:val="00A22408"/>
    <w:rsid w:val="00A22508"/>
    <w:rsid w:val="00A2352B"/>
    <w:rsid w:val="00A23AA9"/>
    <w:rsid w:val="00A273DB"/>
    <w:rsid w:val="00A279A4"/>
    <w:rsid w:val="00A3046A"/>
    <w:rsid w:val="00A30C27"/>
    <w:rsid w:val="00A30C53"/>
    <w:rsid w:val="00A31CB8"/>
    <w:rsid w:val="00A32020"/>
    <w:rsid w:val="00A32C6B"/>
    <w:rsid w:val="00A32E36"/>
    <w:rsid w:val="00A351AD"/>
    <w:rsid w:val="00A35EB7"/>
    <w:rsid w:val="00A367F9"/>
    <w:rsid w:val="00A36D0C"/>
    <w:rsid w:val="00A3755F"/>
    <w:rsid w:val="00A37C03"/>
    <w:rsid w:val="00A409A7"/>
    <w:rsid w:val="00A41776"/>
    <w:rsid w:val="00A4195F"/>
    <w:rsid w:val="00A419F5"/>
    <w:rsid w:val="00A421DF"/>
    <w:rsid w:val="00A42AE6"/>
    <w:rsid w:val="00A42C37"/>
    <w:rsid w:val="00A43080"/>
    <w:rsid w:val="00A430AB"/>
    <w:rsid w:val="00A433D3"/>
    <w:rsid w:val="00A43869"/>
    <w:rsid w:val="00A43980"/>
    <w:rsid w:val="00A43A81"/>
    <w:rsid w:val="00A44022"/>
    <w:rsid w:val="00A44914"/>
    <w:rsid w:val="00A44E68"/>
    <w:rsid w:val="00A44EA4"/>
    <w:rsid w:val="00A450B2"/>
    <w:rsid w:val="00A45A66"/>
    <w:rsid w:val="00A45FF0"/>
    <w:rsid w:val="00A4616C"/>
    <w:rsid w:val="00A465F6"/>
    <w:rsid w:val="00A468E5"/>
    <w:rsid w:val="00A46A1F"/>
    <w:rsid w:val="00A46B2A"/>
    <w:rsid w:val="00A47775"/>
    <w:rsid w:val="00A47D1A"/>
    <w:rsid w:val="00A5040A"/>
    <w:rsid w:val="00A511BC"/>
    <w:rsid w:val="00A518C0"/>
    <w:rsid w:val="00A51B8B"/>
    <w:rsid w:val="00A51DDD"/>
    <w:rsid w:val="00A5348C"/>
    <w:rsid w:val="00A54509"/>
    <w:rsid w:val="00A54853"/>
    <w:rsid w:val="00A557B8"/>
    <w:rsid w:val="00A560FF"/>
    <w:rsid w:val="00A56716"/>
    <w:rsid w:val="00A56CFF"/>
    <w:rsid w:val="00A56E44"/>
    <w:rsid w:val="00A57115"/>
    <w:rsid w:val="00A5737F"/>
    <w:rsid w:val="00A573F5"/>
    <w:rsid w:val="00A574CD"/>
    <w:rsid w:val="00A576A2"/>
    <w:rsid w:val="00A60CDD"/>
    <w:rsid w:val="00A6156C"/>
    <w:rsid w:val="00A6320E"/>
    <w:rsid w:val="00A633F0"/>
    <w:rsid w:val="00A64FE1"/>
    <w:rsid w:val="00A65B72"/>
    <w:rsid w:val="00A66368"/>
    <w:rsid w:val="00A66859"/>
    <w:rsid w:val="00A6708F"/>
    <w:rsid w:val="00A704E6"/>
    <w:rsid w:val="00A70E29"/>
    <w:rsid w:val="00A71D00"/>
    <w:rsid w:val="00A727AA"/>
    <w:rsid w:val="00A72834"/>
    <w:rsid w:val="00A7291E"/>
    <w:rsid w:val="00A72985"/>
    <w:rsid w:val="00A72A55"/>
    <w:rsid w:val="00A74201"/>
    <w:rsid w:val="00A74392"/>
    <w:rsid w:val="00A75064"/>
    <w:rsid w:val="00A76BA3"/>
    <w:rsid w:val="00A76E4D"/>
    <w:rsid w:val="00A76F1F"/>
    <w:rsid w:val="00A7713D"/>
    <w:rsid w:val="00A80A3F"/>
    <w:rsid w:val="00A80CCF"/>
    <w:rsid w:val="00A81D2E"/>
    <w:rsid w:val="00A8243E"/>
    <w:rsid w:val="00A825B7"/>
    <w:rsid w:val="00A82AB5"/>
    <w:rsid w:val="00A82C1F"/>
    <w:rsid w:val="00A82ECC"/>
    <w:rsid w:val="00A83533"/>
    <w:rsid w:val="00A840C0"/>
    <w:rsid w:val="00A8457B"/>
    <w:rsid w:val="00A846DF"/>
    <w:rsid w:val="00A84B71"/>
    <w:rsid w:val="00A85368"/>
    <w:rsid w:val="00A861F6"/>
    <w:rsid w:val="00A87080"/>
    <w:rsid w:val="00A87589"/>
    <w:rsid w:val="00A8764C"/>
    <w:rsid w:val="00A90709"/>
    <w:rsid w:val="00A90BB3"/>
    <w:rsid w:val="00A90D72"/>
    <w:rsid w:val="00A90F49"/>
    <w:rsid w:val="00A910C5"/>
    <w:rsid w:val="00A914B4"/>
    <w:rsid w:val="00A91691"/>
    <w:rsid w:val="00A92262"/>
    <w:rsid w:val="00A9242D"/>
    <w:rsid w:val="00A92848"/>
    <w:rsid w:val="00A92A4A"/>
    <w:rsid w:val="00A92AEE"/>
    <w:rsid w:val="00A92DC2"/>
    <w:rsid w:val="00A943AC"/>
    <w:rsid w:val="00A9440F"/>
    <w:rsid w:val="00A94AFA"/>
    <w:rsid w:val="00A94C05"/>
    <w:rsid w:val="00A94CDE"/>
    <w:rsid w:val="00A954DE"/>
    <w:rsid w:val="00A95613"/>
    <w:rsid w:val="00A959E3"/>
    <w:rsid w:val="00A95F46"/>
    <w:rsid w:val="00A962DF"/>
    <w:rsid w:val="00A9639F"/>
    <w:rsid w:val="00AA0F21"/>
    <w:rsid w:val="00AA1789"/>
    <w:rsid w:val="00AA2B66"/>
    <w:rsid w:val="00AA2C59"/>
    <w:rsid w:val="00AA302A"/>
    <w:rsid w:val="00AA3077"/>
    <w:rsid w:val="00AA389A"/>
    <w:rsid w:val="00AA3E0A"/>
    <w:rsid w:val="00AA45A1"/>
    <w:rsid w:val="00AA5197"/>
    <w:rsid w:val="00AA5A61"/>
    <w:rsid w:val="00AA5F8A"/>
    <w:rsid w:val="00AA60D6"/>
    <w:rsid w:val="00AA78AC"/>
    <w:rsid w:val="00AB0617"/>
    <w:rsid w:val="00AB085D"/>
    <w:rsid w:val="00AB1F79"/>
    <w:rsid w:val="00AB247E"/>
    <w:rsid w:val="00AB2A44"/>
    <w:rsid w:val="00AB2D08"/>
    <w:rsid w:val="00AB2DC8"/>
    <w:rsid w:val="00AB3E22"/>
    <w:rsid w:val="00AB4A6C"/>
    <w:rsid w:val="00AB4B45"/>
    <w:rsid w:val="00AB5B23"/>
    <w:rsid w:val="00AB5CD2"/>
    <w:rsid w:val="00AB5FD2"/>
    <w:rsid w:val="00AB6C1E"/>
    <w:rsid w:val="00AB7245"/>
    <w:rsid w:val="00AB78E6"/>
    <w:rsid w:val="00AB7A8D"/>
    <w:rsid w:val="00AB7E01"/>
    <w:rsid w:val="00AC142F"/>
    <w:rsid w:val="00AC1ABB"/>
    <w:rsid w:val="00AC1D1D"/>
    <w:rsid w:val="00AC20BF"/>
    <w:rsid w:val="00AC2516"/>
    <w:rsid w:val="00AC2DF8"/>
    <w:rsid w:val="00AC2E77"/>
    <w:rsid w:val="00AC31FB"/>
    <w:rsid w:val="00AC5D64"/>
    <w:rsid w:val="00AC6748"/>
    <w:rsid w:val="00AC6ABB"/>
    <w:rsid w:val="00AC7944"/>
    <w:rsid w:val="00AD1061"/>
    <w:rsid w:val="00AD11B3"/>
    <w:rsid w:val="00AD15FA"/>
    <w:rsid w:val="00AD1AFF"/>
    <w:rsid w:val="00AD25A3"/>
    <w:rsid w:val="00AD2E7A"/>
    <w:rsid w:val="00AD377E"/>
    <w:rsid w:val="00AD386D"/>
    <w:rsid w:val="00AD3A23"/>
    <w:rsid w:val="00AD4BCE"/>
    <w:rsid w:val="00AD5814"/>
    <w:rsid w:val="00AD5BA2"/>
    <w:rsid w:val="00AD601C"/>
    <w:rsid w:val="00AD7F03"/>
    <w:rsid w:val="00AD7FA5"/>
    <w:rsid w:val="00AE0184"/>
    <w:rsid w:val="00AE03AD"/>
    <w:rsid w:val="00AE045F"/>
    <w:rsid w:val="00AE0488"/>
    <w:rsid w:val="00AE07A3"/>
    <w:rsid w:val="00AE0B6D"/>
    <w:rsid w:val="00AE0D81"/>
    <w:rsid w:val="00AE1873"/>
    <w:rsid w:val="00AE2190"/>
    <w:rsid w:val="00AE26BB"/>
    <w:rsid w:val="00AE26DF"/>
    <w:rsid w:val="00AE2971"/>
    <w:rsid w:val="00AE2E0E"/>
    <w:rsid w:val="00AE3264"/>
    <w:rsid w:val="00AE4614"/>
    <w:rsid w:val="00AE5722"/>
    <w:rsid w:val="00AE5D30"/>
    <w:rsid w:val="00AE672E"/>
    <w:rsid w:val="00AE6F2D"/>
    <w:rsid w:val="00AF040A"/>
    <w:rsid w:val="00AF092D"/>
    <w:rsid w:val="00AF0E26"/>
    <w:rsid w:val="00AF1E9E"/>
    <w:rsid w:val="00AF263E"/>
    <w:rsid w:val="00AF26B8"/>
    <w:rsid w:val="00AF2AB5"/>
    <w:rsid w:val="00AF2E81"/>
    <w:rsid w:val="00AF3095"/>
    <w:rsid w:val="00AF36D0"/>
    <w:rsid w:val="00AF3F8B"/>
    <w:rsid w:val="00AF4B5E"/>
    <w:rsid w:val="00AF4CF8"/>
    <w:rsid w:val="00AF4DCF"/>
    <w:rsid w:val="00AF65CD"/>
    <w:rsid w:val="00AF733D"/>
    <w:rsid w:val="00B00C5B"/>
    <w:rsid w:val="00B0190A"/>
    <w:rsid w:val="00B021B5"/>
    <w:rsid w:val="00B02958"/>
    <w:rsid w:val="00B02B45"/>
    <w:rsid w:val="00B03126"/>
    <w:rsid w:val="00B03623"/>
    <w:rsid w:val="00B043B8"/>
    <w:rsid w:val="00B04475"/>
    <w:rsid w:val="00B04546"/>
    <w:rsid w:val="00B0471E"/>
    <w:rsid w:val="00B05289"/>
    <w:rsid w:val="00B05406"/>
    <w:rsid w:val="00B056D2"/>
    <w:rsid w:val="00B058C9"/>
    <w:rsid w:val="00B05CEB"/>
    <w:rsid w:val="00B05DAC"/>
    <w:rsid w:val="00B06D0B"/>
    <w:rsid w:val="00B075B9"/>
    <w:rsid w:val="00B1073E"/>
    <w:rsid w:val="00B10AB0"/>
    <w:rsid w:val="00B10AD4"/>
    <w:rsid w:val="00B111C5"/>
    <w:rsid w:val="00B1165E"/>
    <w:rsid w:val="00B11C3E"/>
    <w:rsid w:val="00B11E4B"/>
    <w:rsid w:val="00B12ED9"/>
    <w:rsid w:val="00B132EE"/>
    <w:rsid w:val="00B13A24"/>
    <w:rsid w:val="00B14C3C"/>
    <w:rsid w:val="00B15090"/>
    <w:rsid w:val="00B1527E"/>
    <w:rsid w:val="00B15ABD"/>
    <w:rsid w:val="00B16D4E"/>
    <w:rsid w:val="00B16DBB"/>
    <w:rsid w:val="00B171C6"/>
    <w:rsid w:val="00B17B46"/>
    <w:rsid w:val="00B17D9E"/>
    <w:rsid w:val="00B20114"/>
    <w:rsid w:val="00B20324"/>
    <w:rsid w:val="00B20BA9"/>
    <w:rsid w:val="00B218AF"/>
    <w:rsid w:val="00B224CA"/>
    <w:rsid w:val="00B2373D"/>
    <w:rsid w:val="00B23A25"/>
    <w:rsid w:val="00B24943"/>
    <w:rsid w:val="00B24B65"/>
    <w:rsid w:val="00B24F83"/>
    <w:rsid w:val="00B25F31"/>
    <w:rsid w:val="00B25F8E"/>
    <w:rsid w:val="00B26487"/>
    <w:rsid w:val="00B2697B"/>
    <w:rsid w:val="00B26C2D"/>
    <w:rsid w:val="00B26FEA"/>
    <w:rsid w:val="00B27182"/>
    <w:rsid w:val="00B27AFA"/>
    <w:rsid w:val="00B30078"/>
    <w:rsid w:val="00B30AF9"/>
    <w:rsid w:val="00B31968"/>
    <w:rsid w:val="00B31BBC"/>
    <w:rsid w:val="00B31F05"/>
    <w:rsid w:val="00B320F4"/>
    <w:rsid w:val="00B322B5"/>
    <w:rsid w:val="00B32EF9"/>
    <w:rsid w:val="00B33519"/>
    <w:rsid w:val="00B337A3"/>
    <w:rsid w:val="00B33A3E"/>
    <w:rsid w:val="00B33FFE"/>
    <w:rsid w:val="00B3648F"/>
    <w:rsid w:val="00B36FCD"/>
    <w:rsid w:val="00B37367"/>
    <w:rsid w:val="00B37703"/>
    <w:rsid w:val="00B40EBB"/>
    <w:rsid w:val="00B41055"/>
    <w:rsid w:val="00B416E8"/>
    <w:rsid w:val="00B41751"/>
    <w:rsid w:val="00B417F4"/>
    <w:rsid w:val="00B41C70"/>
    <w:rsid w:val="00B42E05"/>
    <w:rsid w:val="00B43E2A"/>
    <w:rsid w:val="00B43E56"/>
    <w:rsid w:val="00B4535B"/>
    <w:rsid w:val="00B45D31"/>
    <w:rsid w:val="00B45EA0"/>
    <w:rsid w:val="00B4674E"/>
    <w:rsid w:val="00B46993"/>
    <w:rsid w:val="00B46E74"/>
    <w:rsid w:val="00B473D1"/>
    <w:rsid w:val="00B47B22"/>
    <w:rsid w:val="00B5008B"/>
    <w:rsid w:val="00B5020A"/>
    <w:rsid w:val="00B505C0"/>
    <w:rsid w:val="00B50DA1"/>
    <w:rsid w:val="00B51BFC"/>
    <w:rsid w:val="00B51EBE"/>
    <w:rsid w:val="00B52466"/>
    <w:rsid w:val="00B5253E"/>
    <w:rsid w:val="00B525EA"/>
    <w:rsid w:val="00B52973"/>
    <w:rsid w:val="00B52D9C"/>
    <w:rsid w:val="00B531B8"/>
    <w:rsid w:val="00B53EF6"/>
    <w:rsid w:val="00B543AF"/>
    <w:rsid w:val="00B54E07"/>
    <w:rsid w:val="00B55350"/>
    <w:rsid w:val="00B5577B"/>
    <w:rsid w:val="00B5584C"/>
    <w:rsid w:val="00B55C48"/>
    <w:rsid w:val="00B55EED"/>
    <w:rsid w:val="00B561B1"/>
    <w:rsid w:val="00B56540"/>
    <w:rsid w:val="00B56ACF"/>
    <w:rsid w:val="00B56AD8"/>
    <w:rsid w:val="00B56E92"/>
    <w:rsid w:val="00B57119"/>
    <w:rsid w:val="00B57275"/>
    <w:rsid w:val="00B5785A"/>
    <w:rsid w:val="00B60D95"/>
    <w:rsid w:val="00B61C41"/>
    <w:rsid w:val="00B61D69"/>
    <w:rsid w:val="00B61E20"/>
    <w:rsid w:val="00B62A79"/>
    <w:rsid w:val="00B6305D"/>
    <w:rsid w:val="00B635BF"/>
    <w:rsid w:val="00B63F85"/>
    <w:rsid w:val="00B64149"/>
    <w:rsid w:val="00B64450"/>
    <w:rsid w:val="00B64618"/>
    <w:rsid w:val="00B652A1"/>
    <w:rsid w:val="00B660AC"/>
    <w:rsid w:val="00B666A3"/>
    <w:rsid w:val="00B6675A"/>
    <w:rsid w:val="00B66B20"/>
    <w:rsid w:val="00B66CF6"/>
    <w:rsid w:val="00B671CF"/>
    <w:rsid w:val="00B67AA5"/>
    <w:rsid w:val="00B70336"/>
    <w:rsid w:val="00B70587"/>
    <w:rsid w:val="00B70B7E"/>
    <w:rsid w:val="00B70C33"/>
    <w:rsid w:val="00B71201"/>
    <w:rsid w:val="00B71487"/>
    <w:rsid w:val="00B71F65"/>
    <w:rsid w:val="00B72317"/>
    <w:rsid w:val="00B728FF"/>
    <w:rsid w:val="00B72CD8"/>
    <w:rsid w:val="00B72DDB"/>
    <w:rsid w:val="00B73151"/>
    <w:rsid w:val="00B73340"/>
    <w:rsid w:val="00B734F1"/>
    <w:rsid w:val="00B73EA6"/>
    <w:rsid w:val="00B74120"/>
    <w:rsid w:val="00B742D3"/>
    <w:rsid w:val="00B747D6"/>
    <w:rsid w:val="00B74BC5"/>
    <w:rsid w:val="00B75FC5"/>
    <w:rsid w:val="00B76500"/>
    <w:rsid w:val="00B768DC"/>
    <w:rsid w:val="00B775B9"/>
    <w:rsid w:val="00B77C8D"/>
    <w:rsid w:val="00B8045F"/>
    <w:rsid w:val="00B80F9D"/>
    <w:rsid w:val="00B813D7"/>
    <w:rsid w:val="00B82354"/>
    <w:rsid w:val="00B8242D"/>
    <w:rsid w:val="00B8267A"/>
    <w:rsid w:val="00B82793"/>
    <w:rsid w:val="00B82B58"/>
    <w:rsid w:val="00B83B3E"/>
    <w:rsid w:val="00B83BCE"/>
    <w:rsid w:val="00B83D06"/>
    <w:rsid w:val="00B84507"/>
    <w:rsid w:val="00B84530"/>
    <w:rsid w:val="00B845A9"/>
    <w:rsid w:val="00B845CE"/>
    <w:rsid w:val="00B853F6"/>
    <w:rsid w:val="00B8581A"/>
    <w:rsid w:val="00B85EC6"/>
    <w:rsid w:val="00B860E2"/>
    <w:rsid w:val="00B8612C"/>
    <w:rsid w:val="00B862F7"/>
    <w:rsid w:val="00B86A6B"/>
    <w:rsid w:val="00B86E4D"/>
    <w:rsid w:val="00B86F12"/>
    <w:rsid w:val="00B87424"/>
    <w:rsid w:val="00B874BB"/>
    <w:rsid w:val="00B87FD5"/>
    <w:rsid w:val="00B9027A"/>
    <w:rsid w:val="00B9089C"/>
    <w:rsid w:val="00B90ABC"/>
    <w:rsid w:val="00B90B77"/>
    <w:rsid w:val="00B912EB"/>
    <w:rsid w:val="00B916B1"/>
    <w:rsid w:val="00B9176D"/>
    <w:rsid w:val="00B91C81"/>
    <w:rsid w:val="00B92AF8"/>
    <w:rsid w:val="00B92DA5"/>
    <w:rsid w:val="00B92F13"/>
    <w:rsid w:val="00B9319A"/>
    <w:rsid w:val="00B939A0"/>
    <w:rsid w:val="00B93C2D"/>
    <w:rsid w:val="00B94759"/>
    <w:rsid w:val="00B94783"/>
    <w:rsid w:val="00B94F6D"/>
    <w:rsid w:val="00B96157"/>
    <w:rsid w:val="00B9643F"/>
    <w:rsid w:val="00B9648C"/>
    <w:rsid w:val="00B96C88"/>
    <w:rsid w:val="00B974D5"/>
    <w:rsid w:val="00B97840"/>
    <w:rsid w:val="00BA0B6F"/>
    <w:rsid w:val="00BA0C5F"/>
    <w:rsid w:val="00BA111D"/>
    <w:rsid w:val="00BA1463"/>
    <w:rsid w:val="00BA1B1B"/>
    <w:rsid w:val="00BA2647"/>
    <w:rsid w:val="00BA33E3"/>
    <w:rsid w:val="00BA341E"/>
    <w:rsid w:val="00BA3542"/>
    <w:rsid w:val="00BA4628"/>
    <w:rsid w:val="00BA487D"/>
    <w:rsid w:val="00BA54C8"/>
    <w:rsid w:val="00BA552C"/>
    <w:rsid w:val="00BA6776"/>
    <w:rsid w:val="00BA6930"/>
    <w:rsid w:val="00BA6999"/>
    <w:rsid w:val="00BA6B6A"/>
    <w:rsid w:val="00BA7023"/>
    <w:rsid w:val="00BA7CEF"/>
    <w:rsid w:val="00BB02E0"/>
    <w:rsid w:val="00BB0D7F"/>
    <w:rsid w:val="00BB1E3B"/>
    <w:rsid w:val="00BB2D5E"/>
    <w:rsid w:val="00BB2FFE"/>
    <w:rsid w:val="00BB39A6"/>
    <w:rsid w:val="00BB3D3F"/>
    <w:rsid w:val="00BB4A30"/>
    <w:rsid w:val="00BB4B6B"/>
    <w:rsid w:val="00BB5B09"/>
    <w:rsid w:val="00BB5C8E"/>
    <w:rsid w:val="00BB68B4"/>
    <w:rsid w:val="00BB771B"/>
    <w:rsid w:val="00BB7857"/>
    <w:rsid w:val="00BC025C"/>
    <w:rsid w:val="00BC026A"/>
    <w:rsid w:val="00BC0CDB"/>
    <w:rsid w:val="00BC1509"/>
    <w:rsid w:val="00BC1BD5"/>
    <w:rsid w:val="00BC1DF4"/>
    <w:rsid w:val="00BC225C"/>
    <w:rsid w:val="00BC328F"/>
    <w:rsid w:val="00BC3565"/>
    <w:rsid w:val="00BC3832"/>
    <w:rsid w:val="00BC39B1"/>
    <w:rsid w:val="00BC4A38"/>
    <w:rsid w:val="00BC4A63"/>
    <w:rsid w:val="00BC4BC0"/>
    <w:rsid w:val="00BC4DE7"/>
    <w:rsid w:val="00BC4E23"/>
    <w:rsid w:val="00BC57BE"/>
    <w:rsid w:val="00BC5A15"/>
    <w:rsid w:val="00BC7222"/>
    <w:rsid w:val="00BC73A8"/>
    <w:rsid w:val="00BD000A"/>
    <w:rsid w:val="00BD0360"/>
    <w:rsid w:val="00BD0730"/>
    <w:rsid w:val="00BD1A8D"/>
    <w:rsid w:val="00BD2047"/>
    <w:rsid w:val="00BD262E"/>
    <w:rsid w:val="00BD2687"/>
    <w:rsid w:val="00BD2D56"/>
    <w:rsid w:val="00BD2FD0"/>
    <w:rsid w:val="00BD30A3"/>
    <w:rsid w:val="00BD3580"/>
    <w:rsid w:val="00BD35AC"/>
    <w:rsid w:val="00BD362D"/>
    <w:rsid w:val="00BD383F"/>
    <w:rsid w:val="00BD4076"/>
    <w:rsid w:val="00BD443C"/>
    <w:rsid w:val="00BD4E74"/>
    <w:rsid w:val="00BD551B"/>
    <w:rsid w:val="00BD56DE"/>
    <w:rsid w:val="00BD5706"/>
    <w:rsid w:val="00BD5965"/>
    <w:rsid w:val="00BD5FAA"/>
    <w:rsid w:val="00BD6308"/>
    <w:rsid w:val="00BD6719"/>
    <w:rsid w:val="00BD6AB6"/>
    <w:rsid w:val="00BE0127"/>
    <w:rsid w:val="00BE0899"/>
    <w:rsid w:val="00BE18CD"/>
    <w:rsid w:val="00BE2055"/>
    <w:rsid w:val="00BE2155"/>
    <w:rsid w:val="00BE2A43"/>
    <w:rsid w:val="00BE2EEA"/>
    <w:rsid w:val="00BE3EA0"/>
    <w:rsid w:val="00BE3F6B"/>
    <w:rsid w:val="00BE4189"/>
    <w:rsid w:val="00BE4B95"/>
    <w:rsid w:val="00BE4F8F"/>
    <w:rsid w:val="00BE5004"/>
    <w:rsid w:val="00BE527E"/>
    <w:rsid w:val="00BE56BB"/>
    <w:rsid w:val="00BE5A51"/>
    <w:rsid w:val="00BE5A94"/>
    <w:rsid w:val="00BE5FDB"/>
    <w:rsid w:val="00BE642D"/>
    <w:rsid w:val="00BE74A0"/>
    <w:rsid w:val="00BE7EC2"/>
    <w:rsid w:val="00BF0E71"/>
    <w:rsid w:val="00BF1015"/>
    <w:rsid w:val="00BF1F6D"/>
    <w:rsid w:val="00BF24CD"/>
    <w:rsid w:val="00BF28DB"/>
    <w:rsid w:val="00BF2E8A"/>
    <w:rsid w:val="00BF3408"/>
    <w:rsid w:val="00BF45FD"/>
    <w:rsid w:val="00BF46D6"/>
    <w:rsid w:val="00BF473F"/>
    <w:rsid w:val="00BF58E9"/>
    <w:rsid w:val="00BF5D98"/>
    <w:rsid w:val="00BF612F"/>
    <w:rsid w:val="00BF7FCC"/>
    <w:rsid w:val="00C00DFA"/>
    <w:rsid w:val="00C012D1"/>
    <w:rsid w:val="00C023F8"/>
    <w:rsid w:val="00C0246C"/>
    <w:rsid w:val="00C02AC8"/>
    <w:rsid w:val="00C03798"/>
    <w:rsid w:val="00C03C6D"/>
    <w:rsid w:val="00C042E5"/>
    <w:rsid w:val="00C05074"/>
    <w:rsid w:val="00C0529F"/>
    <w:rsid w:val="00C0570D"/>
    <w:rsid w:val="00C06B42"/>
    <w:rsid w:val="00C070B9"/>
    <w:rsid w:val="00C0728A"/>
    <w:rsid w:val="00C078AD"/>
    <w:rsid w:val="00C07C05"/>
    <w:rsid w:val="00C07E82"/>
    <w:rsid w:val="00C07F55"/>
    <w:rsid w:val="00C102AB"/>
    <w:rsid w:val="00C1038B"/>
    <w:rsid w:val="00C10692"/>
    <w:rsid w:val="00C1212C"/>
    <w:rsid w:val="00C126CC"/>
    <w:rsid w:val="00C129A6"/>
    <w:rsid w:val="00C13046"/>
    <w:rsid w:val="00C138E0"/>
    <w:rsid w:val="00C13B15"/>
    <w:rsid w:val="00C14426"/>
    <w:rsid w:val="00C1443E"/>
    <w:rsid w:val="00C14642"/>
    <w:rsid w:val="00C1499E"/>
    <w:rsid w:val="00C14EF8"/>
    <w:rsid w:val="00C1606E"/>
    <w:rsid w:val="00C1652B"/>
    <w:rsid w:val="00C16D84"/>
    <w:rsid w:val="00C177AC"/>
    <w:rsid w:val="00C17B79"/>
    <w:rsid w:val="00C200DA"/>
    <w:rsid w:val="00C20149"/>
    <w:rsid w:val="00C201FD"/>
    <w:rsid w:val="00C203CC"/>
    <w:rsid w:val="00C206E8"/>
    <w:rsid w:val="00C20EBC"/>
    <w:rsid w:val="00C2107B"/>
    <w:rsid w:val="00C21F70"/>
    <w:rsid w:val="00C220A7"/>
    <w:rsid w:val="00C230C6"/>
    <w:rsid w:val="00C24717"/>
    <w:rsid w:val="00C24818"/>
    <w:rsid w:val="00C256D7"/>
    <w:rsid w:val="00C31A13"/>
    <w:rsid w:val="00C31B32"/>
    <w:rsid w:val="00C31E30"/>
    <w:rsid w:val="00C320EC"/>
    <w:rsid w:val="00C3295E"/>
    <w:rsid w:val="00C32EC2"/>
    <w:rsid w:val="00C33E30"/>
    <w:rsid w:val="00C34187"/>
    <w:rsid w:val="00C34DB3"/>
    <w:rsid w:val="00C34EAD"/>
    <w:rsid w:val="00C34F1F"/>
    <w:rsid w:val="00C35073"/>
    <w:rsid w:val="00C35EE3"/>
    <w:rsid w:val="00C36370"/>
    <w:rsid w:val="00C363BB"/>
    <w:rsid w:val="00C36A39"/>
    <w:rsid w:val="00C373C7"/>
    <w:rsid w:val="00C37806"/>
    <w:rsid w:val="00C378FA"/>
    <w:rsid w:val="00C37978"/>
    <w:rsid w:val="00C379B8"/>
    <w:rsid w:val="00C37CBF"/>
    <w:rsid w:val="00C406F7"/>
    <w:rsid w:val="00C40CE9"/>
    <w:rsid w:val="00C41BE4"/>
    <w:rsid w:val="00C421D0"/>
    <w:rsid w:val="00C424DF"/>
    <w:rsid w:val="00C42E59"/>
    <w:rsid w:val="00C42F23"/>
    <w:rsid w:val="00C4377D"/>
    <w:rsid w:val="00C448AC"/>
    <w:rsid w:val="00C44AA2"/>
    <w:rsid w:val="00C451E5"/>
    <w:rsid w:val="00C45E3B"/>
    <w:rsid w:val="00C47F91"/>
    <w:rsid w:val="00C50484"/>
    <w:rsid w:val="00C50FC6"/>
    <w:rsid w:val="00C51198"/>
    <w:rsid w:val="00C52201"/>
    <w:rsid w:val="00C526E1"/>
    <w:rsid w:val="00C52C00"/>
    <w:rsid w:val="00C53D33"/>
    <w:rsid w:val="00C54F0A"/>
    <w:rsid w:val="00C550B7"/>
    <w:rsid w:val="00C55248"/>
    <w:rsid w:val="00C55BEE"/>
    <w:rsid w:val="00C567BF"/>
    <w:rsid w:val="00C5750A"/>
    <w:rsid w:val="00C57A58"/>
    <w:rsid w:val="00C57A6C"/>
    <w:rsid w:val="00C6091E"/>
    <w:rsid w:val="00C60C84"/>
    <w:rsid w:val="00C61384"/>
    <w:rsid w:val="00C613A3"/>
    <w:rsid w:val="00C61C30"/>
    <w:rsid w:val="00C61D0A"/>
    <w:rsid w:val="00C621BE"/>
    <w:rsid w:val="00C62BE1"/>
    <w:rsid w:val="00C62F78"/>
    <w:rsid w:val="00C6305A"/>
    <w:rsid w:val="00C640EF"/>
    <w:rsid w:val="00C64945"/>
    <w:rsid w:val="00C649CC"/>
    <w:rsid w:val="00C64BA1"/>
    <w:rsid w:val="00C65168"/>
    <w:rsid w:val="00C67554"/>
    <w:rsid w:val="00C67772"/>
    <w:rsid w:val="00C71D84"/>
    <w:rsid w:val="00C72093"/>
    <w:rsid w:val="00C72321"/>
    <w:rsid w:val="00C73553"/>
    <w:rsid w:val="00C73BA5"/>
    <w:rsid w:val="00C73C27"/>
    <w:rsid w:val="00C74441"/>
    <w:rsid w:val="00C74494"/>
    <w:rsid w:val="00C747C1"/>
    <w:rsid w:val="00C7504D"/>
    <w:rsid w:val="00C75272"/>
    <w:rsid w:val="00C75927"/>
    <w:rsid w:val="00C75B38"/>
    <w:rsid w:val="00C7667A"/>
    <w:rsid w:val="00C76743"/>
    <w:rsid w:val="00C7681A"/>
    <w:rsid w:val="00C769F8"/>
    <w:rsid w:val="00C7712E"/>
    <w:rsid w:val="00C778CD"/>
    <w:rsid w:val="00C80A14"/>
    <w:rsid w:val="00C81E24"/>
    <w:rsid w:val="00C83686"/>
    <w:rsid w:val="00C8403D"/>
    <w:rsid w:val="00C84171"/>
    <w:rsid w:val="00C84D38"/>
    <w:rsid w:val="00C85C4B"/>
    <w:rsid w:val="00C861A7"/>
    <w:rsid w:val="00C87941"/>
    <w:rsid w:val="00C87DCE"/>
    <w:rsid w:val="00C87F15"/>
    <w:rsid w:val="00C90742"/>
    <w:rsid w:val="00C90798"/>
    <w:rsid w:val="00C90E5F"/>
    <w:rsid w:val="00C90ECF"/>
    <w:rsid w:val="00C90FFF"/>
    <w:rsid w:val="00C9136A"/>
    <w:rsid w:val="00C929AA"/>
    <w:rsid w:val="00C93858"/>
    <w:rsid w:val="00C938E0"/>
    <w:rsid w:val="00C93C7B"/>
    <w:rsid w:val="00C95110"/>
    <w:rsid w:val="00C959F1"/>
    <w:rsid w:val="00C96903"/>
    <w:rsid w:val="00C971D7"/>
    <w:rsid w:val="00CA02F9"/>
    <w:rsid w:val="00CA0C01"/>
    <w:rsid w:val="00CA10D7"/>
    <w:rsid w:val="00CA17EF"/>
    <w:rsid w:val="00CA19A2"/>
    <w:rsid w:val="00CA1E33"/>
    <w:rsid w:val="00CA20DF"/>
    <w:rsid w:val="00CA34D8"/>
    <w:rsid w:val="00CA3BD0"/>
    <w:rsid w:val="00CA3C61"/>
    <w:rsid w:val="00CA40D7"/>
    <w:rsid w:val="00CA4852"/>
    <w:rsid w:val="00CA48DB"/>
    <w:rsid w:val="00CA4AE8"/>
    <w:rsid w:val="00CA59E5"/>
    <w:rsid w:val="00CA6023"/>
    <w:rsid w:val="00CA61B1"/>
    <w:rsid w:val="00CA6240"/>
    <w:rsid w:val="00CA63AD"/>
    <w:rsid w:val="00CB0416"/>
    <w:rsid w:val="00CB06EB"/>
    <w:rsid w:val="00CB0721"/>
    <w:rsid w:val="00CB086A"/>
    <w:rsid w:val="00CB1495"/>
    <w:rsid w:val="00CB1615"/>
    <w:rsid w:val="00CB19CF"/>
    <w:rsid w:val="00CB2505"/>
    <w:rsid w:val="00CB2689"/>
    <w:rsid w:val="00CB3194"/>
    <w:rsid w:val="00CB37B9"/>
    <w:rsid w:val="00CB3D72"/>
    <w:rsid w:val="00CB4316"/>
    <w:rsid w:val="00CB43E4"/>
    <w:rsid w:val="00CB44F5"/>
    <w:rsid w:val="00CB465B"/>
    <w:rsid w:val="00CB6258"/>
    <w:rsid w:val="00CB6C6A"/>
    <w:rsid w:val="00CB70AF"/>
    <w:rsid w:val="00CB758C"/>
    <w:rsid w:val="00CB7D0A"/>
    <w:rsid w:val="00CC0392"/>
    <w:rsid w:val="00CC1356"/>
    <w:rsid w:val="00CC1C36"/>
    <w:rsid w:val="00CC20B5"/>
    <w:rsid w:val="00CC2A60"/>
    <w:rsid w:val="00CC3415"/>
    <w:rsid w:val="00CC4044"/>
    <w:rsid w:val="00CC43B7"/>
    <w:rsid w:val="00CC5033"/>
    <w:rsid w:val="00CC517D"/>
    <w:rsid w:val="00CC5936"/>
    <w:rsid w:val="00CC59F6"/>
    <w:rsid w:val="00CC6162"/>
    <w:rsid w:val="00CC6866"/>
    <w:rsid w:val="00CC6C41"/>
    <w:rsid w:val="00CC7660"/>
    <w:rsid w:val="00CD02F4"/>
    <w:rsid w:val="00CD0780"/>
    <w:rsid w:val="00CD0F20"/>
    <w:rsid w:val="00CD12DF"/>
    <w:rsid w:val="00CD17B2"/>
    <w:rsid w:val="00CD19A9"/>
    <w:rsid w:val="00CD2D6A"/>
    <w:rsid w:val="00CD3E2C"/>
    <w:rsid w:val="00CD4204"/>
    <w:rsid w:val="00CD5179"/>
    <w:rsid w:val="00CD52C5"/>
    <w:rsid w:val="00CD5F4E"/>
    <w:rsid w:val="00CD6E6D"/>
    <w:rsid w:val="00CD7276"/>
    <w:rsid w:val="00CD7970"/>
    <w:rsid w:val="00CD798C"/>
    <w:rsid w:val="00CD7C85"/>
    <w:rsid w:val="00CD7F5F"/>
    <w:rsid w:val="00CD7F9A"/>
    <w:rsid w:val="00CE09C3"/>
    <w:rsid w:val="00CE0AD5"/>
    <w:rsid w:val="00CE0D09"/>
    <w:rsid w:val="00CE10D6"/>
    <w:rsid w:val="00CE120E"/>
    <w:rsid w:val="00CE13AD"/>
    <w:rsid w:val="00CE1BAC"/>
    <w:rsid w:val="00CE234E"/>
    <w:rsid w:val="00CE36F2"/>
    <w:rsid w:val="00CE3BF1"/>
    <w:rsid w:val="00CE4136"/>
    <w:rsid w:val="00CE4827"/>
    <w:rsid w:val="00CE4CDF"/>
    <w:rsid w:val="00CE4DA8"/>
    <w:rsid w:val="00CE53E6"/>
    <w:rsid w:val="00CE5791"/>
    <w:rsid w:val="00CE5FCB"/>
    <w:rsid w:val="00CE67CB"/>
    <w:rsid w:val="00CE7523"/>
    <w:rsid w:val="00CE75F7"/>
    <w:rsid w:val="00CE7C6D"/>
    <w:rsid w:val="00CF0984"/>
    <w:rsid w:val="00CF151B"/>
    <w:rsid w:val="00CF1790"/>
    <w:rsid w:val="00CF1E53"/>
    <w:rsid w:val="00CF29CF"/>
    <w:rsid w:val="00CF2B5C"/>
    <w:rsid w:val="00CF38C1"/>
    <w:rsid w:val="00CF3CCE"/>
    <w:rsid w:val="00CF4142"/>
    <w:rsid w:val="00CF5244"/>
    <w:rsid w:val="00CF5E5F"/>
    <w:rsid w:val="00CF637A"/>
    <w:rsid w:val="00CF655F"/>
    <w:rsid w:val="00CF76F3"/>
    <w:rsid w:val="00CF7E09"/>
    <w:rsid w:val="00CF7F04"/>
    <w:rsid w:val="00D01064"/>
    <w:rsid w:val="00D02042"/>
    <w:rsid w:val="00D020B4"/>
    <w:rsid w:val="00D02949"/>
    <w:rsid w:val="00D02998"/>
    <w:rsid w:val="00D02B97"/>
    <w:rsid w:val="00D02C0D"/>
    <w:rsid w:val="00D03006"/>
    <w:rsid w:val="00D032D4"/>
    <w:rsid w:val="00D033DB"/>
    <w:rsid w:val="00D03BB4"/>
    <w:rsid w:val="00D04340"/>
    <w:rsid w:val="00D043C1"/>
    <w:rsid w:val="00D04632"/>
    <w:rsid w:val="00D04C97"/>
    <w:rsid w:val="00D04EF5"/>
    <w:rsid w:val="00D0507D"/>
    <w:rsid w:val="00D05125"/>
    <w:rsid w:val="00D05531"/>
    <w:rsid w:val="00D0555F"/>
    <w:rsid w:val="00D0580E"/>
    <w:rsid w:val="00D06E3E"/>
    <w:rsid w:val="00D0704E"/>
    <w:rsid w:val="00D072A7"/>
    <w:rsid w:val="00D07532"/>
    <w:rsid w:val="00D106D3"/>
    <w:rsid w:val="00D112FC"/>
    <w:rsid w:val="00D11DD0"/>
    <w:rsid w:val="00D12231"/>
    <w:rsid w:val="00D12435"/>
    <w:rsid w:val="00D12936"/>
    <w:rsid w:val="00D12BF1"/>
    <w:rsid w:val="00D138F4"/>
    <w:rsid w:val="00D139B1"/>
    <w:rsid w:val="00D14CE1"/>
    <w:rsid w:val="00D15155"/>
    <w:rsid w:val="00D15776"/>
    <w:rsid w:val="00D160CC"/>
    <w:rsid w:val="00D161C4"/>
    <w:rsid w:val="00D173FF"/>
    <w:rsid w:val="00D179A5"/>
    <w:rsid w:val="00D1A62F"/>
    <w:rsid w:val="00D2052B"/>
    <w:rsid w:val="00D20740"/>
    <w:rsid w:val="00D2075B"/>
    <w:rsid w:val="00D212AE"/>
    <w:rsid w:val="00D22212"/>
    <w:rsid w:val="00D22670"/>
    <w:rsid w:val="00D228A0"/>
    <w:rsid w:val="00D228E8"/>
    <w:rsid w:val="00D23006"/>
    <w:rsid w:val="00D2316A"/>
    <w:rsid w:val="00D234C0"/>
    <w:rsid w:val="00D23C9F"/>
    <w:rsid w:val="00D245E6"/>
    <w:rsid w:val="00D248A4"/>
    <w:rsid w:val="00D24BB1"/>
    <w:rsid w:val="00D254EB"/>
    <w:rsid w:val="00D25B7A"/>
    <w:rsid w:val="00D25E40"/>
    <w:rsid w:val="00D25F3C"/>
    <w:rsid w:val="00D25F8D"/>
    <w:rsid w:val="00D260A7"/>
    <w:rsid w:val="00D26133"/>
    <w:rsid w:val="00D2655F"/>
    <w:rsid w:val="00D26674"/>
    <w:rsid w:val="00D270FF"/>
    <w:rsid w:val="00D27194"/>
    <w:rsid w:val="00D27D47"/>
    <w:rsid w:val="00D30DB3"/>
    <w:rsid w:val="00D31199"/>
    <w:rsid w:val="00D3251D"/>
    <w:rsid w:val="00D33346"/>
    <w:rsid w:val="00D35868"/>
    <w:rsid w:val="00D358E8"/>
    <w:rsid w:val="00D359BF"/>
    <w:rsid w:val="00D35E4E"/>
    <w:rsid w:val="00D362DC"/>
    <w:rsid w:val="00D3660D"/>
    <w:rsid w:val="00D378D8"/>
    <w:rsid w:val="00D4027E"/>
    <w:rsid w:val="00D40384"/>
    <w:rsid w:val="00D4070B"/>
    <w:rsid w:val="00D409E9"/>
    <w:rsid w:val="00D42B04"/>
    <w:rsid w:val="00D431A5"/>
    <w:rsid w:val="00D43261"/>
    <w:rsid w:val="00D4354A"/>
    <w:rsid w:val="00D441E2"/>
    <w:rsid w:val="00D448A5"/>
    <w:rsid w:val="00D449F9"/>
    <w:rsid w:val="00D4539B"/>
    <w:rsid w:val="00D46182"/>
    <w:rsid w:val="00D46D14"/>
    <w:rsid w:val="00D47825"/>
    <w:rsid w:val="00D514EB"/>
    <w:rsid w:val="00D523BE"/>
    <w:rsid w:val="00D526E6"/>
    <w:rsid w:val="00D52A18"/>
    <w:rsid w:val="00D52DA2"/>
    <w:rsid w:val="00D540A7"/>
    <w:rsid w:val="00D54315"/>
    <w:rsid w:val="00D54474"/>
    <w:rsid w:val="00D54BB3"/>
    <w:rsid w:val="00D54F1E"/>
    <w:rsid w:val="00D563C7"/>
    <w:rsid w:val="00D57936"/>
    <w:rsid w:val="00D60539"/>
    <w:rsid w:val="00D60C5D"/>
    <w:rsid w:val="00D61B76"/>
    <w:rsid w:val="00D61CC3"/>
    <w:rsid w:val="00D61D76"/>
    <w:rsid w:val="00D6217A"/>
    <w:rsid w:val="00D62CB1"/>
    <w:rsid w:val="00D630D6"/>
    <w:rsid w:val="00D63269"/>
    <w:rsid w:val="00D63990"/>
    <w:rsid w:val="00D63E7A"/>
    <w:rsid w:val="00D6410D"/>
    <w:rsid w:val="00D64290"/>
    <w:rsid w:val="00D6446C"/>
    <w:rsid w:val="00D6582E"/>
    <w:rsid w:val="00D65E64"/>
    <w:rsid w:val="00D65E9D"/>
    <w:rsid w:val="00D66CEB"/>
    <w:rsid w:val="00D66E0C"/>
    <w:rsid w:val="00D6702A"/>
    <w:rsid w:val="00D6725A"/>
    <w:rsid w:val="00D6764B"/>
    <w:rsid w:val="00D67729"/>
    <w:rsid w:val="00D677F6"/>
    <w:rsid w:val="00D7077B"/>
    <w:rsid w:val="00D71281"/>
    <w:rsid w:val="00D71F06"/>
    <w:rsid w:val="00D725F8"/>
    <w:rsid w:val="00D73205"/>
    <w:rsid w:val="00D74168"/>
    <w:rsid w:val="00D74225"/>
    <w:rsid w:val="00D7463E"/>
    <w:rsid w:val="00D75525"/>
    <w:rsid w:val="00D75F81"/>
    <w:rsid w:val="00D764A7"/>
    <w:rsid w:val="00D76AD5"/>
    <w:rsid w:val="00D777EF"/>
    <w:rsid w:val="00D77A8C"/>
    <w:rsid w:val="00D801EF"/>
    <w:rsid w:val="00D8040B"/>
    <w:rsid w:val="00D8080C"/>
    <w:rsid w:val="00D82133"/>
    <w:rsid w:val="00D8222F"/>
    <w:rsid w:val="00D826A9"/>
    <w:rsid w:val="00D83120"/>
    <w:rsid w:val="00D831E3"/>
    <w:rsid w:val="00D83CE6"/>
    <w:rsid w:val="00D83DE5"/>
    <w:rsid w:val="00D842C5"/>
    <w:rsid w:val="00D84F37"/>
    <w:rsid w:val="00D851FD"/>
    <w:rsid w:val="00D85382"/>
    <w:rsid w:val="00D8574A"/>
    <w:rsid w:val="00D857D7"/>
    <w:rsid w:val="00D866D2"/>
    <w:rsid w:val="00D87143"/>
    <w:rsid w:val="00D879C3"/>
    <w:rsid w:val="00D87A7A"/>
    <w:rsid w:val="00D87FA6"/>
    <w:rsid w:val="00D912FC"/>
    <w:rsid w:val="00D914B7"/>
    <w:rsid w:val="00D92087"/>
    <w:rsid w:val="00D921EE"/>
    <w:rsid w:val="00D9248A"/>
    <w:rsid w:val="00D9269C"/>
    <w:rsid w:val="00D94241"/>
    <w:rsid w:val="00D95119"/>
    <w:rsid w:val="00D95706"/>
    <w:rsid w:val="00D959CE"/>
    <w:rsid w:val="00D96233"/>
    <w:rsid w:val="00D96BB1"/>
    <w:rsid w:val="00D96E15"/>
    <w:rsid w:val="00DA0279"/>
    <w:rsid w:val="00DA0CEF"/>
    <w:rsid w:val="00DA1829"/>
    <w:rsid w:val="00DA1C0E"/>
    <w:rsid w:val="00DA1C95"/>
    <w:rsid w:val="00DA2195"/>
    <w:rsid w:val="00DA370A"/>
    <w:rsid w:val="00DA3C4F"/>
    <w:rsid w:val="00DA42B9"/>
    <w:rsid w:val="00DA4DDC"/>
    <w:rsid w:val="00DA4FCB"/>
    <w:rsid w:val="00DA54D5"/>
    <w:rsid w:val="00DA6801"/>
    <w:rsid w:val="00DA6AD5"/>
    <w:rsid w:val="00DA6DD5"/>
    <w:rsid w:val="00DA795B"/>
    <w:rsid w:val="00DB0C45"/>
    <w:rsid w:val="00DB1036"/>
    <w:rsid w:val="00DB15D4"/>
    <w:rsid w:val="00DB1ECF"/>
    <w:rsid w:val="00DB21A6"/>
    <w:rsid w:val="00DB2768"/>
    <w:rsid w:val="00DB2FDE"/>
    <w:rsid w:val="00DB3216"/>
    <w:rsid w:val="00DB36A1"/>
    <w:rsid w:val="00DB3D35"/>
    <w:rsid w:val="00DB4670"/>
    <w:rsid w:val="00DB493E"/>
    <w:rsid w:val="00DB4BA7"/>
    <w:rsid w:val="00DB53A7"/>
    <w:rsid w:val="00DB5857"/>
    <w:rsid w:val="00DB6AE6"/>
    <w:rsid w:val="00DB6AF4"/>
    <w:rsid w:val="00DB729C"/>
    <w:rsid w:val="00DB7A06"/>
    <w:rsid w:val="00DC2223"/>
    <w:rsid w:val="00DC27CC"/>
    <w:rsid w:val="00DC354D"/>
    <w:rsid w:val="00DC38FB"/>
    <w:rsid w:val="00DC41B8"/>
    <w:rsid w:val="00DC58E1"/>
    <w:rsid w:val="00DC5F3F"/>
    <w:rsid w:val="00DC6A6F"/>
    <w:rsid w:val="00DC6C07"/>
    <w:rsid w:val="00DC6C28"/>
    <w:rsid w:val="00DC6F3B"/>
    <w:rsid w:val="00DC720F"/>
    <w:rsid w:val="00DC75BB"/>
    <w:rsid w:val="00DD12CA"/>
    <w:rsid w:val="00DD13AD"/>
    <w:rsid w:val="00DD1BBB"/>
    <w:rsid w:val="00DD238D"/>
    <w:rsid w:val="00DD2ABD"/>
    <w:rsid w:val="00DD2F20"/>
    <w:rsid w:val="00DD2F25"/>
    <w:rsid w:val="00DD3A88"/>
    <w:rsid w:val="00DD4A24"/>
    <w:rsid w:val="00DD4FC1"/>
    <w:rsid w:val="00DD5317"/>
    <w:rsid w:val="00DD54C5"/>
    <w:rsid w:val="00DD6ED9"/>
    <w:rsid w:val="00DD74A3"/>
    <w:rsid w:val="00DE062F"/>
    <w:rsid w:val="00DE098B"/>
    <w:rsid w:val="00DE0EAC"/>
    <w:rsid w:val="00DE183C"/>
    <w:rsid w:val="00DE1C5F"/>
    <w:rsid w:val="00DE2472"/>
    <w:rsid w:val="00DE2791"/>
    <w:rsid w:val="00DE27E6"/>
    <w:rsid w:val="00DE2D7C"/>
    <w:rsid w:val="00DE2F99"/>
    <w:rsid w:val="00DE3295"/>
    <w:rsid w:val="00DE340D"/>
    <w:rsid w:val="00DE3FE2"/>
    <w:rsid w:val="00DE5828"/>
    <w:rsid w:val="00DE5992"/>
    <w:rsid w:val="00DE5EC2"/>
    <w:rsid w:val="00DE61BB"/>
    <w:rsid w:val="00DE666C"/>
    <w:rsid w:val="00DE6C49"/>
    <w:rsid w:val="00DE731F"/>
    <w:rsid w:val="00DE7E22"/>
    <w:rsid w:val="00DF0530"/>
    <w:rsid w:val="00DF11D5"/>
    <w:rsid w:val="00DF1579"/>
    <w:rsid w:val="00DF3679"/>
    <w:rsid w:val="00DF43F2"/>
    <w:rsid w:val="00DF4696"/>
    <w:rsid w:val="00DF4AF6"/>
    <w:rsid w:val="00DF5139"/>
    <w:rsid w:val="00DF5307"/>
    <w:rsid w:val="00DF5926"/>
    <w:rsid w:val="00DF6F0A"/>
    <w:rsid w:val="00DF7266"/>
    <w:rsid w:val="00DF799A"/>
    <w:rsid w:val="00DF7DC1"/>
    <w:rsid w:val="00DFEC19"/>
    <w:rsid w:val="00E00133"/>
    <w:rsid w:val="00E0116A"/>
    <w:rsid w:val="00E02BAD"/>
    <w:rsid w:val="00E02E8A"/>
    <w:rsid w:val="00E03B60"/>
    <w:rsid w:val="00E04203"/>
    <w:rsid w:val="00E04613"/>
    <w:rsid w:val="00E057DC"/>
    <w:rsid w:val="00E05857"/>
    <w:rsid w:val="00E0591B"/>
    <w:rsid w:val="00E05E03"/>
    <w:rsid w:val="00E064B0"/>
    <w:rsid w:val="00E0659B"/>
    <w:rsid w:val="00E06E0D"/>
    <w:rsid w:val="00E06F74"/>
    <w:rsid w:val="00E071A4"/>
    <w:rsid w:val="00E076B3"/>
    <w:rsid w:val="00E07A4B"/>
    <w:rsid w:val="00E07BF4"/>
    <w:rsid w:val="00E107BC"/>
    <w:rsid w:val="00E11964"/>
    <w:rsid w:val="00E11F05"/>
    <w:rsid w:val="00E11FFB"/>
    <w:rsid w:val="00E12B6C"/>
    <w:rsid w:val="00E12F44"/>
    <w:rsid w:val="00E1357B"/>
    <w:rsid w:val="00E1409A"/>
    <w:rsid w:val="00E143C7"/>
    <w:rsid w:val="00E14791"/>
    <w:rsid w:val="00E1493B"/>
    <w:rsid w:val="00E152ED"/>
    <w:rsid w:val="00E15F81"/>
    <w:rsid w:val="00E16C9F"/>
    <w:rsid w:val="00E17185"/>
    <w:rsid w:val="00E1760D"/>
    <w:rsid w:val="00E17929"/>
    <w:rsid w:val="00E17F7F"/>
    <w:rsid w:val="00E2009B"/>
    <w:rsid w:val="00E20356"/>
    <w:rsid w:val="00E20364"/>
    <w:rsid w:val="00E216EF"/>
    <w:rsid w:val="00E217DC"/>
    <w:rsid w:val="00E22109"/>
    <w:rsid w:val="00E229A3"/>
    <w:rsid w:val="00E22A54"/>
    <w:rsid w:val="00E22F82"/>
    <w:rsid w:val="00E23234"/>
    <w:rsid w:val="00E23448"/>
    <w:rsid w:val="00E2394F"/>
    <w:rsid w:val="00E239E2"/>
    <w:rsid w:val="00E23DC5"/>
    <w:rsid w:val="00E24111"/>
    <w:rsid w:val="00E24399"/>
    <w:rsid w:val="00E24818"/>
    <w:rsid w:val="00E2527A"/>
    <w:rsid w:val="00E254C8"/>
    <w:rsid w:val="00E257DD"/>
    <w:rsid w:val="00E258AF"/>
    <w:rsid w:val="00E25ED4"/>
    <w:rsid w:val="00E30CC9"/>
    <w:rsid w:val="00E3189B"/>
    <w:rsid w:val="00E318CC"/>
    <w:rsid w:val="00E32CE8"/>
    <w:rsid w:val="00E32CF2"/>
    <w:rsid w:val="00E33087"/>
    <w:rsid w:val="00E34A6F"/>
    <w:rsid w:val="00E35086"/>
    <w:rsid w:val="00E3518F"/>
    <w:rsid w:val="00E35339"/>
    <w:rsid w:val="00E3592E"/>
    <w:rsid w:val="00E35E04"/>
    <w:rsid w:val="00E364B0"/>
    <w:rsid w:val="00E36908"/>
    <w:rsid w:val="00E37794"/>
    <w:rsid w:val="00E378D4"/>
    <w:rsid w:val="00E40875"/>
    <w:rsid w:val="00E40CB1"/>
    <w:rsid w:val="00E41864"/>
    <w:rsid w:val="00E41AD4"/>
    <w:rsid w:val="00E42AD3"/>
    <w:rsid w:val="00E440D2"/>
    <w:rsid w:val="00E442E3"/>
    <w:rsid w:val="00E44377"/>
    <w:rsid w:val="00E45539"/>
    <w:rsid w:val="00E46143"/>
    <w:rsid w:val="00E463B5"/>
    <w:rsid w:val="00E46F98"/>
    <w:rsid w:val="00E471D3"/>
    <w:rsid w:val="00E473D1"/>
    <w:rsid w:val="00E47607"/>
    <w:rsid w:val="00E47F0A"/>
    <w:rsid w:val="00E50273"/>
    <w:rsid w:val="00E516FE"/>
    <w:rsid w:val="00E51F64"/>
    <w:rsid w:val="00E529C7"/>
    <w:rsid w:val="00E534CB"/>
    <w:rsid w:val="00E53C0F"/>
    <w:rsid w:val="00E546D5"/>
    <w:rsid w:val="00E55266"/>
    <w:rsid w:val="00E554A6"/>
    <w:rsid w:val="00E55FE1"/>
    <w:rsid w:val="00E56BD8"/>
    <w:rsid w:val="00E60EF9"/>
    <w:rsid w:val="00E615D9"/>
    <w:rsid w:val="00E618D1"/>
    <w:rsid w:val="00E62009"/>
    <w:rsid w:val="00E631C5"/>
    <w:rsid w:val="00E651B7"/>
    <w:rsid w:val="00E6538E"/>
    <w:rsid w:val="00E65BCD"/>
    <w:rsid w:val="00E65CE1"/>
    <w:rsid w:val="00E66D95"/>
    <w:rsid w:val="00E6715A"/>
    <w:rsid w:val="00E677E1"/>
    <w:rsid w:val="00E710DC"/>
    <w:rsid w:val="00E7158F"/>
    <w:rsid w:val="00E732FD"/>
    <w:rsid w:val="00E738F9"/>
    <w:rsid w:val="00E73987"/>
    <w:rsid w:val="00E73FD6"/>
    <w:rsid w:val="00E7426A"/>
    <w:rsid w:val="00E742F0"/>
    <w:rsid w:val="00E7531B"/>
    <w:rsid w:val="00E76571"/>
    <w:rsid w:val="00E76AC3"/>
    <w:rsid w:val="00E7754D"/>
    <w:rsid w:val="00E8012D"/>
    <w:rsid w:val="00E807DF"/>
    <w:rsid w:val="00E80FC7"/>
    <w:rsid w:val="00E8230A"/>
    <w:rsid w:val="00E8295E"/>
    <w:rsid w:val="00E83115"/>
    <w:rsid w:val="00E83D95"/>
    <w:rsid w:val="00E8404F"/>
    <w:rsid w:val="00E849CE"/>
    <w:rsid w:val="00E8509F"/>
    <w:rsid w:val="00E85258"/>
    <w:rsid w:val="00E85998"/>
    <w:rsid w:val="00E859F8"/>
    <w:rsid w:val="00E85C90"/>
    <w:rsid w:val="00E86E50"/>
    <w:rsid w:val="00E87421"/>
    <w:rsid w:val="00E9043A"/>
    <w:rsid w:val="00E904C8"/>
    <w:rsid w:val="00E908D9"/>
    <w:rsid w:val="00E90B25"/>
    <w:rsid w:val="00E91198"/>
    <w:rsid w:val="00E92BCD"/>
    <w:rsid w:val="00E92F29"/>
    <w:rsid w:val="00E934D4"/>
    <w:rsid w:val="00E93EA3"/>
    <w:rsid w:val="00E93F2D"/>
    <w:rsid w:val="00E9412A"/>
    <w:rsid w:val="00E943C6"/>
    <w:rsid w:val="00E945B7"/>
    <w:rsid w:val="00E945DC"/>
    <w:rsid w:val="00E96019"/>
    <w:rsid w:val="00E96405"/>
    <w:rsid w:val="00E9642B"/>
    <w:rsid w:val="00E96460"/>
    <w:rsid w:val="00E96E05"/>
    <w:rsid w:val="00E97211"/>
    <w:rsid w:val="00E972A0"/>
    <w:rsid w:val="00E97B54"/>
    <w:rsid w:val="00EA01A9"/>
    <w:rsid w:val="00EA0301"/>
    <w:rsid w:val="00EA0577"/>
    <w:rsid w:val="00EA0DB2"/>
    <w:rsid w:val="00EA19A9"/>
    <w:rsid w:val="00EA1BA5"/>
    <w:rsid w:val="00EA1CE5"/>
    <w:rsid w:val="00EA1CFB"/>
    <w:rsid w:val="00EA2075"/>
    <w:rsid w:val="00EA28DF"/>
    <w:rsid w:val="00EA2E96"/>
    <w:rsid w:val="00EA2F8D"/>
    <w:rsid w:val="00EA2F9C"/>
    <w:rsid w:val="00EA3AD0"/>
    <w:rsid w:val="00EA3AD5"/>
    <w:rsid w:val="00EA3C62"/>
    <w:rsid w:val="00EA3EB2"/>
    <w:rsid w:val="00EA3FB1"/>
    <w:rsid w:val="00EA46A2"/>
    <w:rsid w:val="00EA4790"/>
    <w:rsid w:val="00EA4CF1"/>
    <w:rsid w:val="00EA6043"/>
    <w:rsid w:val="00EA637E"/>
    <w:rsid w:val="00EA70A1"/>
    <w:rsid w:val="00EA7C66"/>
    <w:rsid w:val="00EB0679"/>
    <w:rsid w:val="00EB0775"/>
    <w:rsid w:val="00EB130E"/>
    <w:rsid w:val="00EB172E"/>
    <w:rsid w:val="00EB1FAB"/>
    <w:rsid w:val="00EB2BE8"/>
    <w:rsid w:val="00EB3322"/>
    <w:rsid w:val="00EB33D1"/>
    <w:rsid w:val="00EB415F"/>
    <w:rsid w:val="00EB446C"/>
    <w:rsid w:val="00EB45F7"/>
    <w:rsid w:val="00EB4B7A"/>
    <w:rsid w:val="00EB4DB3"/>
    <w:rsid w:val="00EB6352"/>
    <w:rsid w:val="00EB6880"/>
    <w:rsid w:val="00EB7621"/>
    <w:rsid w:val="00EB7E33"/>
    <w:rsid w:val="00EC0840"/>
    <w:rsid w:val="00EC0893"/>
    <w:rsid w:val="00EC0FDF"/>
    <w:rsid w:val="00EC1121"/>
    <w:rsid w:val="00EC15A1"/>
    <w:rsid w:val="00EC1612"/>
    <w:rsid w:val="00EC19EA"/>
    <w:rsid w:val="00EC1FFB"/>
    <w:rsid w:val="00EC2AB6"/>
    <w:rsid w:val="00EC3611"/>
    <w:rsid w:val="00EC3A2D"/>
    <w:rsid w:val="00EC3BD0"/>
    <w:rsid w:val="00EC49FB"/>
    <w:rsid w:val="00EC51D2"/>
    <w:rsid w:val="00EC52D9"/>
    <w:rsid w:val="00EC5A96"/>
    <w:rsid w:val="00EC6369"/>
    <w:rsid w:val="00EC6F0D"/>
    <w:rsid w:val="00EC7FED"/>
    <w:rsid w:val="00ED010D"/>
    <w:rsid w:val="00ED0CE5"/>
    <w:rsid w:val="00ED12A1"/>
    <w:rsid w:val="00ED226F"/>
    <w:rsid w:val="00ED2917"/>
    <w:rsid w:val="00ED2C1A"/>
    <w:rsid w:val="00ED313E"/>
    <w:rsid w:val="00ED4E46"/>
    <w:rsid w:val="00ED5270"/>
    <w:rsid w:val="00ED59C6"/>
    <w:rsid w:val="00ED5FFF"/>
    <w:rsid w:val="00ED68FB"/>
    <w:rsid w:val="00ED6DF0"/>
    <w:rsid w:val="00EE03A7"/>
    <w:rsid w:val="00EE109A"/>
    <w:rsid w:val="00EE1160"/>
    <w:rsid w:val="00EE1EC6"/>
    <w:rsid w:val="00EE201B"/>
    <w:rsid w:val="00EE2462"/>
    <w:rsid w:val="00EE2E79"/>
    <w:rsid w:val="00EE303E"/>
    <w:rsid w:val="00EE3458"/>
    <w:rsid w:val="00EE37EB"/>
    <w:rsid w:val="00EE3C27"/>
    <w:rsid w:val="00EE4A1B"/>
    <w:rsid w:val="00EE5A3B"/>
    <w:rsid w:val="00EE63C6"/>
    <w:rsid w:val="00EE67C1"/>
    <w:rsid w:val="00EE785E"/>
    <w:rsid w:val="00EE7AFE"/>
    <w:rsid w:val="00EF05FB"/>
    <w:rsid w:val="00EF0D75"/>
    <w:rsid w:val="00EF235E"/>
    <w:rsid w:val="00EF30CB"/>
    <w:rsid w:val="00EF36D4"/>
    <w:rsid w:val="00EF38E5"/>
    <w:rsid w:val="00EF3940"/>
    <w:rsid w:val="00EF411C"/>
    <w:rsid w:val="00EF41D2"/>
    <w:rsid w:val="00EF42D7"/>
    <w:rsid w:val="00EF5032"/>
    <w:rsid w:val="00EF561F"/>
    <w:rsid w:val="00EF5E5F"/>
    <w:rsid w:val="00EF622D"/>
    <w:rsid w:val="00EF63AB"/>
    <w:rsid w:val="00EF63F7"/>
    <w:rsid w:val="00EF7725"/>
    <w:rsid w:val="00EF79FE"/>
    <w:rsid w:val="00EF7B09"/>
    <w:rsid w:val="00F00140"/>
    <w:rsid w:val="00F00B10"/>
    <w:rsid w:val="00F00D7F"/>
    <w:rsid w:val="00F00F4C"/>
    <w:rsid w:val="00F023DC"/>
    <w:rsid w:val="00F02B7E"/>
    <w:rsid w:val="00F02EA7"/>
    <w:rsid w:val="00F03099"/>
    <w:rsid w:val="00F03202"/>
    <w:rsid w:val="00F032FA"/>
    <w:rsid w:val="00F03C9C"/>
    <w:rsid w:val="00F03CE2"/>
    <w:rsid w:val="00F0484F"/>
    <w:rsid w:val="00F057D5"/>
    <w:rsid w:val="00F0706C"/>
    <w:rsid w:val="00F07AB6"/>
    <w:rsid w:val="00F101FD"/>
    <w:rsid w:val="00F103D1"/>
    <w:rsid w:val="00F11561"/>
    <w:rsid w:val="00F122D4"/>
    <w:rsid w:val="00F12E1D"/>
    <w:rsid w:val="00F12E50"/>
    <w:rsid w:val="00F131BF"/>
    <w:rsid w:val="00F1435A"/>
    <w:rsid w:val="00F147AC"/>
    <w:rsid w:val="00F14ACA"/>
    <w:rsid w:val="00F14B18"/>
    <w:rsid w:val="00F153E3"/>
    <w:rsid w:val="00F15660"/>
    <w:rsid w:val="00F16FE0"/>
    <w:rsid w:val="00F2004E"/>
    <w:rsid w:val="00F21B88"/>
    <w:rsid w:val="00F220F7"/>
    <w:rsid w:val="00F22104"/>
    <w:rsid w:val="00F23906"/>
    <w:rsid w:val="00F23CC0"/>
    <w:rsid w:val="00F249C1"/>
    <w:rsid w:val="00F25264"/>
    <w:rsid w:val="00F25C3A"/>
    <w:rsid w:val="00F262E4"/>
    <w:rsid w:val="00F266FB"/>
    <w:rsid w:val="00F26994"/>
    <w:rsid w:val="00F3067C"/>
    <w:rsid w:val="00F306A3"/>
    <w:rsid w:val="00F30755"/>
    <w:rsid w:val="00F308D2"/>
    <w:rsid w:val="00F31FDA"/>
    <w:rsid w:val="00F323DD"/>
    <w:rsid w:val="00F32796"/>
    <w:rsid w:val="00F32914"/>
    <w:rsid w:val="00F34255"/>
    <w:rsid w:val="00F342A6"/>
    <w:rsid w:val="00F34687"/>
    <w:rsid w:val="00F346FB"/>
    <w:rsid w:val="00F3520B"/>
    <w:rsid w:val="00F35841"/>
    <w:rsid w:val="00F363B7"/>
    <w:rsid w:val="00F367A0"/>
    <w:rsid w:val="00F371C9"/>
    <w:rsid w:val="00F372F8"/>
    <w:rsid w:val="00F3762B"/>
    <w:rsid w:val="00F37BF4"/>
    <w:rsid w:val="00F408CD"/>
    <w:rsid w:val="00F4100B"/>
    <w:rsid w:val="00F41BEF"/>
    <w:rsid w:val="00F41C61"/>
    <w:rsid w:val="00F41E06"/>
    <w:rsid w:val="00F42151"/>
    <w:rsid w:val="00F42C5B"/>
    <w:rsid w:val="00F43132"/>
    <w:rsid w:val="00F433F6"/>
    <w:rsid w:val="00F43D70"/>
    <w:rsid w:val="00F45570"/>
    <w:rsid w:val="00F459C4"/>
    <w:rsid w:val="00F4726B"/>
    <w:rsid w:val="00F474F7"/>
    <w:rsid w:val="00F50027"/>
    <w:rsid w:val="00F51A1C"/>
    <w:rsid w:val="00F51EAD"/>
    <w:rsid w:val="00F51F42"/>
    <w:rsid w:val="00F5269A"/>
    <w:rsid w:val="00F530D9"/>
    <w:rsid w:val="00F5340C"/>
    <w:rsid w:val="00F53799"/>
    <w:rsid w:val="00F543C9"/>
    <w:rsid w:val="00F54D28"/>
    <w:rsid w:val="00F54D95"/>
    <w:rsid w:val="00F55D0E"/>
    <w:rsid w:val="00F5620B"/>
    <w:rsid w:val="00F575F2"/>
    <w:rsid w:val="00F578E3"/>
    <w:rsid w:val="00F57F91"/>
    <w:rsid w:val="00F57FF5"/>
    <w:rsid w:val="00F6033C"/>
    <w:rsid w:val="00F6042B"/>
    <w:rsid w:val="00F605C3"/>
    <w:rsid w:val="00F60623"/>
    <w:rsid w:val="00F60881"/>
    <w:rsid w:val="00F61727"/>
    <w:rsid w:val="00F622AD"/>
    <w:rsid w:val="00F6253B"/>
    <w:rsid w:val="00F62A1A"/>
    <w:rsid w:val="00F62BF2"/>
    <w:rsid w:val="00F62F86"/>
    <w:rsid w:val="00F63F68"/>
    <w:rsid w:val="00F6486B"/>
    <w:rsid w:val="00F64DF9"/>
    <w:rsid w:val="00F65562"/>
    <w:rsid w:val="00F658DF"/>
    <w:rsid w:val="00F65F01"/>
    <w:rsid w:val="00F6637A"/>
    <w:rsid w:val="00F66F99"/>
    <w:rsid w:val="00F6713D"/>
    <w:rsid w:val="00F672F2"/>
    <w:rsid w:val="00F70CEE"/>
    <w:rsid w:val="00F70D96"/>
    <w:rsid w:val="00F71549"/>
    <w:rsid w:val="00F71B85"/>
    <w:rsid w:val="00F7203A"/>
    <w:rsid w:val="00F72308"/>
    <w:rsid w:val="00F726FE"/>
    <w:rsid w:val="00F72D86"/>
    <w:rsid w:val="00F72FAB"/>
    <w:rsid w:val="00F735BD"/>
    <w:rsid w:val="00F73985"/>
    <w:rsid w:val="00F73BB5"/>
    <w:rsid w:val="00F74CB8"/>
    <w:rsid w:val="00F74E3B"/>
    <w:rsid w:val="00F74EB6"/>
    <w:rsid w:val="00F75250"/>
    <w:rsid w:val="00F7540D"/>
    <w:rsid w:val="00F75BF5"/>
    <w:rsid w:val="00F75F56"/>
    <w:rsid w:val="00F76353"/>
    <w:rsid w:val="00F76D54"/>
    <w:rsid w:val="00F7741C"/>
    <w:rsid w:val="00F777F7"/>
    <w:rsid w:val="00F778F7"/>
    <w:rsid w:val="00F8192A"/>
    <w:rsid w:val="00F8197D"/>
    <w:rsid w:val="00F821B9"/>
    <w:rsid w:val="00F82DD7"/>
    <w:rsid w:val="00F831D0"/>
    <w:rsid w:val="00F85132"/>
    <w:rsid w:val="00F860CC"/>
    <w:rsid w:val="00F8738A"/>
    <w:rsid w:val="00F87C79"/>
    <w:rsid w:val="00F90096"/>
    <w:rsid w:val="00F907B0"/>
    <w:rsid w:val="00F90A81"/>
    <w:rsid w:val="00F90F3D"/>
    <w:rsid w:val="00F910DE"/>
    <w:rsid w:val="00F9114F"/>
    <w:rsid w:val="00F91162"/>
    <w:rsid w:val="00F91332"/>
    <w:rsid w:val="00F92A85"/>
    <w:rsid w:val="00F92CFC"/>
    <w:rsid w:val="00F92DFF"/>
    <w:rsid w:val="00F93473"/>
    <w:rsid w:val="00F936B9"/>
    <w:rsid w:val="00F94DA6"/>
    <w:rsid w:val="00F95383"/>
    <w:rsid w:val="00F955D9"/>
    <w:rsid w:val="00F95748"/>
    <w:rsid w:val="00F95B87"/>
    <w:rsid w:val="00F95D30"/>
    <w:rsid w:val="00F965C0"/>
    <w:rsid w:val="00F96EB0"/>
    <w:rsid w:val="00F97954"/>
    <w:rsid w:val="00FA0B3F"/>
    <w:rsid w:val="00FA0D66"/>
    <w:rsid w:val="00FA110E"/>
    <w:rsid w:val="00FA134A"/>
    <w:rsid w:val="00FA1C09"/>
    <w:rsid w:val="00FA2519"/>
    <w:rsid w:val="00FA25E2"/>
    <w:rsid w:val="00FA2C88"/>
    <w:rsid w:val="00FA361E"/>
    <w:rsid w:val="00FA4925"/>
    <w:rsid w:val="00FA4B42"/>
    <w:rsid w:val="00FA4BCA"/>
    <w:rsid w:val="00FA575E"/>
    <w:rsid w:val="00FA5A5F"/>
    <w:rsid w:val="00FA6127"/>
    <w:rsid w:val="00FA64C0"/>
    <w:rsid w:val="00FA669F"/>
    <w:rsid w:val="00FA6A1B"/>
    <w:rsid w:val="00FA6BAD"/>
    <w:rsid w:val="00FA753A"/>
    <w:rsid w:val="00FA7571"/>
    <w:rsid w:val="00FA7ADA"/>
    <w:rsid w:val="00FB138E"/>
    <w:rsid w:val="00FB15A1"/>
    <w:rsid w:val="00FB1A30"/>
    <w:rsid w:val="00FB1AF3"/>
    <w:rsid w:val="00FB1DC5"/>
    <w:rsid w:val="00FB235B"/>
    <w:rsid w:val="00FB25AF"/>
    <w:rsid w:val="00FB2EE6"/>
    <w:rsid w:val="00FB384D"/>
    <w:rsid w:val="00FB3AE5"/>
    <w:rsid w:val="00FB3E98"/>
    <w:rsid w:val="00FB4A4B"/>
    <w:rsid w:val="00FB5278"/>
    <w:rsid w:val="00FB5BD3"/>
    <w:rsid w:val="00FB6E0D"/>
    <w:rsid w:val="00FB6FE6"/>
    <w:rsid w:val="00FB7389"/>
    <w:rsid w:val="00FB740D"/>
    <w:rsid w:val="00FC021D"/>
    <w:rsid w:val="00FC0364"/>
    <w:rsid w:val="00FC047A"/>
    <w:rsid w:val="00FC17A0"/>
    <w:rsid w:val="00FC1AB1"/>
    <w:rsid w:val="00FC1C55"/>
    <w:rsid w:val="00FC1EDC"/>
    <w:rsid w:val="00FC2E0F"/>
    <w:rsid w:val="00FC30CB"/>
    <w:rsid w:val="00FC36AF"/>
    <w:rsid w:val="00FC387F"/>
    <w:rsid w:val="00FC444E"/>
    <w:rsid w:val="00FC4FDE"/>
    <w:rsid w:val="00FC50C3"/>
    <w:rsid w:val="00FC5825"/>
    <w:rsid w:val="00FC58C0"/>
    <w:rsid w:val="00FC5921"/>
    <w:rsid w:val="00FC5C51"/>
    <w:rsid w:val="00FC5C92"/>
    <w:rsid w:val="00FC60FE"/>
    <w:rsid w:val="00FC65A8"/>
    <w:rsid w:val="00FC6D3E"/>
    <w:rsid w:val="00FC6F3B"/>
    <w:rsid w:val="00FC7A19"/>
    <w:rsid w:val="00FD07B0"/>
    <w:rsid w:val="00FD1195"/>
    <w:rsid w:val="00FD1400"/>
    <w:rsid w:val="00FD16B3"/>
    <w:rsid w:val="00FD1849"/>
    <w:rsid w:val="00FD2080"/>
    <w:rsid w:val="00FD28C3"/>
    <w:rsid w:val="00FD28F9"/>
    <w:rsid w:val="00FD2A0C"/>
    <w:rsid w:val="00FD2D3D"/>
    <w:rsid w:val="00FD44A5"/>
    <w:rsid w:val="00FD4824"/>
    <w:rsid w:val="00FD4FDC"/>
    <w:rsid w:val="00FD5B9B"/>
    <w:rsid w:val="00FD6533"/>
    <w:rsid w:val="00FD6E7A"/>
    <w:rsid w:val="00FD70C6"/>
    <w:rsid w:val="00FE0378"/>
    <w:rsid w:val="00FE0762"/>
    <w:rsid w:val="00FE09B9"/>
    <w:rsid w:val="00FE12A0"/>
    <w:rsid w:val="00FE2FFD"/>
    <w:rsid w:val="00FE41C1"/>
    <w:rsid w:val="00FE4521"/>
    <w:rsid w:val="00FE4966"/>
    <w:rsid w:val="00FE4D59"/>
    <w:rsid w:val="00FE5028"/>
    <w:rsid w:val="00FE5A1E"/>
    <w:rsid w:val="00FE5F68"/>
    <w:rsid w:val="00FE6124"/>
    <w:rsid w:val="00FE6439"/>
    <w:rsid w:val="00FE6B49"/>
    <w:rsid w:val="00FE6C43"/>
    <w:rsid w:val="00FE7844"/>
    <w:rsid w:val="00FE7BCD"/>
    <w:rsid w:val="00FE7F2F"/>
    <w:rsid w:val="00FF02B1"/>
    <w:rsid w:val="00FF03CA"/>
    <w:rsid w:val="00FF1500"/>
    <w:rsid w:val="00FF15FA"/>
    <w:rsid w:val="00FF1782"/>
    <w:rsid w:val="00FF1DE9"/>
    <w:rsid w:val="00FF2562"/>
    <w:rsid w:val="00FF2AD0"/>
    <w:rsid w:val="00FF2E12"/>
    <w:rsid w:val="00FF31C7"/>
    <w:rsid w:val="00FF3331"/>
    <w:rsid w:val="00FF464F"/>
    <w:rsid w:val="00FF481F"/>
    <w:rsid w:val="00FF530D"/>
    <w:rsid w:val="00FF5760"/>
    <w:rsid w:val="00FF5D78"/>
    <w:rsid w:val="00FF65A7"/>
    <w:rsid w:val="00FF7C26"/>
    <w:rsid w:val="012BCE7C"/>
    <w:rsid w:val="013CF689"/>
    <w:rsid w:val="01810EF2"/>
    <w:rsid w:val="019C3020"/>
    <w:rsid w:val="01CB7A47"/>
    <w:rsid w:val="01D906B8"/>
    <w:rsid w:val="0220783D"/>
    <w:rsid w:val="02330085"/>
    <w:rsid w:val="02403C4D"/>
    <w:rsid w:val="024B664D"/>
    <w:rsid w:val="02885780"/>
    <w:rsid w:val="02CC2C9A"/>
    <w:rsid w:val="02EA866D"/>
    <w:rsid w:val="0306ED04"/>
    <w:rsid w:val="0308849B"/>
    <w:rsid w:val="03128EE6"/>
    <w:rsid w:val="032C5DE9"/>
    <w:rsid w:val="03773020"/>
    <w:rsid w:val="03877C54"/>
    <w:rsid w:val="03B412C4"/>
    <w:rsid w:val="03BA7F8B"/>
    <w:rsid w:val="03C577CD"/>
    <w:rsid w:val="03FCB77E"/>
    <w:rsid w:val="043AB696"/>
    <w:rsid w:val="04507632"/>
    <w:rsid w:val="045299D8"/>
    <w:rsid w:val="0453319A"/>
    <w:rsid w:val="04653C52"/>
    <w:rsid w:val="04764278"/>
    <w:rsid w:val="0495D136"/>
    <w:rsid w:val="04A77FD2"/>
    <w:rsid w:val="04FBEED8"/>
    <w:rsid w:val="051E05BC"/>
    <w:rsid w:val="0526275A"/>
    <w:rsid w:val="052EE403"/>
    <w:rsid w:val="05319FF1"/>
    <w:rsid w:val="053D394C"/>
    <w:rsid w:val="05466801"/>
    <w:rsid w:val="05883786"/>
    <w:rsid w:val="05AEAA0D"/>
    <w:rsid w:val="05AFF061"/>
    <w:rsid w:val="05E9EFB0"/>
    <w:rsid w:val="05F82A71"/>
    <w:rsid w:val="05FD2B93"/>
    <w:rsid w:val="06042663"/>
    <w:rsid w:val="0612D0F1"/>
    <w:rsid w:val="061B4028"/>
    <w:rsid w:val="06374A28"/>
    <w:rsid w:val="06752571"/>
    <w:rsid w:val="067A67D4"/>
    <w:rsid w:val="0692AED3"/>
    <w:rsid w:val="06A28F92"/>
    <w:rsid w:val="072417D6"/>
    <w:rsid w:val="0732BDE3"/>
    <w:rsid w:val="073FEA55"/>
    <w:rsid w:val="07424E53"/>
    <w:rsid w:val="0743D2B6"/>
    <w:rsid w:val="07557690"/>
    <w:rsid w:val="0755C58A"/>
    <w:rsid w:val="07592A37"/>
    <w:rsid w:val="077F7781"/>
    <w:rsid w:val="07CBC27F"/>
    <w:rsid w:val="07F29CDB"/>
    <w:rsid w:val="083D1802"/>
    <w:rsid w:val="08878D0E"/>
    <w:rsid w:val="089D9BE2"/>
    <w:rsid w:val="08ADDAB5"/>
    <w:rsid w:val="08D74135"/>
    <w:rsid w:val="08F699A7"/>
    <w:rsid w:val="08FB9FE5"/>
    <w:rsid w:val="09260AFB"/>
    <w:rsid w:val="09404B5C"/>
    <w:rsid w:val="0956120C"/>
    <w:rsid w:val="0976BE46"/>
    <w:rsid w:val="097716C1"/>
    <w:rsid w:val="097724A5"/>
    <w:rsid w:val="098BC2E2"/>
    <w:rsid w:val="09B29404"/>
    <w:rsid w:val="09F207D7"/>
    <w:rsid w:val="09FE06A3"/>
    <w:rsid w:val="0A15AB03"/>
    <w:rsid w:val="0A488276"/>
    <w:rsid w:val="0A608F12"/>
    <w:rsid w:val="0A6CA124"/>
    <w:rsid w:val="0A7EAE44"/>
    <w:rsid w:val="0A883200"/>
    <w:rsid w:val="0A903272"/>
    <w:rsid w:val="0AA88E94"/>
    <w:rsid w:val="0AAE95BF"/>
    <w:rsid w:val="0AB6152B"/>
    <w:rsid w:val="0ABF21F9"/>
    <w:rsid w:val="0AE19D6D"/>
    <w:rsid w:val="0B1EDA03"/>
    <w:rsid w:val="0B21009C"/>
    <w:rsid w:val="0B24CCF9"/>
    <w:rsid w:val="0B422730"/>
    <w:rsid w:val="0B55D692"/>
    <w:rsid w:val="0B56F1C6"/>
    <w:rsid w:val="0B81FF18"/>
    <w:rsid w:val="0BD0AA73"/>
    <w:rsid w:val="0BD2714E"/>
    <w:rsid w:val="0BE82C21"/>
    <w:rsid w:val="0BECEEA4"/>
    <w:rsid w:val="0BF441E9"/>
    <w:rsid w:val="0BF6CB2A"/>
    <w:rsid w:val="0C2B226F"/>
    <w:rsid w:val="0C48C124"/>
    <w:rsid w:val="0C52BC9E"/>
    <w:rsid w:val="0C52E494"/>
    <w:rsid w:val="0C567134"/>
    <w:rsid w:val="0C5A1925"/>
    <w:rsid w:val="0C5BD98D"/>
    <w:rsid w:val="0C6BF9E1"/>
    <w:rsid w:val="0CA0893C"/>
    <w:rsid w:val="0CA155C6"/>
    <w:rsid w:val="0CC0178D"/>
    <w:rsid w:val="0CCAE19E"/>
    <w:rsid w:val="0CD655FA"/>
    <w:rsid w:val="0CDC9B12"/>
    <w:rsid w:val="0CE6F88E"/>
    <w:rsid w:val="0D0512D7"/>
    <w:rsid w:val="0D09D5FD"/>
    <w:rsid w:val="0D229869"/>
    <w:rsid w:val="0D3AAC32"/>
    <w:rsid w:val="0D3BAC97"/>
    <w:rsid w:val="0D3F054C"/>
    <w:rsid w:val="0D4AFDA8"/>
    <w:rsid w:val="0D59F2D7"/>
    <w:rsid w:val="0D62AC4C"/>
    <w:rsid w:val="0D76F1FC"/>
    <w:rsid w:val="0D863C17"/>
    <w:rsid w:val="0DBA0039"/>
    <w:rsid w:val="0DC4B41E"/>
    <w:rsid w:val="0DC548AD"/>
    <w:rsid w:val="0DCF7F46"/>
    <w:rsid w:val="0DE88626"/>
    <w:rsid w:val="0E2B29C1"/>
    <w:rsid w:val="0E2F4DF7"/>
    <w:rsid w:val="0E2F687E"/>
    <w:rsid w:val="0E37189C"/>
    <w:rsid w:val="0E45544B"/>
    <w:rsid w:val="0E5A81A4"/>
    <w:rsid w:val="0E5D60A5"/>
    <w:rsid w:val="0E693A78"/>
    <w:rsid w:val="0E741D61"/>
    <w:rsid w:val="0E9D796A"/>
    <w:rsid w:val="0EBDAD6F"/>
    <w:rsid w:val="0EBE27AD"/>
    <w:rsid w:val="0ED8502C"/>
    <w:rsid w:val="0EE1BA3E"/>
    <w:rsid w:val="0EEAA9FD"/>
    <w:rsid w:val="0EF206EE"/>
    <w:rsid w:val="0EF483A5"/>
    <w:rsid w:val="0F0A7516"/>
    <w:rsid w:val="0F114AB7"/>
    <w:rsid w:val="0F1C7007"/>
    <w:rsid w:val="0F4112FC"/>
    <w:rsid w:val="0F5746B6"/>
    <w:rsid w:val="0F5DD0DE"/>
    <w:rsid w:val="0F6DB697"/>
    <w:rsid w:val="0F81CEDA"/>
    <w:rsid w:val="0F8F1623"/>
    <w:rsid w:val="0F9D6CBC"/>
    <w:rsid w:val="0FAEBACD"/>
    <w:rsid w:val="1016587F"/>
    <w:rsid w:val="102642E4"/>
    <w:rsid w:val="10285677"/>
    <w:rsid w:val="102C7EEC"/>
    <w:rsid w:val="1031F20B"/>
    <w:rsid w:val="105E89EA"/>
    <w:rsid w:val="106A025F"/>
    <w:rsid w:val="1092CB3A"/>
    <w:rsid w:val="109465E9"/>
    <w:rsid w:val="10A15DD3"/>
    <w:rsid w:val="10A56437"/>
    <w:rsid w:val="10D2AF5E"/>
    <w:rsid w:val="10E46B3A"/>
    <w:rsid w:val="10F11E1F"/>
    <w:rsid w:val="11001141"/>
    <w:rsid w:val="110AC776"/>
    <w:rsid w:val="11188340"/>
    <w:rsid w:val="111ED674"/>
    <w:rsid w:val="112990E7"/>
    <w:rsid w:val="114AE23C"/>
    <w:rsid w:val="114E1658"/>
    <w:rsid w:val="116A5661"/>
    <w:rsid w:val="11784A73"/>
    <w:rsid w:val="118918D6"/>
    <w:rsid w:val="1196B9F1"/>
    <w:rsid w:val="11AF6264"/>
    <w:rsid w:val="11CB6131"/>
    <w:rsid w:val="11CFE1B5"/>
    <w:rsid w:val="11D28551"/>
    <w:rsid w:val="11D8E025"/>
    <w:rsid w:val="11DCF38C"/>
    <w:rsid w:val="11DD0F78"/>
    <w:rsid w:val="1232040B"/>
    <w:rsid w:val="1244A925"/>
    <w:rsid w:val="12B0B5FF"/>
    <w:rsid w:val="12BB843E"/>
    <w:rsid w:val="12C56B64"/>
    <w:rsid w:val="12C9C48D"/>
    <w:rsid w:val="12D6BB44"/>
    <w:rsid w:val="12F6BD1A"/>
    <w:rsid w:val="12FA6595"/>
    <w:rsid w:val="13102E51"/>
    <w:rsid w:val="131A1F3A"/>
    <w:rsid w:val="13340A67"/>
    <w:rsid w:val="1334578C"/>
    <w:rsid w:val="134C5C96"/>
    <w:rsid w:val="134DE70E"/>
    <w:rsid w:val="13635B1B"/>
    <w:rsid w:val="13769021"/>
    <w:rsid w:val="137EBC02"/>
    <w:rsid w:val="13878DFE"/>
    <w:rsid w:val="138FA9FB"/>
    <w:rsid w:val="13A7750D"/>
    <w:rsid w:val="13BE8A0B"/>
    <w:rsid w:val="13D1147F"/>
    <w:rsid w:val="13D49E25"/>
    <w:rsid w:val="13E575CA"/>
    <w:rsid w:val="140A13EA"/>
    <w:rsid w:val="140CEA03"/>
    <w:rsid w:val="141AB671"/>
    <w:rsid w:val="14310D26"/>
    <w:rsid w:val="1443BB0A"/>
    <w:rsid w:val="14627909"/>
    <w:rsid w:val="148877C4"/>
    <w:rsid w:val="148AE6D2"/>
    <w:rsid w:val="148DA202"/>
    <w:rsid w:val="14AA41EF"/>
    <w:rsid w:val="14BD3F92"/>
    <w:rsid w:val="14D01691"/>
    <w:rsid w:val="14E1EB6B"/>
    <w:rsid w:val="1512D017"/>
    <w:rsid w:val="1584668C"/>
    <w:rsid w:val="158C1891"/>
    <w:rsid w:val="15A05E3F"/>
    <w:rsid w:val="15A53C5C"/>
    <w:rsid w:val="15BFE048"/>
    <w:rsid w:val="15D33429"/>
    <w:rsid w:val="15EC5AA6"/>
    <w:rsid w:val="15F691F3"/>
    <w:rsid w:val="1600C52F"/>
    <w:rsid w:val="1604A88C"/>
    <w:rsid w:val="161A6AA8"/>
    <w:rsid w:val="1649E765"/>
    <w:rsid w:val="164D46C1"/>
    <w:rsid w:val="1664A3A7"/>
    <w:rsid w:val="1685DE03"/>
    <w:rsid w:val="16A63B77"/>
    <w:rsid w:val="16A9B609"/>
    <w:rsid w:val="16B44EBF"/>
    <w:rsid w:val="16CF1834"/>
    <w:rsid w:val="16D81376"/>
    <w:rsid w:val="16DE7BD6"/>
    <w:rsid w:val="16FBC025"/>
    <w:rsid w:val="1700BC5C"/>
    <w:rsid w:val="17162F12"/>
    <w:rsid w:val="174B77ED"/>
    <w:rsid w:val="175D936C"/>
    <w:rsid w:val="1767A16C"/>
    <w:rsid w:val="177D8198"/>
    <w:rsid w:val="1780A6F2"/>
    <w:rsid w:val="178413DA"/>
    <w:rsid w:val="17AA8465"/>
    <w:rsid w:val="17CF1B36"/>
    <w:rsid w:val="17D25587"/>
    <w:rsid w:val="17D3540E"/>
    <w:rsid w:val="17DD4866"/>
    <w:rsid w:val="17E191DA"/>
    <w:rsid w:val="17EADB58"/>
    <w:rsid w:val="17F21886"/>
    <w:rsid w:val="18204DD5"/>
    <w:rsid w:val="1836D31E"/>
    <w:rsid w:val="18417507"/>
    <w:rsid w:val="185EDC0F"/>
    <w:rsid w:val="18A24055"/>
    <w:rsid w:val="18A56032"/>
    <w:rsid w:val="18E307A7"/>
    <w:rsid w:val="18F3636A"/>
    <w:rsid w:val="1904435C"/>
    <w:rsid w:val="191BAF66"/>
    <w:rsid w:val="192EE793"/>
    <w:rsid w:val="1983F2D3"/>
    <w:rsid w:val="19918608"/>
    <w:rsid w:val="199FB3AB"/>
    <w:rsid w:val="19BB1E1A"/>
    <w:rsid w:val="19DAC85D"/>
    <w:rsid w:val="1A113B75"/>
    <w:rsid w:val="1A48AFDF"/>
    <w:rsid w:val="1A53E801"/>
    <w:rsid w:val="1A7ED808"/>
    <w:rsid w:val="1A9787B4"/>
    <w:rsid w:val="1A98E59F"/>
    <w:rsid w:val="1AA2F3C4"/>
    <w:rsid w:val="1ABB53C4"/>
    <w:rsid w:val="1B0341D3"/>
    <w:rsid w:val="1B09E47B"/>
    <w:rsid w:val="1B49B6EC"/>
    <w:rsid w:val="1B4BF180"/>
    <w:rsid w:val="1B524327"/>
    <w:rsid w:val="1B9C6F95"/>
    <w:rsid w:val="1BB458AE"/>
    <w:rsid w:val="1BE0B9D3"/>
    <w:rsid w:val="1BEC50EE"/>
    <w:rsid w:val="1BECA22A"/>
    <w:rsid w:val="1BF1676F"/>
    <w:rsid w:val="1BFA9F4A"/>
    <w:rsid w:val="1C0290B7"/>
    <w:rsid w:val="1C02BA34"/>
    <w:rsid w:val="1C2C4683"/>
    <w:rsid w:val="1C5340E8"/>
    <w:rsid w:val="1C55DB52"/>
    <w:rsid w:val="1C613156"/>
    <w:rsid w:val="1C98EFBF"/>
    <w:rsid w:val="1CBB9CBE"/>
    <w:rsid w:val="1CCF68BA"/>
    <w:rsid w:val="1CDA8285"/>
    <w:rsid w:val="1CDB1DDA"/>
    <w:rsid w:val="1D06D16A"/>
    <w:rsid w:val="1D286215"/>
    <w:rsid w:val="1D40782D"/>
    <w:rsid w:val="1D52BDD7"/>
    <w:rsid w:val="1D606522"/>
    <w:rsid w:val="1D6473B5"/>
    <w:rsid w:val="1D64D63A"/>
    <w:rsid w:val="1D79FC19"/>
    <w:rsid w:val="1D7F63AE"/>
    <w:rsid w:val="1D8EA505"/>
    <w:rsid w:val="1D9602FE"/>
    <w:rsid w:val="1D97E9B2"/>
    <w:rsid w:val="1D9FC2B6"/>
    <w:rsid w:val="1DC77701"/>
    <w:rsid w:val="1DC8010B"/>
    <w:rsid w:val="1DD2EBE0"/>
    <w:rsid w:val="1E2395D2"/>
    <w:rsid w:val="1E3B6F8A"/>
    <w:rsid w:val="1E4C7285"/>
    <w:rsid w:val="1E55E165"/>
    <w:rsid w:val="1E7D65BF"/>
    <w:rsid w:val="1EA7903B"/>
    <w:rsid w:val="1EC65D96"/>
    <w:rsid w:val="1EDE115C"/>
    <w:rsid w:val="1EE0F609"/>
    <w:rsid w:val="1EE1BB9B"/>
    <w:rsid w:val="1EFDDC75"/>
    <w:rsid w:val="1F046BF7"/>
    <w:rsid w:val="1F0E2FB0"/>
    <w:rsid w:val="1F1CB920"/>
    <w:rsid w:val="1F2D64AB"/>
    <w:rsid w:val="1F3F055A"/>
    <w:rsid w:val="1F4677B7"/>
    <w:rsid w:val="1F61A848"/>
    <w:rsid w:val="1F667391"/>
    <w:rsid w:val="1F6A7C3D"/>
    <w:rsid w:val="1F8C3234"/>
    <w:rsid w:val="1F8DC458"/>
    <w:rsid w:val="1F9B40AA"/>
    <w:rsid w:val="1FBF399B"/>
    <w:rsid w:val="1FD4D964"/>
    <w:rsid w:val="1FD554DC"/>
    <w:rsid w:val="1FEE4830"/>
    <w:rsid w:val="1FF97B58"/>
    <w:rsid w:val="20336AF7"/>
    <w:rsid w:val="204A3210"/>
    <w:rsid w:val="205F347B"/>
    <w:rsid w:val="20613AB3"/>
    <w:rsid w:val="2098380C"/>
    <w:rsid w:val="20A24493"/>
    <w:rsid w:val="21241301"/>
    <w:rsid w:val="21245E63"/>
    <w:rsid w:val="21250222"/>
    <w:rsid w:val="212BC449"/>
    <w:rsid w:val="212ECE45"/>
    <w:rsid w:val="21441519"/>
    <w:rsid w:val="2150E4C6"/>
    <w:rsid w:val="216B0918"/>
    <w:rsid w:val="21D4905C"/>
    <w:rsid w:val="21D68C93"/>
    <w:rsid w:val="21E6487E"/>
    <w:rsid w:val="21EF7D88"/>
    <w:rsid w:val="21F750CE"/>
    <w:rsid w:val="21FCFFD9"/>
    <w:rsid w:val="221220F1"/>
    <w:rsid w:val="222AE2A8"/>
    <w:rsid w:val="226F1780"/>
    <w:rsid w:val="227EE5D2"/>
    <w:rsid w:val="2285A79E"/>
    <w:rsid w:val="228CB8C1"/>
    <w:rsid w:val="229C68ED"/>
    <w:rsid w:val="22A9C779"/>
    <w:rsid w:val="22C1A602"/>
    <w:rsid w:val="22CC3ADB"/>
    <w:rsid w:val="22E12B00"/>
    <w:rsid w:val="22F82E36"/>
    <w:rsid w:val="22FEB5F9"/>
    <w:rsid w:val="2316446D"/>
    <w:rsid w:val="232D23AD"/>
    <w:rsid w:val="233483CD"/>
    <w:rsid w:val="233F9394"/>
    <w:rsid w:val="234A6B9A"/>
    <w:rsid w:val="23584017"/>
    <w:rsid w:val="237065D1"/>
    <w:rsid w:val="23D683FC"/>
    <w:rsid w:val="23E0521C"/>
    <w:rsid w:val="23E84C0C"/>
    <w:rsid w:val="23ED53D6"/>
    <w:rsid w:val="23F8ABB9"/>
    <w:rsid w:val="243C9AF6"/>
    <w:rsid w:val="2452164B"/>
    <w:rsid w:val="2475F0D7"/>
    <w:rsid w:val="249F122D"/>
    <w:rsid w:val="24A327F0"/>
    <w:rsid w:val="24AA9FFE"/>
    <w:rsid w:val="24B25F09"/>
    <w:rsid w:val="24D31C72"/>
    <w:rsid w:val="24D50C61"/>
    <w:rsid w:val="24D6982C"/>
    <w:rsid w:val="24F68E53"/>
    <w:rsid w:val="2505E3AC"/>
    <w:rsid w:val="2531B417"/>
    <w:rsid w:val="25502539"/>
    <w:rsid w:val="255B389C"/>
    <w:rsid w:val="25614ECA"/>
    <w:rsid w:val="256C2FFC"/>
    <w:rsid w:val="2576AA9E"/>
    <w:rsid w:val="25775ABD"/>
    <w:rsid w:val="25826649"/>
    <w:rsid w:val="258FF2A0"/>
    <w:rsid w:val="259259E9"/>
    <w:rsid w:val="25A214CA"/>
    <w:rsid w:val="25B3202E"/>
    <w:rsid w:val="25EB2CA8"/>
    <w:rsid w:val="25EFB34F"/>
    <w:rsid w:val="26057EEB"/>
    <w:rsid w:val="262719CF"/>
    <w:rsid w:val="26325528"/>
    <w:rsid w:val="2635837C"/>
    <w:rsid w:val="263BBDCF"/>
    <w:rsid w:val="263EC19B"/>
    <w:rsid w:val="264483BB"/>
    <w:rsid w:val="26494D7E"/>
    <w:rsid w:val="264B8F0A"/>
    <w:rsid w:val="264D05D6"/>
    <w:rsid w:val="26568C4E"/>
    <w:rsid w:val="2661F002"/>
    <w:rsid w:val="26A9DDF5"/>
    <w:rsid w:val="26ADFBD3"/>
    <w:rsid w:val="26CE6169"/>
    <w:rsid w:val="26E48E88"/>
    <w:rsid w:val="26F70B55"/>
    <w:rsid w:val="270E89F0"/>
    <w:rsid w:val="273325B2"/>
    <w:rsid w:val="27566055"/>
    <w:rsid w:val="27843C6F"/>
    <w:rsid w:val="2789FDA5"/>
    <w:rsid w:val="278B5797"/>
    <w:rsid w:val="2794BD92"/>
    <w:rsid w:val="27A53FE1"/>
    <w:rsid w:val="27C1B767"/>
    <w:rsid w:val="27CD4F29"/>
    <w:rsid w:val="27D480F0"/>
    <w:rsid w:val="27E7A50E"/>
    <w:rsid w:val="2803581A"/>
    <w:rsid w:val="28161BBC"/>
    <w:rsid w:val="281D95B9"/>
    <w:rsid w:val="281FD7AB"/>
    <w:rsid w:val="28275061"/>
    <w:rsid w:val="28310A07"/>
    <w:rsid w:val="283425AE"/>
    <w:rsid w:val="284814E2"/>
    <w:rsid w:val="284A3B35"/>
    <w:rsid w:val="2850D89F"/>
    <w:rsid w:val="2854FF06"/>
    <w:rsid w:val="28655495"/>
    <w:rsid w:val="2873288F"/>
    <w:rsid w:val="2883B1B4"/>
    <w:rsid w:val="28878A3C"/>
    <w:rsid w:val="28C3D75F"/>
    <w:rsid w:val="28F3BF95"/>
    <w:rsid w:val="29046C7D"/>
    <w:rsid w:val="291B35FD"/>
    <w:rsid w:val="2929F851"/>
    <w:rsid w:val="293923EC"/>
    <w:rsid w:val="295B9F8E"/>
    <w:rsid w:val="297BE181"/>
    <w:rsid w:val="299E1A72"/>
    <w:rsid w:val="29A90FE3"/>
    <w:rsid w:val="29D9D927"/>
    <w:rsid w:val="29F0BD77"/>
    <w:rsid w:val="2A0A258F"/>
    <w:rsid w:val="2A1F43E8"/>
    <w:rsid w:val="2A2DB5E8"/>
    <w:rsid w:val="2A4A9FCA"/>
    <w:rsid w:val="2A60C2D8"/>
    <w:rsid w:val="2A6930C6"/>
    <w:rsid w:val="2A700672"/>
    <w:rsid w:val="2A842594"/>
    <w:rsid w:val="2AA53C41"/>
    <w:rsid w:val="2AE05748"/>
    <w:rsid w:val="2AE25939"/>
    <w:rsid w:val="2B265564"/>
    <w:rsid w:val="2B31DA66"/>
    <w:rsid w:val="2B31F5C4"/>
    <w:rsid w:val="2B558E0D"/>
    <w:rsid w:val="2B5C4386"/>
    <w:rsid w:val="2B6BD57F"/>
    <w:rsid w:val="2B7455B8"/>
    <w:rsid w:val="2B9B2306"/>
    <w:rsid w:val="2BBFF59F"/>
    <w:rsid w:val="2BD07557"/>
    <w:rsid w:val="2BDAD2B9"/>
    <w:rsid w:val="2BE0EB58"/>
    <w:rsid w:val="2BFB92AF"/>
    <w:rsid w:val="2C048BFE"/>
    <w:rsid w:val="2C2C42D3"/>
    <w:rsid w:val="2C6D2660"/>
    <w:rsid w:val="2C78B87A"/>
    <w:rsid w:val="2C8575F5"/>
    <w:rsid w:val="2C8D5F0E"/>
    <w:rsid w:val="2CB234BE"/>
    <w:rsid w:val="2CB5C2A7"/>
    <w:rsid w:val="2CD103D7"/>
    <w:rsid w:val="2CF28D2B"/>
    <w:rsid w:val="2CF2F9BA"/>
    <w:rsid w:val="2D175263"/>
    <w:rsid w:val="2D1C5520"/>
    <w:rsid w:val="2D1CFD14"/>
    <w:rsid w:val="2D2EFE06"/>
    <w:rsid w:val="2D32813B"/>
    <w:rsid w:val="2D402678"/>
    <w:rsid w:val="2D4699B2"/>
    <w:rsid w:val="2D4EED02"/>
    <w:rsid w:val="2D7BFB28"/>
    <w:rsid w:val="2D85ADB7"/>
    <w:rsid w:val="2D8F6C5B"/>
    <w:rsid w:val="2D94E85A"/>
    <w:rsid w:val="2D9C3198"/>
    <w:rsid w:val="2DA42542"/>
    <w:rsid w:val="2DA88EAC"/>
    <w:rsid w:val="2DAC51F5"/>
    <w:rsid w:val="2DB99993"/>
    <w:rsid w:val="2DBD0862"/>
    <w:rsid w:val="2DDAAAA4"/>
    <w:rsid w:val="2DDAEECF"/>
    <w:rsid w:val="2DE8EC04"/>
    <w:rsid w:val="2DF2D657"/>
    <w:rsid w:val="2E01382D"/>
    <w:rsid w:val="2E12F0DE"/>
    <w:rsid w:val="2E1E4200"/>
    <w:rsid w:val="2E2119C2"/>
    <w:rsid w:val="2E233A46"/>
    <w:rsid w:val="2E3BE99C"/>
    <w:rsid w:val="2E51ADCE"/>
    <w:rsid w:val="2E54C85B"/>
    <w:rsid w:val="2E581B15"/>
    <w:rsid w:val="2E69EE7E"/>
    <w:rsid w:val="2E8204BE"/>
    <w:rsid w:val="2E955612"/>
    <w:rsid w:val="2E9DDBA0"/>
    <w:rsid w:val="2EA06497"/>
    <w:rsid w:val="2EA5DD11"/>
    <w:rsid w:val="2EAF9002"/>
    <w:rsid w:val="2ED5EAD1"/>
    <w:rsid w:val="2EE735EB"/>
    <w:rsid w:val="2EED078E"/>
    <w:rsid w:val="2EF63FA4"/>
    <w:rsid w:val="2EFD6415"/>
    <w:rsid w:val="2F067CC2"/>
    <w:rsid w:val="2F52D466"/>
    <w:rsid w:val="2F71C5ED"/>
    <w:rsid w:val="2F7631AB"/>
    <w:rsid w:val="2FB20454"/>
    <w:rsid w:val="2FB7FF5F"/>
    <w:rsid w:val="2FDAD162"/>
    <w:rsid w:val="2FEB5869"/>
    <w:rsid w:val="30047BD4"/>
    <w:rsid w:val="3007725F"/>
    <w:rsid w:val="302C05CD"/>
    <w:rsid w:val="305C2FE8"/>
    <w:rsid w:val="306FA289"/>
    <w:rsid w:val="30A1165F"/>
    <w:rsid w:val="30AB0885"/>
    <w:rsid w:val="30B3FFDD"/>
    <w:rsid w:val="30B49C84"/>
    <w:rsid w:val="30DB5EB1"/>
    <w:rsid w:val="30DD2725"/>
    <w:rsid w:val="312E3568"/>
    <w:rsid w:val="313D5365"/>
    <w:rsid w:val="3141748B"/>
    <w:rsid w:val="3141ECA7"/>
    <w:rsid w:val="314B96BB"/>
    <w:rsid w:val="31547C76"/>
    <w:rsid w:val="3186B7F7"/>
    <w:rsid w:val="31A49FB8"/>
    <w:rsid w:val="31B28FD5"/>
    <w:rsid w:val="31BED0C0"/>
    <w:rsid w:val="31ED6182"/>
    <w:rsid w:val="322599A0"/>
    <w:rsid w:val="3230CB27"/>
    <w:rsid w:val="3233322F"/>
    <w:rsid w:val="324D64DC"/>
    <w:rsid w:val="3258EB13"/>
    <w:rsid w:val="3277D753"/>
    <w:rsid w:val="32A9A47D"/>
    <w:rsid w:val="32C0CDD4"/>
    <w:rsid w:val="32CB8120"/>
    <w:rsid w:val="32F3F967"/>
    <w:rsid w:val="3323ABDB"/>
    <w:rsid w:val="3327A0B1"/>
    <w:rsid w:val="33294A0C"/>
    <w:rsid w:val="332DC693"/>
    <w:rsid w:val="334640D6"/>
    <w:rsid w:val="336E94F8"/>
    <w:rsid w:val="3371B737"/>
    <w:rsid w:val="33A679E8"/>
    <w:rsid w:val="33AFAC10"/>
    <w:rsid w:val="33CE51EA"/>
    <w:rsid w:val="33CEB3E1"/>
    <w:rsid w:val="33FC0547"/>
    <w:rsid w:val="34471EBF"/>
    <w:rsid w:val="344F9FFF"/>
    <w:rsid w:val="34551989"/>
    <w:rsid w:val="345A2E5C"/>
    <w:rsid w:val="34641E8D"/>
    <w:rsid w:val="34845C87"/>
    <w:rsid w:val="34B69F88"/>
    <w:rsid w:val="34BF112B"/>
    <w:rsid w:val="34C69F74"/>
    <w:rsid w:val="34D4C035"/>
    <w:rsid w:val="34E75118"/>
    <w:rsid w:val="34F878CF"/>
    <w:rsid w:val="34FD2BD5"/>
    <w:rsid w:val="3500458F"/>
    <w:rsid w:val="350C9C85"/>
    <w:rsid w:val="3510F743"/>
    <w:rsid w:val="35A11F35"/>
    <w:rsid w:val="35E2FBCF"/>
    <w:rsid w:val="35E745A9"/>
    <w:rsid w:val="35E93899"/>
    <w:rsid w:val="360AFD82"/>
    <w:rsid w:val="362516E9"/>
    <w:rsid w:val="3650DF02"/>
    <w:rsid w:val="365EA4B0"/>
    <w:rsid w:val="36675ECE"/>
    <w:rsid w:val="36735894"/>
    <w:rsid w:val="3673BC80"/>
    <w:rsid w:val="3679BACB"/>
    <w:rsid w:val="36A06A8D"/>
    <w:rsid w:val="36A63937"/>
    <w:rsid w:val="36B2CF3F"/>
    <w:rsid w:val="36BC5F63"/>
    <w:rsid w:val="36D7D38F"/>
    <w:rsid w:val="36DE52B1"/>
    <w:rsid w:val="37062888"/>
    <w:rsid w:val="3736B2DA"/>
    <w:rsid w:val="37829448"/>
    <w:rsid w:val="37B0E597"/>
    <w:rsid w:val="37BA7313"/>
    <w:rsid w:val="37E8E375"/>
    <w:rsid w:val="37F69172"/>
    <w:rsid w:val="37FB09C5"/>
    <w:rsid w:val="38234888"/>
    <w:rsid w:val="3833A504"/>
    <w:rsid w:val="3836AC9F"/>
    <w:rsid w:val="38698C82"/>
    <w:rsid w:val="387757CD"/>
    <w:rsid w:val="38CCC517"/>
    <w:rsid w:val="390A250D"/>
    <w:rsid w:val="390C135F"/>
    <w:rsid w:val="3934D4CB"/>
    <w:rsid w:val="394F3264"/>
    <w:rsid w:val="3950D5D9"/>
    <w:rsid w:val="3952AEE0"/>
    <w:rsid w:val="3965DBD7"/>
    <w:rsid w:val="39A467FC"/>
    <w:rsid w:val="39A566B0"/>
    <w:rsid w:val="39B87477"/>
    <w:rsid w:val="39C24838"/>
    <w:rsid w:val="39C64729"/>
    <w:rsid w:val="39DE99EC"/>
    <w:rsid w:val="39F0467E"/>
    <w:rsid w:val="3A0C1305"/>
    <w:rsid w:val="3A18D6A4"/>
    <w:rsid w:val="3A19462F"/>
    <w:rsid w:val="3A1AF66B"/>
    <w:rsid w:val="3A1DF17A"/>
    <w:rsid w:val="3A26F17E"/>
    <w:rsid w:val="3A30A6D4"/>
    <w:rsid w:val="3A30C3E0"/>
    <w:rsid w:val="3A31D618"/>
    <w:rsid w:val="3A4151DE"/>
    <w:rsid w:val="3A4ACFD7"/>
    <w:rsid w:val="3A5B2A3A"/>
    <w:rsid w:val="3A5C3D50"/>
    <w:rsid w:val="3A60FEA9"/>
    <w:rsid w:val="3A6296BA"/>
    <w:rsid w:val="3A69CB6C"/>
    <w:rsid w:val="3A6D7393"/>
    <w:rsid w:val="3A744CF7"/>
    <w:rsid w:val="3AA9A91C"/>
    <w:rsid w:val="3AD5E9DD"/>
    <w:rsid w:val="3AEB0E1E"/>
    <w:rsid w:val="3AFBBC1C"/>
    <w:rsid w:val="3B1CAC0E"/>
    <w:rsid w:val="3B4313E3"/>
    <w:rsid w:val="3B5CC439"/>
    <w:rsid w:val="3B646519"/>
    <w:rsid w:val="3B704395"/>
    <w:rsid w:val="3B78067C"/>
    <w:rsid w:val="3B792CBA"/>
    <w:rsid w:val="3B9C2008"/>
    <w:rsid w:val="3BB02107"/>
    <w:rsid w:val="3BB03719"/>
    <w:rsid w:val="3BB5A04D"/>
    <w:rsid w:val="3BC72C68"/>
    <w:rsid w:val="3BE7E39F"/>
    <w:rsid w:val="3C1AD3B2"/>
    <w:rsid w:val="3C1CE562"/>
    <w:rsid w:val="3C43FD4A"/>
    <w:rsid w:val="3C5FDE72"/>
    <w:rsid w:val="3C716CF5"/>
    <w:rsid w:val="3C73781C"/>
    <w:rsid w:val="3C8BF0BD"/>
    <w:rsid w:val="3C943B81"/>
    <w:rsid w:val="3CAD25F1"/>
    <w:rsid w:val="3CAEDAE4"/>
    <w:rsid w:val="3CD9097C"/>
    <w:rsid w:val="3CF66385"/>
    <w:rsid w:val="3D09A5C9"/>
    <w:rsid w:val="3D0A21CF"/>
    <w:rsid w:val="3D288692"/>
    <w:rsid w:val="3D4250DA"/>
    <w:rsid w:val="3D4BA4A2"/>
    <w:rsid w:val="3D4E5B0D"/>
    <w:rsid w:val="3D5D6208"/>
    <w:rsid w:val="3D73025A"/>
    <w:rsid w:val="3D73F96A"/>
    <w:rsid w:val="3D8F387C"/>
    <w:rsid w:val="3D92FD9E"/>
    <w:rsid w:val="3D9AA552"/>
    <w:rsid w:val="3DA05E28"/>
    <w:rsid w:val="3DBB0EE7"/>
    <w:rsid w:val="3DC48B0C"/>
    <w:rsid w:val="3DC76F97"/>
    <w:rsid w:val="3E058BC6"/>
    <w:rsid w:val="3E24196A"/>
    <w:rsid w:val="3E328194"/>
    <w:rsid w:val="3E36F2FE"/>
    <w:rsid w:val="3E485C03"/>
    <w:rsid w:val="3E50F591"/>
    <w:rsid w:val="3E58FAD4"/>
    <w:rsid w:val="3E61A1AB"/>
    <w:rsid w:val="3E7BD43E"/>
    <w:rsid w:val="3E8FFB43"/>
    <w:rsid w:val="3E95F941"/>
    <w:rsid w:val="3EA035E7"/>
    <w:rsid w:val="3EA7767C"/>
    <w:rsid w:val="3EAD2BE9"/>
    <w:rsid w:val="3EB13A83"/>
    <w:rsid w:val="3ED40547"/>
    <w:rsid w:val="3EE1E753"/>
    <w:rsid w:val="3F109544"/>
    <w:rsid w:val="3F1C8E07"/>
    <w:rsid w:val="3F1E6A3A"/>
    <w:rsid w:val="3F2A8D15"/>
    <w:rsid w:val="3F2CF280"/>
    <w:rsid w:val="3F327AC6"/>
    <w:rsid w:val="3F4D60E8"/>
    <w:rsid w:val="3F62A8DE"/>
    <w:rsid w:val="3F7F78A8"/>
    <w:rsid w:val="3FAC9AF9"/>
    <w:rsid w:val="3FB7BACB"/>
    <w:rsid w:val="3FB97E3E"/>
    <w:rsid w:val="3FCCAA92"/>
    <w:rsid w:val="3FDD1DC9"/>
    <w:rsid w:val="3FE702C4"/>
    <w:rsid w:val="400FC408"/>
    <w:rsid w:val="40240C95"/>
    <w:rsid w:val="402DBDBF"/>
    <w:rsid w:val="404C0DC2"/>
    <w:rsid w:val="405CB1B6"/>
    <w:rsid w:val="405DF8FC"/>
    <w:rsid w:val="405F6A22"/>
    <w:rsid w:val="406BEAED"/>
    <w:rsid w:val="406FE4BF"/>
    <w:rsid w:val="40938A71"/>
    <w:rsid w:val="40A75972"/>
    <w:rsid w:val="40BD4153"/>
    <w:rsid w:val="40D47086"/>
    <w:rsid w:val="40DE5874"/>
    <w:rsid w:val="40F6065F"/>
    <w:rsid w:val="40FD1671"/>
    <w:rsid w:val="410C8AE0"/>
    <w:rsid w:val="412207F0"/>
    <w:rsid w:val="41274D06"/>
    <w:rsid w:val="412DE6DB"/>
    <w:rsid w:val="413245B3"/>
    <w:rsid w:val="4146ABEC"/>
    <w:rsid w:val="4157D2AE"/>
    <w:rsid w:val="415B1D8D"/>
    <w:rsid w:val="41626297"/>
    <w:rsid w:val="4178967E"/>
    <w:rsid w:val="41A97409"/>
    <w:rsid w:val="41AA3099"/>
    <w:rsid w:val="41BE50F3"/>
    <w:rsid w:val="41C26673"/>
    <w:rsid w:val="41CB1118"/>
    <w:rsid w:val="420835CD"/>
    <w:rsid w:val="423CE32A"/>
    <w:rsid w:val="42440B3A"/>
    <w:rsid w:val="4248B195"/>
    <w:rsid w:val="4262F567"/>
    <w:rsid w:val="427E3D0B"/>
    <w:rsid w:val="42A0794E"/>
    <w:rsid w:val="42DC2D84"/>
    <w:rsid w:val="42F20DBD"/>
    <w:rsid w:val="43028C52"/>
    <w:rsid w:val="4305BE55"/>
    <w:rsid w:val="430E40EA"/>
    <w:rsid w:val="434CEDC7"/>
    <w:rsid w:val="435A7522"/>
    <w:rsid w:val="4360ECF9"/>
    <w:rsid w:val="438256C6"/>
    <w:rsid w:val="43B4476B"/>
    <w:rsid w:val="43C532EC"/>
    <w:rsid w:val="43D089CF"/>
    <w:rsid w:val="43DDEEBD"/>
    <w:rsid w:val="44018D44"/>
    <w:rsid w:val="44238C12"/>
    <w:rsid w:val="44689622"/>
    <w:rsid w:val="446D4169"/>
    <w:rsid w:val="448878CD"/>
    <w:rsid w:val="44979214"/>
    <w:rsid w:val="44BAE1DA"/>
    <w:rsid w:val="44DDF290"/>
    <w:rsid w:val="44E762A0"/>
    <w:rsid w:val="44F4EA17"/>
    <w:rsid w:val="4520DB01"/>
    <w:rsid w:val="452332EE"/>
    <w:rsid w:val="452638DE"/>
    <w:rsid w:val="45281484"/>
    <w:rsid w:val="45314AA4"/>
    <w:rsid w:val="4538CFE3"/>
    <w:rsid w:val="45686674"/>
    <w:rsid w:val="457E254F"/>
    <w:rsid w:val="45C24F3F"/>
    <w:rsid w:val="45F7D4C7"/>
    <w:rsid w:val="460F9A49"/>
    <w:rsid w:val="462A13E0"/>
    <w:rsid w:val="462D124E"/>
    <w:rsid w:val="4630520C"/>
    <w:rsid w:val="4646BC25"/>
    <w:rsid w:val="467A2204"/>
    <w:rsid w:val="467AFEE7"/>
    <w:rsid w:val="46803E5B"/>
    <w:rsid w:val="46833301"/>
    <w:rsid w:val="469282BD"/>
    <w:rsid w:val="46FDCC26"/>
    <w:rsid w:val="471703E8"/>
    <w:rsid w:val="471F7C3C"/>
    <w:rsid w:val="472D9228"/>
    <w:rsid w:val="47D07317"/>
    <w:rsid w:val="47D31074"/>
    <w:rsid w:val="47D8C851"/>
    <w:rsid w:val="47E3B3D3"/>
    <w:rsid w:val="47FEDA18"/>
    <w:rsid w:val="48236EC6"/>
    <w:rsid w:val="485D1AEF"/>
    <w:rsid w:val="48618545"/>
    <w:rsid w:val="486875EE"/>
    <w:rsid w:val="486FBE7C"/>
    <w:rsid w:val="4872129E"/>
    <w:rsid w:val="4872458C"/>
    <w:rsid w:val="4875F377"/>
    <w:rsid w:val="48817BEF"/>
    <w:rsid w:val="48A2697B"/>
    <w:rsid w:val="48B4DB42"/>
    <w:rsid w:val="48BF4180"/>
    <w:rsid w:val="48CDF322"/>
    <w:rsid w:val="48E71288"/>
    <w:rsid w:val="49152ED2"/>
    <w:rsid w:val="491A448D"/>
    <w:rsid w:val="492FD39B"/>
    <w:rsid w:val="498E6DF7"/>
    <w:rsid w:val="49CB7D21"/>
    <w:rsid w:val="49DFC2FC"/>
    <w:rsid w:val="49DFDAEE"/>
    <w:rsid w:val="49E9D2C4"/>
    <w:rsid w:val="4A003718"/>
    <w:rsid w:val="4A06352E"/>
    <w:rsid w:val="4A0F81BC"/>
    <w:rsid w:val="4A20D127"/>
    <w:rsid w:val="4A30AFDF"/>
    <w:rsid w:val="4A6B0924"/>
    <w:rsid w:val="4A6F032F"/>
    <w:rsid w:val="4A7B223B"/>
    <w:rsid w:val="4A8AD05A"/>
    <w:rsid w:val="4A8B8BB0"/>
    <w:rsid w:val="4A8CC86F"/>
    <w:rsid w:val="4AC10DDC"/>
    <w:rsid w:val="4AC7239D"/>
    <w:rsid w:val="4AC83E6D"/>
    <w:rsid w:val="4AE02B4B"/>
    <w:rsid w:val="4AE9C2A2"/>
    <w:rsid w:val="4AEAA0C1"/>
    <w:rsid w:val="4B0D49C1"/>
    <w:rsid w:val="4B1C9CCC"/>
    <w:rsid w:val="4B1EBE84"/>
    <w:rsid w:val="4B430510"/>
    <w:rsid w:val="4B708A3C"/>
    <w:rsid w:val="4B8A2EE4"/>
    <w:rsid w:val="4B953665"/>
    <w:rsid w:val="4BC733C8"/>
    <w:rsid w:val="4BDF37F2"/>
    <w:rsid w:val="4BE0ED45"/>
    <w:rsid w:val="4BE9DF58"/>
    <w:rsid w:val="4BF36D01"/>
    <w:rsid w:val="4C11A73E"/>
    <w:rsid w:val="4C424C7F"/>
    <w:rsid w:val="4C930D3A"/>
    <w:rsid w:val="4CA6AAD5"/>
    <w:rsid w:val="4CB1AB7B"/>
    <w:rsid w:val="4CC29905"/>
    <w:rsid w:val="4CCC3C8D"/>
    <w:rsid w:val="4CE2CBA4"/>
    <w:rsid w:val="4CE6399E"/>
    <w:rsid w:val="4CF3B202"/>
    <w:rsid w:val="4CFCF108"/>
    <w:rsid w:val="4D26F4B6"/>
    <w:rsid w:val="4D3296CA"/>
    <w:rsid w:val="4D64D524"/>
    <w:rsid w:val="4D659628"/>
    <w:rsid w:val="4D7F309F"/>
    <w:rsid w:val="4D82D226"/>
    <w:rsid w:val="4D94861B"/>
    <w:rsid w:val="4DA7606E"/>
    <w:rsid w:val="4DAA1D7F"/>
    <w:rsid w:val="4DDB33D7"/>
    <w:rsid w:val="4DFFC259"/>
    <w:rsid w:val="4E0D0202"/>
    <w:rsid w:val="4E1980BC"/>
    <w:rsid w:val="4E244F57"/>
    <w:rsid w:val="4E33AAF9"/>
    <w:rsid w:val="4E47D06F"/>
    <w:rsid w:val="4E516592"/>
    <w:rsid w:val="4EAB69ED"/>
    <w:rsid w:val="4ECB05CF"/>
    <w:rsid w:val="4ED103CD"/>
    <w:rsid w:val="4ED4FF75"/>
    <w:rsid w:val="4EDB6C44"/>
    <w:rsid w:val="4F0D6BFC"/>
    <w:rsid w:val="4F11F1F5"/>
    <w:rsid w:val="4F1B8D5B"/>
    <w:rsid w:val="4F3CF385"/>
    <w:rsid w:val="4F41E7EB"/>
    <w:rsid w:val="4F468857"/>
    <w:rsid w:val="4F7AC9AA"/>
    <w:rsid w:val="4F82EDCD"/>
    <w:rsid w:val="4F870121"/>
    <w:rsid w:val="4F88093C"/>
    <w:rsid w:val="4F8E5DE3"/>
    <w:rsid w:val="4F8E6FDD"/>
    <w:rsid w:val="4F8F0973"/>
    <w:rsid w:val="4F903A55"/>
    <w:rsid w:val="4FB8C367"/>
    <w:rsid w:val="4FBA973A"/>
    <w:rsid w:val="4FC2D050"/>
    <w:rsid w:val="4FDD8E27"/>
    <w:rsid w:val="4FDE7584"/>
    <w:rsid w:val="4FFE235D"/>
    <w:rsid w:val="502E19C1"/>
    <w:rsid w:val="503041D1"/>
    <w:rsid w:val="50326FC3"/>
    <w:rsid w:val="50340615"/>
    <w:rsid w:val="50408CFC"/>
    <w:rsid w:val="506B73FE"/>
    <w:rsid w:val="506D138E"/>
    <w:rsid w:val="506E3F1F"/>
    <w:rsid w:val="5073351A"/>
    <w:rsid w:val="508B7A94"/>
    <w:rsid w:val="50A40768"/>
    <w:rsid w:val="50BDC081"/>
    <w:rsid w:val="50E99024"/>
    <w:rsid w:val="50EFBEB3"/>
    <w:rsid w:val="50FA3B36"/>
    <w:rsid w:val="5112D499"/>
    <w:rsid w:val="5115257C"/>
    <w:rsid w:val="511FA587"/>
    <w:rsid w:val="5164E66A"/>
    <w:rsid w:val="518761C1"/>
    <w:rsid w:val="51960E09"/>
    <w:rsid w:val="51A707AB"/>
    <w:rsid w:val="51B281DA"/>
    <w:rsid w:val="51C858EB"/>
    <w:rsid w:val="51C8E49D"/>
    <w:rsid w:val="51CCDC48"/>
    <w:rsid w:val="51E163DF"/>
    <w:rsid w:val="51E6B0B4"/>
    <w:rsid w:val="522072A5"/>
    <w:rsid w:val="5220E0FF"/>
    <w:rsid w:val="5233B367"/>
    <w:rsid w:val="523B1679"/>
    <w:rsid w:val="52719CF2"/>
    <w:rsid w:val="527C6A2D"/>
    <w:rsid w:val="528AD4E0"/>
    <w:rsid w:val="52A88EE6"/>
    <w:rsid w:val="52AEA4FA"/>
    <w:rsid w:val="52E038CE"/>
    <w:rsid w:val="52EA1BDC"/>
    <w:rsid w:val="53055CAD"/>
    <w:rsid w:val="530CF083"/>
    <w:rsid w:val="530E2210"/>
    <w:rsid w:val="5324BBD4"/>
    <w:rsid w:val="53259C5E"/>
    <w:rsid w:val="533D28B2"/>
    <w:rsid w:val="5361A5F6"/>
    <w:rsid w:val="53A47FF6"/>
    <w:rsid w:val="53A597F7"/>
    <w:rsid w:val="53C439D9"/>
    <w:rsid w:val="5405F0C3"/>
    <w:rsid w:val="540F4FC2"/>
    <w:rsid w:val="54117AB1"/>
    <w:rsid w:val="543394B5"/>
    <w:rsid w:val="54566664"/>
    <w:rsid w:val="545D04D0"/>
    <w:rsid w:val="54623CF2"/>
    <w:rsid w:val="5463A424"/>
    <w:rsid w:val="54817BC9"/>
    <w:rsid w:val="548E5124"/>
    <w:rsid w:val="54BC9E0E"/>
    <w:rsid w:val="54C29C5D"/>
    <w:rsid w:val="54C9C9C4"/>
    <w:rsid w:val="54CB099C"/>
    <w:rsid w:val="54EA4E41"/>
    <w:rsid w:val="551A4DB0"/>
    <w:rsid w:val="552729CC"/>
    <w:rsid w:val="552DC7C0"/>
    <w:rsid w:val="55576F9C"/>
    <w:rsid w:val="55618E70"/>
    <w:rsid w:val="5564C5B2"/>
    <w:rsid w:val="55925DDD"/>
    <w:rsid w:val="559495A0"/>
    <w:rsid w:val="5598567B"/>
    <w:rsid w:val="55D27097"/>
    <w:rsid w:val="55D8580E"/>
    <w:rsid w:val="55F0523E"/>
    <w:rsid w:val="56114B00"/>
    <w:rsid w:val="56189EA6"/>
    <w:rsid w:val="566551B7"/>
    <w:rsid w:val="567CA347"/>
    <w:rsid w:val="569809E7"/>
    <w:rsid w:val="56B1647B"/>
    <w:rsid w:val="56D4AF38"/>
    <w:rsid w:val="56E67E29"/>
    <w:rsid w:val="57029C14"/>
    <w:rsid w:val="573AEAA4"/>
    <w:rsid w:val="57400EFF"/>
    <w:rsid w:val="57523992"/>
    <w:rsid w:val="575F0734"/>
    <w:rsid w:val="576F7F51"/>
    <w:rsid w:val="577E802E"/>
    <w:rsid w:val="57867A76"/>
    <w:rsid w:val="579518AE"/>
    <w:rsid w:val="579CFEBA"/>
    <w:rsid w:val="57B01403"/>
    <w:rsid w:val="57B879A8"/>
    <w:rsid w:val="57CFA244"/>
    <w:rsid w:val="57EBB4E2"/>
    <w:rsid w:val="57EF9697"/>
    <w:rsid w:val="57FF2258"/>
    <w:rsid w:val="5854BB5F"/>
    <w:rsid w:val="58560C6F"/>
    <w:rsid w:val="585A0580"/>
    <w:rsid w:val="585DD60A"/>
    <w:rsid w:val="58615277"/>
    <w:rsid w:val="58711CCB"/>
    <w:rsid w:val="588B64DC"/>
    <w:rsid w:val="5890F62B"/>
    <w:rsid w:val="589125F4"/>
    <w:rsid w:val="58A05D07"/>
    <w:rsid w:val="58ACE977"/>
    <w:rsid w:val="58BB39DB"/>
    <w:rsid w:val="58BB6CB2"/>
    <w:rsid w:val="58C7D146"/>
    <w:rsid w:val="58C9423E"/>
    <w:rsid w:val="58E40BC5"/>
    <w:rsid w:val="593157F7"/>
    <w:rsid w:val="59315F69"/>
    <w:rsid w:val="593B983C"/>
    <w:rsid w:val="594813D8"/>
    <w:rsid w:val="594953C3"/>
    <w:rsid w:val="594DA4A3"/>
    <w:rsid w:val="596567A4"/>
    <w:rsid w:val="5965A7FA"/>
    <w:rsid w:val="59AA2F13"/>
    <w:rsid w:val="59D84593"/>
    <w:rsid w:val="59E0AE17"/>
    <w:rsid w:val="59E5312A"/>
    <w:rsid w:val="5A363ACC"/>
    <w:rsid w:val="5A3C2D68"/>
    <w:rsid w:val="5A502313"/>
    <w:rsid w:val="5A659607"/>
    <w:rsid w:val="5A69B6F1"/>
    <w:rsid w:val="5A7D0985"/>
    <w:rsid w:val="5A7E4553"/>
    <w:rsid w:val="5A8734E1"/>
    <w:rsid w:val="5A97114B"/>
    <w:rsid w:val="5A9865A0"/>
    <w:rsid w:val="5AAD8840"/>
    <w:rsid w:val="5AD7E98B"/>
    <w:rsid w:val="5ADEA098"/>
    <w:rsid w:val="5AE77498"/>
    <w:rsid w:val="5AF6C397"/>
    <w:rsid w:val="5AFA31DA"/>
    <w:rsid w:val="5B0B5228"/>
    <w:rsid w:val="5B299DA0"/>
    <w:rsid w:val="5B432D43"/>
    <w:rsid w:val="5B55B05C"/>
    <w:rsid w:val="5B5E6FBC"/>
    <w:rsid w:val="5B6B987A"/>
    <w:rsid w:val="5B8502CD"/>
    <w:rsid w:val="5B89D302"/>
    <w:rsid w:val="5B8F5B28"/>
    <w:rsid w:val="5B8F9769"/>
    <w:rsid w:val="5BA778DC"/>
    <w:rsid w:val="5BB80D23"/>
    <w:rsid w:val="5BBC867A"/>
    <w:rsid w:val="5BD7FDA7"/>
    <w:rsid w:val="5BDD3ED4"/>
    <w:rsid w:val="5BE27820"/>
    <w:rsid w:val="5BE8B336"/>
    <w:rsid w:val="5C020E72"/>
    <w:rsid w:val="5C150EBF"/>
    <w:rsid w:val="5C1DEF19"/>
    <w:rsid w:val="5C5FB0B2"/>
    <w:rsid w:val="5C68F8B9"/>
    <w:rsid w:val="5C8F7195"/>
    <w:rsid w:val="5C9A83CA"/>
    <w:rsid w:val="5CA8EA4C"/>
    <w:rsid w:val="5CAD3A34"/>
    <w:rsid w:val="5CB58EEE"/>
    <w:rsid w:val="5CBD34B3"/>
    <w:rsid w:val="5CD9B66A"/>
    <w:rsid w:val="5CE20AA8"/>
    <w:rsid w:val="5CE217A8"/>
    <w:rsid w:val="5D0D0EB3"/>
    <w:rsid w:val="5D13A157"/>
    <w:rsid w:val="5D3FA9A3"/>
    <w:rsid w:val="5D52FD26"/>
    <w:rsid w:val="5D6BC012"/>
    <w:rsid w:val="5D8BDE64"/>
    <w:rsid w:val="5D9F358D"/>
    <w:rsid w:val="5DA2EEB3"/>
    <w:rsid w:val="5DD45293"/>
    <w:rsid w:val="5DEE89D5"/>
    <w:rsid w:val="5DFD18FD"/>
    <w:rsid w:val="5DFE5E2A"/>
    <w:rsid w:val="5E048FEF"/>
    <w:rsid w:val="5E08221E"/>
    <w:rsid w:val="5E17FE0C"/>
    <w:rsid w:val="5E223B6A"/>
    <w:rsid w:val="5E2DF486"/>
    <w:rsid w:val="5E3A2E63"/>
    <w:rsid w:val="5E45CE92"/>
    <w:rsid w:val="5E6B869D"/>
    <w:rsid w:val="5E867327"/>
    <w:rsid w:val="5EA34192"/>
    <w:rsid w:val="5EAAAC1F"/>
    <w:rsid w:val="5EBE9D6E"/>
    <w:rsid w:val="5ED481B3"/>
    <w:rsid w:val="5EE44F02"/>
    <w:rsid w:val="5EFFEF37"/>
    <w:rsid w:val="5F2053F8"/>
    <w:rsid w:val="5F2212EA"/>
    <w:rsid w:val="5F281FF1"/>
    <w:rsid w:val="5F6EE9C0"/>
    <w:rsid w:val="5F817E57"/>
    <w:rsid w:val="5F947FF9"/>
    <w:rsid w:val="5FA0997B"/>
    <w:rsid w:val="5FBBC03A"/>
    <w:rsid w:val="5FEE3530"/>
    <w:rsid w:val="6003610B"/>
    <w:rsid w:val="600C5EC7"/>
    <w:rsid w:val="600CDD0F"/>
    <w:rsid w:val="600ECC2D"/>
    <w:rsid w:val="601AA7CD"/>
    <w:rsid w:val="601E3BF5"/>
    <w:rsid w:val="60294318"/>
    <w:rsid w:val="6032EBE4"/>
    <w:rsid w:val="6044D8D5"/>
    <w:rsid w:val="6044F426"/>
    <w:rsid w:val="605E4E27"/>
    <w:rsid w:val="60739794"/>
    <w:rsid w:val="607399F2"/>
    <w:rsid w:val="6087754E"/>
    <w:rsid w:val="60AFF8AB"/>
    <w:rsid w:val="60BC2459"/>
    <w:rsid w:val="60C710D8"/>
    <w:rsid w:val="60CC463B"/>
    <w:rsid w:val="60DA0A9D"/>
    <w:rsid w:val="60DEE74C"/>
    <w:rsid w:val="60EEC46C"/>
    <w:rsid w:val="60F56CAA"/>
    <w:rsid w:val="60FF99CF"/>
    <w:rsid w:val="61295A0B"/>
    <w:rsid w:val="61345168"/>
    <w:rsid w:val="6139FB4B"/>
    <w:rsid w:val="613D5EAF"/>
    <w:rsid w:val="6167796A"/>
    <w:rsid w:val="619703CE"/>
    <w:rsid w:val="619CB7FF"/>
    <w:rsid w:val="61A39F26"/>
    <w:rsid w:val="61A7F9C6"/>
    <w:rsid w:val="61D5AE23"/>
    <w:rsid w:val="61DABA58"/>
    <w:rsid w:val="61FCF92A"/>
    <w:rsid w:val="622CBC2E"/>
    <w:rsid w:val="6258EC49"/>
    <w:rsid w:val="6260CCBE"/>
    <w:rsid w:val="626FC988"/>
    <w:rsid w:val="6273D8F7"/>
    <w:rsid w:val="62AD5E4D"/>
    <w:rsid w:val="62BFCCDC"/>
    <w:rsid w:val="62EF8E85"/>
    <w:rsid w:val="6304CCC1"/>
    <w:rsid w:val="63193FB5"/>
    <w:rsid w:val="631FB290"/>
    <w:rsid w:val="632BBC3C"/>
    <w:rsid w:val="63308535"/>
    <w:rsid w:val="63487E24"/>
    <w:rsid w:val="6361EDEA"/>
    <w:rsid w:val="637E7E5B"/>
    <w:rsid w:val="638B589A"/>
    <w:rsid w:val="639B5BB1"/>
    <w:rsid w:val="63AD5313"/>
    <w:rsid w:val="63B4A1F6"/>
    <w:rsid w:val="63D42FF7"/>
    <w:rsid w:val="63FB3D7E"/>
    <w:rsid w:val="63FC9D1F"/>
    <w:rsid w:val="64047407"/>
    <w:rsid w:val="6406217E"/>
    <w:rsid w:val="640DABC3"/>
    <w:rsid w:val="641F1AC5"/>
    <w:rsid w:val="643DE350"/>
    <w:rsid w:val="644F72EA"/>
    <w:rsid w:val="648DF4C1"/>
    <w:rsid w:val="64B73EF9"/>
    <w:rsid w:val="64C1A653"/>
    <w:rsid w:val="650959AE"/>
    <w:rsid w:val="652620AB"/>
    <w:rsid w:val="653068FE"/>
    <w:rsid w:val="65357DD2"/>
    <w:rsid w:val="654D496F"/>
    <w:rsid w:val="657EEF73"/>
    <w:rsid w:val="6599264F"/>
    <w:rsid w:val="659AE638"/>
    <w:rsid w:val="65FB9C7C"/>
    <w:rsid w:val="66202A65"/>
    <w:rsid w:val="665A3830"/>
    <w:rsid w:val="6664BDA5"/>
    <w:rsid w:val="667AE658"/>
    <w:rsid w:val="66878046"/>
    <w:rsid w:val="66883B21"/>
    <w:rsid w:val="669A3F38"/>
    <w:rsid w:val="66A54895"/>
    <w:rsid w:val="66A5C4D9"/>
    <w:rsid w:val="66ED14A3"/>
    <w:rsid w:val="670C239C"/>
    <w:rsid w:val="670CCD85"/>
    <w:rsid w:val="6710183E"/>
    <w:rsid w:val="6728FE82"/>
    <w:rsid w:val="67317D80"/>
    <w:rsid w:val="67416611"/>
    <w:rsid w:val="674BF5FD"/>
    <w:rsid w:val="674C8B16"/>
    <w:rsid w:val="674DD989"/>
    <w:rsid w:val="67591EC7"/>
    <w:rsid w:val="67C1CF67"/>
    <w:rsid w:val="67D9CED7"/>
    <w:rsid w:val="67DB572D"/>
    <w:rsid w:val="67E05139"/>
    <w:rsid w:val="6805FDE6"/>
    <w:rsid w:val="6825A628"/>
    <w:rsid w:val="682E3662"/>
    <w:rsid w:val="683CFE55"/>
    <w:rsid w:val="68469A2C"/>
    <w:rsid w:val="6882635D"/>
    <w:rsid w:val="68983409"/>
    <w:rsid w:val="68AB37C7"/>
    <w:rsid w:val="68B5C51E"/>
    <w:rsid w:val="68CE73FE"/>
    <w:rsid w:val="68D1A8FC"/>
    <w:rsid w:val="68E26CE8"/>
    <w:rsid w:val="68F409C6"/>
    <w:rsid w:val="690A5076"/>
    <w:rsid w:val="6916D777"/>
    <w:rsid w:val="6922F33D"/>
    <w:rsid w:val="6989ED92"/>
    <w:rsid w:val="698AB6F3"/>
    <w:rsid w:val="6996418E"/>
    <w:rsid w:val="69A509C3"/>
    <w:rsid w:val="69ADC69B"/>
    <w:rsid w:val="69C28A7A"/>
    <w:rsid w:val="69E46350"/>
    <w:rsid w:val="69E5DDB2"/>
    <w:rsid w:val="69E794F5"/>
    <w:rsid w:val="69EF65C0"/>
    <w:rsid w:val="6A05E818"/>
    <w:rsid w:val="6A37376E"/>
    <w:rsid w:val="6A48054B"/>
    <w:rsid w:val="6A62EBDF"/>
    <w:rsid w:val="6A6AAFA5"/>
    <w:rsid w:val="6A74941F"/>
    <w:rsid w:val="6A786628"/>
    <w:rsid w:val="6A7C442C"/>
    <w:rsid w:val="6A839C66"/>
    <w:rsid w:val="6A8790B5"/>
    <w:rsid w:val="6AB5F452"/>
    <w:rsid w:val="6AC2196A"/>
    <w:rsid w:val="6AE6DC15"/>
    <w:rsid w:val="6B0064C9"/>
    <w:rsid w:val="6B0C09B0"/>
    <w:rsid w:val="6B18A90C"/>
    <w:rsid w:val="6B1E1E9F"/>
    <w:rsid w:val="6B1F4FDD"/>
    <w:rsid w:val="6B23163A"/>
    <w:rsid w:val="6B4B1338"/>
    <w:rsid w:val="6B62FEFD"/>
    <w:rsid w:val="6B73568C"/>
    <w:rsid w:val="6B754EB6"/>
    <w:rsid w:val="6B7E74D7"/>
    <w:rsid w:val="6B869EF8"/>
    <w:rsid w:val="6B93D3A0"/>
    <w:rsid w:val="6B9ED611"/>
    <w:rsid w:val="6B9FF5F0"/>
    <w:rsid w:val="6BACE1C4"/>
    <w:rsid w:val="6BC9F983"/>
    <w:rsid w:val="6BD8B50A"/>
    <w:rsid w:val="6C02A03E"/>
    <w:rsid w:val="6C0709D7"/>
    <w:rsid w:val="6C169AC2"/>
    <w:rsid w:val="6C1FEC8B"/>
    <w:rsid w:val="6C445DF1"/>
    <w:rsid w:val="6C7DDB46"/>
    <w:rsid w:val="6CB0D840"/>
    <w:rsid w:val="6CC1597E"/>
    <w:rsid w:val="6CE87DA0"/>
    <w:rsid w:val="6CEE75AB"/>
    <w:rsid w:val="6CF2636A"/>
    <w:rsid w:val="6D088DCE"/>
    <w:rsid w:val="6D504C27"/>
    <w:rsid w:val="6D59B719"/>
    <w:rsid w:val="6D64DFBC"/>
    <w:rsid w:val="6D938028"/>
    <w:rsid w:val="6DA13F69"/>
    <w:rsid w:val="6DBBC0CD"/>
    <w:rsid w:val="6DCEE3DB"/>
    <w:rsid w:val="6DDB94DA"/>
    <w:rsid w:val="6DDD7DD9"/>
    <w:rsid w:val="6DDEDD0E"/>
    <w:rsid w:val="6E221872"/>
    <w:rsid w:val="6E27D913"/>
    <w:rsid w:val="6E3D6B78"/>
    <w:rsid w:val="6E82A1F9"/>
    <w:rsid w:val="6EBC22D9"/>
    <w:rsid w:val="6EFA2E90"/>
    <w:rsid w:val="6F06FFBA"/>
    <w:rsid w:val="6F076AC5"/>
    <w:rsid w:val="6F25AEDB"/>
    <w:rsid w:val="6F3CDC95"/>
    <w:rsid w:val="6F3E533A"/>
    <w:rsid w:val="6F5C900E"/>
    <w:rsid w:val="6F78A5D0"/>
    <w:rsid w:val="6FAE2F4B"/>
    <w:rsid w:val="6FB983F8"/>
    <w:rsid w:val="6FBBF263"/>
    <w:rsid w:val="6FCAFDA7"/>
    <w:rsid w:val="6FCF6354"/>
    <w:rsid w:val="6FD450B6"/>
    <w:rsid w:val="6FE45D1A"/>
    <w:rsid w:val="6FECFD39"/>
    <w:rsid w:val="701DF198"/>
    <w:rsid w:val="704820F9"/>
    <w:rsid w:val="70482C1A"/>
    <w:rsid w:val="706ACEDA"/>
    <w:rsid w:val="707DB4C5"/>
    <w:rsid w:val="7089F76F"/>
    <w:rsid w:val="708DC798"/>
    <w:rsid w:val="70B2F88D"/>
    <w:rsid w:val="70BDA44A"/>
    <w:rsid w:val="70C5B38C"/>
    <w:rsid w:val="70DBA728"/>
    <w:rsid w:val="70FC81C1"/>
    <w:rsid w:val="71098E2E"/>
    <w:rsid w:val="7114A7E6"/>
    <w:rsid w:val="71355454"/>
    <w:rsid w:val="7143657F"/>
    <w:rsid w:val="71467CE7"/>
    <w:rsid w:val="7147C605"/>
    <w:rsid w:val="7150B2AC"/>
    <w:rsid w:val="71B7FCA0"/>
    <w:rsid w:val="71CDB3D1"/>
    <w:rsid w:val="71CEAC0D"/>
    <w:rsid w:val="71DF48A3"/>
    <w:rsid w:val="71E1DD89"/>
    <w:rsid w:val="72096400"/>
    <w:rsid w:val="720C47CA"/>
    <w:rsid w:val="720EE47D"/>
    <w:rsid w:val="721D2283"/>
    <w:rsid w:val="722F0289"/>
    <w:rsid w:val="727BE2F1"/>
    <w:rsid w:val="72881BCF"/>
    <w:rsid w:val="728F6978"/>
    <w:rsid w:val="72A4D475"/>
    <w:rsid w:val="72AFA2D9"/>
    <w:rsid w:val="72BF0C96"/>
    <w:rsid w:val="72CD3929"/>
    <w:rsid w:val="72FC36F9"/>
    <w:rsid w:val="7304DF79"/>
    <w:rsid w:val="73171B7D"/>
    <w:rsid w:val="732A0B27"/>
    <w:rsid w:val="7330CFD8"/>
    <w:rsid w:val="733CAE85"/>
    <w:rsid w:val="734CC948"/>
    <w:rsid w:val="735644C5"/>
    <w:rsid w:val="736C00F6"/>
    <w:rsid w:val="737807E4"/>
    <w:rsid w:val="73E2AA74"/>
    <w:rsid w:val="73F02D43"/>
    <w:rsid w:val="741EBB9C"/>
    <w:rsid w:val="74658218"/>
    <w:rsid w:val="747F6EB4"/>
    <w:rsid w:val="748D5863"/>
    <w:rsid w:val="749AB843"/>
    <w:rsid w:val="74C601E5"/>
    <w:rsid w:val="74C823EC"/>
    <w:rsid w:val="74CCA039"/>
    <w:rsid w:val="74D2D218"/>
    <w:rsid w:val="74D32166"/>
    <w:rsid w:val="75046E67"/>
    <w:rsid w:val="75079461"/>
    <w:rsid w:val="750AADF0"/>
    <w:rsid w:val="750C2EC0"/>
    <w:rsid w:val="75133F78"/>
    <w:rsid w:val="75230587"/>
    <w:rsid w:val="7523FE30"/>
    <w:rsid w:val="7531ED4A"/>
    <w:rsid w:val="753EAC18"/>
    <w:rsid w:val="75465054"/>
    <w:rsid w:val="754E9A9F"/>
    <w:rsid w:val="758E2E0F"/>
    <w:rsid w:val="75978355"/>
    <w:rsid w:val="759E4E09"/>
    <w:rsid w:val="75B24F91"/>
    <w:rsid w:val="75B42040"/>
    <w:rsid w:val="75C37CCD"/>
    <w:rsid w:val="75D49D12"/>
    <w:rsid w:val="7615C865"/>
    <w:rsid w:val="762603F1"/>
    <w:rsid w:val="763B2F06"/>
    <w:rsid w:val="7647DF46"/>
    <w:rsid w:val="764B2C30"/>
    <w:rsid w:val="76533BAA"/>
    <w:rsid w:val="7672162F"/>
    <w:rsid w:val="768212CE"/>
    <w:rsid w:val="76865295"/>
    <w:rsid w:val="769949AB"/>
    <w:rsid w:val="76AFD250"/>
    <w:rsid w:val="76BBCE3D"/>
    <w:rsid w:val="76D8B7B7"/>
    <w:rsid w:val="76F1C3FE"/>
    <w:rsid w:val="76FFE936"/>
    <w:rsid w:val="7704EF7D"/>
    <w:rsid w:val="7748105E"/>
    <w:rsid w:val="774923EA"/>
    <w:rsid w:val="775C5860"/>
    <w:rsid w:val="775D79B0"/>
    <w:rsid w:val="775FE6E4"/>
    <w:rsid w:val="777E1DC3"/>
    <w:rsid w:val="77847B9D"/>
    <w:rsid w:val="7786B2F1"/>
    <w:rsid w:val="77A45BF6"/>
    <w:rsid w:val="77AF99AB"/>
    <w:rsid w:val="77B0FBC1"/>
    <w:rsid w:val="77B7693C"/>
    <w:rsid w:val="77D72085"/>
    <w:rsid w:val="77E23BDF"/>
    <w:rsid w:val="77E5D2DD"/>
    <w:rsid w:val="780D50C1"/>
    <w:rsid w:val="7828960C"/>
    <w:rsid w:val="78532DD1"/>
    <w:rsid w:val="7856E451"/>
    <w:rsid w:val="7859988E"/>
    <w:rsid w:val="786341D8"/>
    <w:rsid w:val="789584CC"/>
    <w:rsid w:val="78997F81"/>
    <w:rsid w:val="78A4253D"/>
    <w:rsid w:val="78AA18A4"/>
    <w:rsid w:val="78F86084"/>
    <w:rsid w:val="79004167"/>
    <w:rsid w:val="7907F9AA"/>
    <w:rsid w:val="795A9E8C"/>
    <w:rsid w:val="796B0E43"/>
    <w:rsid w:val="796D384B"/>
    <w:rsid w:val="7975CBA4"/>
    <w:rsid w:val="7986E156"/>
    <w:rsid w:val="799A7DA1"/>
    <w:rsid w:val="79B2EB95"/>
    <w:rsid w:val="79B4A63E"/>
    <w:rsid w:val="79DF7C44"/>
    <w:rsid w:val="79DF9FE3"/>
    <w:rsid w:val="79EA2C69"/>
    <w:rsid w:val="79F45E09"/>
    <w:rsid w:val="7A0E5B91"/>
    <w:rsid w:val="7A1491C4"/>
    <w:rsid w:val="7A153B83"/>
    <w:rsid w:val="7A1BD46D"/>
    <w:rsid w:val="7A29F10F"/>
    <w:rsid w:val="7A2CB62E"/>
    <w:rsid w:val="7A5ACF6F"/>
    <w:rsid w:val="7A8F04EA"/>
    <w:rsid w:val="7AAE1A14"/>
    <w:rsid w:val="7AB5BE85"/>
    <w:rsid w:val="7ABEB353"/>
    <w:rsid w:val="7AC05F2E"/>
    <w:rsid w:val="7AD1719A"/>
    <w:rsid w:val="7AF81558"/>
    <w:rsid w:val="7AF93554"/>
    <w:rsid w:val="7B22B960"/>
    <w:rsid w:val="7B262D0D"/>
    <w:rsid w:val="7B2AFC0A"/>
    <w:rsid w:val="7B53ADF0"/>
    <w:rsid w:val="7B6F51A3"/>
    <w:rsid w:val="7B7591EA"/>
    <w:rsid w:val="7BAF6270"/>
    <w:rsid w:val="7BBC2740"/>
    <w:rsid w:val="7BCFBCF1"/>
    <w:rsid w:val="7BD3E9D5"/>
    <w:rsid w:val="7BD40A82"/>
    <w:rsid w:val="7BE63B13"/>
    <w:rsid w:val="7BEBA516"/>
    <w:rsid w:val="7C09BB7C"/>
    <w:rsid w:val="7C47C11C"/>
    <w:rsid w:val="7C521EA4"/>
    <w:rsid w:val="7C537B24"/>
    <w:rsid w:val="7C626F41"/>
    <w:rsid w:val="7C646DD9"/>
    <w:rsid w:val="7C7FDFC0"/>
    <w:rsid w:val="7C868E98"/>
    <w:rsid w:val="7C8AEBAC"/>
    <w:rsid w:val="7C9F6919"/>
    <w:rsid w:val="7CB52ED7"/>
    <w:rsid w:val="7CBCD031"/>
    <w:rsid w:val="7CBE89C1"/>
    <w:rsid w:val="7CBE8E6F"/>
    <w:rsid w:val="7CE85565"/>
    <w:rsid w:val="7D30D644"/>
    <w:rsid w:val="7D4B1D80"/>
    <w:rsid w:val="7D5C8BCC"/>
    <w:rsid w:val="7D5F6105"/>
    <w:rsid w:val="7D779F29"/>
    <w:rsid w:val="7D925AFE"/>
    <w:rsid w:val="7DADCF98"/>
    <w:rsid w:val="7DD60103"/>
    <w:rsid w:val="7DE74D18"/>
    <w:rsid w:val="7E0CFF09"/>
    <w:rsid w:val="7E264D4B"/>
    <w:rsid w:val="7E45F1FA"/>
    <w:rsid w:val="7E460444"/>
    <w:rsid w:val="7E54478A"/>
    <w:rsid w:val="7E6B36FA"/>
    <w:rsid w:val="7E78A544"/>
    <w:rsid w:val="7EA120DF"/>
    <w:rsid w:val="7EA2EB81"/>
    <w:rsid w:val="7EA4A34E"/>
    <w:rsid w:val="7EA75075"/>
    <w:rsid w:val="7EC745C4"/>
    <w:rsid w:val="7EC74C6E"/>
    <w:rsid w:val="7ED9A385"/>
    <w:rsid w:val="7EF710FF"/>
    <w:rsid w:val="7F47345B"/>
    <w:rsid w:val="7F5588D5"/>
    <w:rsid w:val="7F721232"/>
    <w:rsid w:val="7F770FDC"/>
    <w:rsid w:val="7F943761"/>
    <w:rsid w:val="7F94BF2B"/>
    <w:rsid w:val="7FE336CE"/>
    <w:rsid w:val="7FE771C8"/>
    <w:rsid w:val="7FE9FF5B"/>
    <w:rsid w:val="7FF26657"/>
    <w:rsid w:val="7FF69BC4"/>
    <w:rsid w:val="7FF9B2CE"/>
  </w:rsids>
  <m:mathPr>
    <m:mathFont m:val="Cambria Math"/>
    <m:brkBin m:val="before"/>
    <m:brkBinSub m:val="--"/>
    <m:smallFrac/>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04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AF7"/>
  </w:style>
  <w:style w:type="paragraph" w:styleId="Heading1">
    <w:name w:val="heading 1"/>
    <w:basedOn w:val="Normal"/>
    <w:next w:val="Normal"/>
    <w:link w:val="Heading1Char"/>
    <w:uiPriority w:val="9"/>
    <w:qFormat/>
    <w:rsid w:val="003334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42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33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Footnotes,Footnote ak,ft,fn cafc,fn Char,footnote text Char,Footnotes Char,Footnote ak Char,Footnotes Char Char,fn Char Char,footnote text Char Char Char Ch,Footnote ak Char Char,C,f,footnote citation,Cha,Fußnote,Carattere"/>
    <w:basedOn w:val="Normal"/>
    <w:uiPriority w:val="99"/>
    <w:unhideWhenUsed/>
    <w:qFormat/>
    <w:rsid w:val="00F64DF9"/>
    <w:pPr>
      <w:spacing w:after="0" w:line="240" w:lineRule="auto"/>
    </w:pPr>
    <w:rPr>
      <w:sz w:val="20"/>
      <w:szCs w:val="20"/>
    </w:rPr>
  </w:style>
  <w:style w:type="character" w:customStyle="1" w:styleId="FootnoteTextChar">
    <w:name w:val="Footnote Text Char"/>
    <w:aliases w:val="fn Char1,footnote text Char1,Footnotes Char1,Footnote ak Char1,ft Char,fn cafc Char,fn Char Char1,footnote text Char Char,Footnotes Char Char1,Footnote ak Char Char1,Footnotes Char Char Char,fn Char Char Char,C Char,f Char,Cha Char"/>
    <w:basedOn w:val="DefaultParagraphFont"/>
    <w:uiPriority w:val="99"/>
    <w:qFormat/>
    <w:rsid w:val="00F64DF9"/>
    <w:rPr>
      <w:sz w:val="20"/>
      <w:szCs w:val="20"/>
    </w:rPr>
  </w:style>
  <w:style w:type="character" w:styleId="FootnoteReference">
    <w:name w:val="footnote reference"/>
    <w:aliases w:val="Ref,de nota al pie,Footnote Reference1,Ref1,de nota al pie1,註腳內容,de nota al pie + (Asian) MS Mincho,11 pt,-E Fußnotenzeichen,16 Point,Superscript 6 Point,註?腳內—e,ftref,(NECG) Footnote Reference,fr,Footnote symbol,BVI fnr,Times 10 Point"/>
    <w:basedOn w:val="DefaultParagraphFont"/>
    <w:link w:val="ftrefCharCharCharCharCharCharCharCharChar"/>
    <w:unhideWhenUsed/>
    <w:qFormat/>
    <w:rsid w:val="00F64DF9"/>
    <w:rPr>
      <w:vertAlign w:val="superscript"/>
    </w:rPr>
  </w:style>
  <w:style w:type="character" w:styleId="Hyperlink">
    <w:name w:val="Hyperlink"/>
    <w:basedOn w:val="DefaultParagraphFont"/>
    <w:uiPriority w:val="99"/>
    <w:unhideWhenUsed/>
    <w:rsid w:val="00F64DF9"/>
    <w:rPr>
      <w:color w:val="0563C1" w:themeColor="hyperlink"/>
      <w:u w:val="single"/>
    </w:rPr>
  </w:style>
  <w:style w:type="character" w:styleId="CommentReference">
    <w:name w:val="annotation reference"/>
    <w:basedOn w:val="DefaultParagraphFont"/>
    <w:uiPriority w:val="99"/>
    <w:unhideWhenUsed/>
    <w:rsid w:val="00F64DF9"/>
    <w:rPr>
      <w:sz w:val="16"/>
      <w:szCs w:val="16"/>
    </w:rPr>
  </w:style>
  <w:style w:type="paragraph" w:styleId="CommentText">
    <w:name w:val="annotation text"/>
    <w:basedOn w:val="Normal"/>
    <w:link w:val="CommentTextChar"/>
    <w:uiPriority w:val="99"/>
    <w:unhideWhenUsed/>
    <w:rsid w:val="00F64DF9"/>
    <w:pPr>
      <w:spacing w:line="240" w:lineRule="auto"/>
    </w:pPr>
    <w:rPr>
      <w:sz w:val="20"/>
      <w:szCs w:val="20"/>
    </w:rPr>
  </w:style>
  <w:style w:type="character" w:customStyle="1" w:styleId="CommentTextChar">
    <w:name w:val="Comment Text Char"/>
    <w:basedOn w:val="DefaultParagraphFont"/>
    <w:link w:val="CommentText"/>
    <w:uiPriority w:val="99"/>
    <w:rsid w:val="00F64DF9"/>
    <w:rPr>
      <w:sz w:val="20"/>
      <w:szCs w:val="20"/>
    </w:rPr>
  </w:style>
  <w:style w:type="paragraph" w:styleId="BalloonText">
    <w:name w:val="Balloon Text"/>
    <w:basedOn w:val="Normal"/>
    <w:link w:val="BalloonTextChar"/>
    <w:uiPriority w:val="99"/>
    <w:semiHidden/>
    <w:unhideWhenUsed/>
    <w:rsid w:val="00F64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DF9"/>
    <w:rPr>
      <w:rFonts w:ascii="Segoe UI" w:hAnsi="Segoe UI" w:cs="Segoe UI"/>
      <w:sz w:val="18"/>
      <w:szCs w:val="18"/>
    </w:rPr>
  </w:style>
  <w:style w:type="paragraph" w:styleId="ListParagraph">
    <w:name w:val="List Paragraph"/>
    <w:aliases w:val="references,List Paragraph (numbered (a)),References,Bullets,Dot pt,F5 List Paragraph,List Paragraph1,No Spacing1,List Paragraph Char Char Char,Indicator Text,Colorful List - Accent 11,Numbered Para 1,Bullet 1,Bullet Points,MAIN CONTE,3,EC"/>
    <w:basedOn w:val="Normal"/>
    <w:link w:val="ListParagraphChar"/>
    <w:uiPriority w:val="34"/>
    <w:qFormat/>
    <w:rsid w:val="006B2568"/>
    <w:pPr>
      <w:ind w:left="720"/>
      <w:contextualSpacing/>
    </w:pPr>
  </w:style>
  <w:style w:type="paragraph" w:styleId="CommentSubject">
    <w:name w:val="annotation subject"/>
    <w:basedOn w:val="CommentText"/>
    <w:next w:val="CommentText"/>
    <w:link w:val="CommentSubjectChar"/>
    <w:uiPriority w:val="99"/>
    <w:semiHidden/>
    <w:unhideWhenUsed/>
    <w:rsid w:val="00350B30"/>
    <w:rPr>
      <w:b/>
      <w:bCs/>
    </w:rPr>
  </w:style>
  <w:style w:type="character" w:customStyle="1" w:styleId="CommentSubjectChar">
    <w:name w:val="Comment Subject Char"/>
    <w:basedOn w:val="CommentTextChar"/>
    <w:link w:val="CommentSubject"/>
    <w:uiPriority w:val="99"/>
    <w:semiHidden/>
    <w:rsid w:val="00350B30"/>
    <w:rPr>
      <w:b/>
      <w:bCs/>
      <w:sz w:val="20"/>
      <w:szCs w:val="20"/>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link w:val="FootnoteReference"/>
    <w:rsid w:val="000A125B"/>
    <w:pPr>
      <w:spacing w:after="160" w:line="240" w:lineRule="exact"/>
      <w:jc w:val="both"/>
    </w:pPr>
    <w:rPr>
      <w:vertAlign w:val="superscript"/>
    </w:rPr>
  </w:style>
  <w:style w:type="paragraph" w:styleId="Header">
    <w:name w:val="header"/>
    <w:basedOn w:val="Normal"/>
    <w:link w:val="HeaderChar"/>
    <w:uiPriority w:val="99"/>
    <w:unhideWhenUsed/>
    <w:rsid w:val="00596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C72"/>
  </w:style>
  <w:style w:type="paragraph" w:styleId="Footer">
    <w:name w:val="footer"/>
    <w:basedOn w:val="Normal"/>
    <w:link w:val="FooterChar"/>
    <w:uiPriority w:val="99"/>
    <w:unhideWhenUsed/>
    <w:rsid w:val="00596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C72"/>
  </w:style>
  <w:style w:type="paragraph" w:styleId="NormalWeb">
    <w:name w:val="Normal (Web)"/>
    <w:basedOn w:val="Normal"/>
    <w:uiPriority w:val="99"/>
    <w:unhideWhenUsed/>
    <w:rsid w:val="00356C8A"/>
    <w:rPr>
      <w:rFonts w:ascii="Times New Roman" w:hAnsi="Times New Roman" w:cs="Times New Roman"/>
      <w:sz w:val="24"/>
      <w:szCs w:val="24"/>
    </w:rPr>
  </w:style>
  <w:style w:type="paragraph" w:customStyle="1" w:styleId="Default">
    <w:name w:val="Default"/>
    <w:rsid w:val="001A097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01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21D0"/>
    <w:pPr>
      <w:spacing w:after="0" w:line="240" w:lineRule="auto"/>
    </w:pPr>
  </w:style>
  <w:style w:type="character" w:styleId="FollowedHyperlink">
    <w:name w:val="FollowedHyperlink"/>
    <w:basedOn w:val="DefaultParagraphFont"/>
    <w:uiPriority w:val="99"/>
    <w:semiHidden/>
    <w:unhideWhenUsed/>
    <w:rsid w:val="000D660F"/>
    <w:rPr>
      <w:color w:val="954F72" w:themeColor="followedHyperlink"/>
      <w:u w:val="single"/>
    </w:rPr>
  </w:style>
  <w:style w:type="character" w:styleId="Emphasis">
    <w:name w:val="Emphasis"/>
    <w:basedOn w:val="DefaultParagraphFont"/>
    <w:uiPriority w:val="20"/>
    <w:qFormat/>
    <w:rsid w:val="00BE527E"/>
    <w:rPr>
      <w:i/>
      <w:iCs/>
    </w:rPr>
  </w:style>
  <w:style w:type="paragraph" w:customStyle="1" w:styleId="LegalNumPar">
    <w:name w:val="LegalNumPar"/>
    <w:basedOn w:val="Normal"/>
    <w:rsid w:val="00AF040A"/>
    <w:pPr>
      <w:numPr>
        <w:numId w:val="1"/>
      </w:numPr>
      <w:spacing w:line="360" w:lineRule="auto"/>
    </w:pPr>
    <w:rPr>
      <w:sz w:val="24"/>
    </w:rPr>
  </w:style>
  <w:style w:type="paragraph" w:customStyle="1" w:styleId="LegalNumPar2">
    <w:name w:val="LegalNumPar2"/>
    <w:basedOn w:val="Normal"/>
    <w:rsid w:val="00AF040A"/>
    <w:pPr>
      <w:numPr>
        <w:ilvl w:val="1"/>
        <w:numId w:val="1"/>
      </w:numPr>
      <w:spacing w:line="360" w:lineRule="auto"/>
    </w:pPr>
    <w:rPr>
      <w:sz w:val="24"/>
    </w:rPr>
  </w:style>
  <w:style w:type="paragraph" w:customStyle="1" w:styleId="LegalNumPar3">
    <w:name w:val="LegalNumPar3"/>
    <w:basedOn w:val="Normal"/>
    <w:rsid w:val="00AF040A"/>
    <w:pPr>
      <w:numPr>
        <w:ilvl w:val="2"/>
        <w:numId w:val="1"/>
      </w:numPr>
      <w:spacing w:line="360" w:lineRule="auto"/>
    </w:pPr>
    <w:rPr>
      <w:sz w:val="24"/>
    </w:rPr>
  </w:style>
  <w:style w:type="character" w:customStyle="1" w:styleId="Heading1Char">
    <w:name w:val="Heading 1 Char"/>
    <w:basedOn w:val="DefaultParagraphFont"/>
    <w:link w:val="Heading1"/>
    <w:uiPriority w:val="9"/>
    <w:rsid w:val="0033344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link w:val="TOCHeadingChar"/>
    <w:uiPriority w:val="39"/>
    <w:unhideWhenUsed/>
    <w:qFormat/>
    <w:rsid w:val="00333443"/>
    <w:pPr>
      <w:spacing w:before="360" w:after="120" w:line="259" w:lineRule="auto"/>
      <w:jc w:val="center"/>
      <w:outlineLvl w:val="9"/>
    </w:pPr>
    <w:rPr>
      <w:rFonts w:ascii="Times New Roman" w:hAnsi="Times New Roman" w:cs="Times New Roman"/>
      <w:b/>
      <w:caps/>
      <w:sz w:val="24"/>
    </w:rPr>
  </w:style>
  <w:style w:type="paragraph" w:styleId="TOC2">
    <w:name w:val="toc 2"/>
    <w:basedOn w:val="Normal"/>
    <w:next w:val="Normal"/>
    <w:autoRedefine/>
    <w:uiPriority w:val="39"/>
    <w:unhideWhenUsed/>
    <w:rsid w:val="00B41C70"/>
    <w:pPr>
      <w:tabs>
        <w:tab w:val="left" w:pos="660"/>
        <w:tab w:val="right" w:leader="dot" w:pos="9062"/>
      </w:tabs>
      <w:spacing w:before="240" w:after="0"/>
    </w:pPr>
    <w:rPr>
      <w:rFonts w:ascii="Times New Roman" w:hAnsi="Times New Roman" w:cstheme="minorHAnsi"/>
      <w:b/>
      <w:bCs/>
      <w:szCs w:val="20"/>
    </w:rPr>
  </w:style>
  <w:style w:type="paragraph" w:styleId="TOC1">
    <w:name w:val="toc 1"/>
    <w:basedOn w:val="Normal"/>
    <w:next w:val="Normal"/>
    <w:autoRedefine/>
    <w:uiPriority w:val="39"/>
    <w:unhideWhenUsed/>
    <w:rsid w:val="00E12F44"/>
    <w:pPr>
      <w:tabs>
        <w:tab w:val="left" w:pos="660"/>
        <w:tab w:val="right" w:leader="dot" w:pos="9062"/>
      </w:tabs>
      <w:spacing w:before="360" w:after="0"/>
      <w:ind w:left="660" w:hanging="660"/>
    </w:pPr>
    <w:rPr>
      <w:rFonts w:ascii="Times New Roman" w:hAnsi="Times New Roman"/>
      <w:b/>
      <w:bCs/>
      <w:caps/>
      <w:szCs w:val="24"/>
    </w:rPr>
  </w:style>
  <w:style w:type="paragraph" w:styleId="TOC3">
    <w:name w:val="toc 3"/>
    <w:basedOn w:val="Normal"/>
    <w:next w:val="Normal"/>
    <w:autoRedefine/>
    <w:uiPriority w:val="39"/>
    <w:unhideWhenUsed/>
    <w:rsid w:val="00333443"/>
    <w:pPr>
      <w:spacing w:after="0"/>
      <w:ind w:left="220"/>
    </w:pPr>
    <w:rPr>
      <w:rFonts w:cstheme="minorHAnsi"/>
      <w:sz w:val="20"/>
      <w:szCs w:val="20"/>
    </w:rPr>
  </w:style>
  <w:style w:type="character" w:customStyle="1" w:styleId="TOCHeadingChar">
    <w:name w:val="TOC Heading Char"/>
    <w:basedOn w:val="Heading1Char"/>
    <w:link w:val="TOCHeading"/>
    <w:uiPriority w:val="39"/>
    <w:rsid w:val="00333443"/>
    <w:rPr>
      <w:rFonts w:ascii="Times New Roman" w:eastAsiaTheme="majorEastAsia" w:hAnsi="Times New Roman" w:cs="Times New Roman"/>
      <w:b/>
      <w:caps/>
      <w:color w:val="2E74B5" w:themeColor="accent1" w:themeShade="BF"/>
      <w:sz w:val="24"/>
      <w:szCs w:val="32"/>
    </w:rPr>
  </w:style>
  <w:style w:type="character" w:customStyle="1" w:styleId="Marker">
    <w:name w:val="Marker"/>
    <w:basedOn w:val="DefaultParagraphFont"/>
    <w:rsid w:val="00EB33D1"/>
    <w:rPr>
      <w:color w:val="0000FF"/>
      <w:shd w:val="clear" w:color="auto" w:fill="auto"/>
    </w:rPr>
  </w:style>
  <w:style w:type="paragraph" w:customStyle="1" w:styleId="Pagedecouverture">
    <w:name w:val="Page de couverture"/>
    <w:basedOn w:val="Normal"/>
    <w:next w:val="Normal"/>
    <w:rsid w:val="00EB33D1"/>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EB33D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OCHeadingChar"/>
    <w:link w:val="FooterCoverPage"/>
    <w:rsid w:val="00EB33D1"/>
    <w:rPr>
      <w:rFonts w:ascii="Times New Roman" w:eastAsiaTheme="majorEastAsia" w:hAnsi="Times New Roman" w:cs="Times New Roman"/>
      <w:b w:val="0"/>
      <w:caps w:val="0"/>
      <w:color w:val="2E74B5" w:themeColor="accent1" w:themeShade="BF"/>
      <w:sz w:val="24"/>
      <w:szCs w:val="32"/>
    </w:rPr>
  </w:style>
  <w:style w:type="paragraph" w:customStyle="1" w:styleId="FooterSensitivity">
    <w:name w:val="Footer Sensitivity"/>
    <w:basedOn w:val="Normal"/>
    <w:link w:val="FooterSensitivityChar"/>
    <w:rsid w:val="00EB33D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HeadingChar"/>
    <w:link w:val="FooterSensitivity"/>
    <w:rsid w:val="00EB33D1"/>
    <w:rPr>
      <w:rFonts w:ascii="Times New Roman" w:eastAsiaTheme="majorEastAsia" w:hAnsi="Times New Roman" w:cs="Times New Roman"/>
      <w:b/>
      <w:caps w:val="0"/>
      <w:color w:val="2E74B5" w:themeColor="accent1" w:themeShade="BF"/>
      <w:sz w:val="32"/>
      <w:szCs w:val="32"/>
    </w:rPr>
  </w:style>
  <w:style w:type="paragraph" w:customStyle="1" w:styleId="HeaderCoverPage">
    <w:name w:val="Header Cover Page"/>
    <w:basedOn w:val="Normal"/>
    <w:link w:val="HeaderCoverPageChar"/>
    <w:rsid w:val="00EB33D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OCHeadingChar"/>
    <w:link w:val="HeaderCoverPage"/>
    <w:rsid w:val="00EB33D1"/>
    <w:rPr>
      <w:rFonts w:ascii="Times New Roman" w:eastAsiaTheme="majorEastAsia" w:hAnsi="Times New Roman" w:cs="Times New Roman"/>
      <w:b w:val="0"/>
      <w:caps w:val="0"/>
      <w:color w:val="2E74B5" w:themeColor="accent1" w:themeShade="BF"/>
      <w:sz w:val="24"/>
      <w:szCs w:val="32"/>
    </w:rPr>
  </w:style>
  <w:style w:type="paragraph" w:customStyle="1" w:styleId="HeaderSensitivity">
    <w:name w:val="Header Sensitivity"/>
    <w:basedOn w:val="Normal"/>
    <w:link w:val="HeaderSensitivityChar"/>
    <w:rsid w:val="00EB33D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sid w:val="00EB33D1"/>
    <w:rPr>
      <w:rFonts w:ascii="Times New Roman" w:eastAsiaTheme="majorEastAsia" w:hAnsi="Times New Roman" w:cs="Times New Roman"/>
      <w:b/>
      <w:caps w:val="0"/>
      <w:color w:val="2E74B5" w:themeColor="accent1" w:themeShade="BF"/>
      <w:sz w:val="32"/>
      <w:szCs w:val="32"/>
    </w:rPr>
  </w:style>
  <w:style w:type="paragraph" w:customStyle="1" w:styleId="HeaderSensitivityRight">
    <w:name w:val="Header Sensitivity Right"/>
    <w:basedOn w:val="Normal"/>
    <w:link w:val="HeaderSensitivityRightChar"/>
    <w:rsid w:val="00EB33D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OCHeadingChar"/>
    <w:link w:val="HeaderSensitivityRight"/>
    <w:rsid w:val="00EB33D1"/>
    <w:rPr>
      <w:rFonts w:ascii="Times New Roman" w:eastAsiaTheme="majorEastAsia" w:hAnsi="Times New Roman" w:cs="Times New Roman"/>
      <w:b w:val="0"/>
      <w:caps w:val="0"/>
      <w:color w:val="2E74B5" w:themeColor="accent1" w:themeShade="BF"/>
      <w:sz w:val="28"/>
      <w:szCs w:val="32"/>
    </w:rPr>
  </w:style>
  <w:style w:type="character" w:customStyle="1" w:styleId="Heading3Char">
    <w:name w:val="Heading 3 Char"/>
    <w:basedOn w:val="DefaultParagraphFont"/>
    <w:link w:val="Heading3"/>
    <w:uiPriority w:val="9"/>
    <w:semiHidden/>
    <w:rsid w:val="004D3378"/>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E5828"/>
    <w:rPr>
      <w:b/>
      <w:bCs/>
    </w:rPr>
  </w:style>
  <w:style w:type="paragraph" w:customStyle="1" w:styleId="CharCharChar">
    <w:name w:val="Char Char Char"/>
    <w:basedOn w:val="Normal"/>
    <w:uiPriority w:val="99"/>
    <w:rsid w:val="00103892"/>
    <w:pPr>
      <w:spacing w:after="160" w:line="240" w:lineRule="exact"/>
    </w:pPr>
    <w:rPr>
      <w:rFonts w:ascii="TimesNewRomanPS" w:eastAsia="Times New Roman" w:hAnsi="TimesNewRomanPS" w:cs="Times New Roman"/>
      <w:position w:val="6"/>
      <w:sz w:val="16"/>
      <w:szCs w:val="20"/>
      <w:lang w:eastAsia="fr-BE"/>
    </w:rPr>
  </w:style>
  <w:style w:type="character" w:customStyle="1" w:styleId="Heading2Char">
    <w:name w:val="Heading 2 Char"/>
    <w:basedOn w:val="DefaultParagraphFont"/>
    <w:link w:val="Heading2"/>
    <w:uiPriority w:val="9"/>
    <w:rsid w:val="00A74201"/>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2D1D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2D1DED"/>
  </w:style>
  <w:style w:type="character" w:customStyle="1" w:styleId="eop">
    <w:name w:val="eop"/>
    <w:basedOn w:val="DefaultParagraphFont"/>
    <w:rsid w:val="002D1DED"/>
  </w:style>
  <w:style w:type="character" w:customStyle="1" w:styleId="spellingerror">
    <w:name w:val="spellingerror"/>
    <w:basedOn w:val="DefaultParagraphFont"/>
    <w:rsid w:val="002D1DED"/>
  </w:style>
  <w:style w:type="character" w:customStyle="1" w:styleId="scxw145726514">
    <w:name w:val="scxw145726514"/>
    <w:basedOn w:val="DefaultParagraphFont"/>
    <w:rsid w:val="002D1DED"/>
  </w:style>
  <w:style w:type="character" w:customStyle="1" w:styleId="Hyperlink1">
    <w:name w:val="Hyperlink1"/>
    <w:basedOn w:val="DefaultParagraphFont"/>
    <w:uiPriority w:val="99"/>
    <w:unhideWhenUsed/>
    <w:rsid w:val="005B1C3F"/>
    <w:rPr>
      <w:color w:val="0563C1"/>
      <w:u w:val="single"/>
    </w:rPr>
  </w:style>
  <w:style w:type="paragraph" w:customStyle="1" w:styleId="Pa7">
    <w:name w:val="Pa7"/>
    <w:basedOn w:val="Default"/>
    <w:next w:val="Default"/>
    <w:uiPriority w:val="99"/>
    <w:rsid w:val="00043CFC"/>
    <w:pPr>
      <w:spacing w:line="201" w:lineRule="atLeast"/>
    </w:pPr>
    <w:rPr>
      <w:rFonts w:ascii="EC Square Sans Pro" w:hAnsi="EC Square Sans Pro" w:cstheme="minorBidi"/>
      <w:color w:val="auto"/>
    </w:rPr>
  </w:style>
  <w:style w:type="character" w:customStyle="1" w:styleId="ListParagraphChar">
    <w:name w:val="List Paragraph Char"/>
    <w:aliases w:val="references Char,List Paragraph (numbered (a)) Char,References Char,Bullets Char,Dot pt Char,F5 List Paragraph Char,List Paragraph1 Char,No Spacing1 Char,List Paragraph Char Char Char Char,Indicator Text Char,Numbered Para 1 Char"/>
    <w:link w:val="ListParagraph"/>
    <w:uiPriority w:val="34"/>
    <w:qFormat/>
    <w:locked/>
    <w:rsid w:val="0096543D"/>
  </w:style>
  <w:style w:type="paragraph" w:customStyle="1" w:styleId="ltttitle1">
    <w:name w:val="ltttitle1"/>
    <w:basedOn w:val="Normal"/>
    <w:rsid w:val="00F4100B"/>
    <w:pPr>
      <w:spacing w:before="100" w:beforeAutospacing="1" w:after="100" w:afterAutospacing="1" w:line="240" w:lineRule="auto"/>
    </w:pPr>
    <w:rPr>
      <w:rFonts w:ascii="Calibri" w:hAnsi="Calibri" w:cs="Calibri"/>
      <w:lang w:eastAsia="en-GB"/>
    </w:rPr>
  </w:style>
  <w:style w:type="character" w:customStyle="1" w:styleId="grame">
    <w:name w:val="grame"/>
    <w:basedOn w:val="DefaultParagraphFont"/>
    <w:rsid w:val="00F4100B"/>
  </w:style>
  <w:style w:type="paragraph" w:styleId="EndnoteText">
    <w:name w:val="endnote text"/>
    <w:basedOn w:val="Normal"/>
    <w:link w:val="EndnoteTextChar"/>
    <w:uiPriority w:val="99"/>
    <w:semiHidden/>
    <w:unhideWhenUsed/>
    <w:rsid w:val="002F6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6873"/>
    <w:rPr>
      <w:sz w:val="20"/>
      <w:szCs w:val="20"/>
    </w:rPr>
  </w:style>
  <w:style w:type="character" w:styleId="EndnoteReference">
    <w:name w:val="endnote reference"/>
    <w:basedOn w:val="DefaultParagraphFont"/>
    <w:uiPriority w:val="99"/>
    <w:semiHidden/>
    <w:unhideWhenUsed/>
    <w:rsid w:val="002F6873"/>
    <w:rPr>
      <w:vertAlign w:val="superscript"/>
    </w:rPr>
  </w:style>
  <w:style w:type="character" w:customStyle="1" w:styleId="UnresolvedMention1">
    <w:name w:val="Unresolved Mention1"/>
    <w:basedOn w:val="DefaultParagraphFont"/>
    <w:uiPriority w:val="99"/>
    <w:semiHidden/>
    <w:unhideWhenUsed/>
    <w:rsid w:val="007B1877"/>
    <w:rPr>
      <w:color w:val="605E5C"/>
      <w:shd w:val="clear" w:color="auto" w:fill="E1DFDD"/>
    </w:rPr>
  </w:style>
  <w:style w:type="character" w:customStyle="1" w:styleId="UnresolvedMention2">
    <w:name w:val="Unresolved Mention2"/>
    <w:basedOn w:val="DefaultParagraphFont"/>
    <w:uiPriority w:val="99"/>
    <w:semiHidden/>
    <w:unhideWhenUsed/>
    <w:rsid w:val="00CB7D0A"/>
    <w:rPr>
      <w:color w:val="605E5C"/>
      <w:shd w:val="clear" w:color="auto" w:fill="E1DFDD"/>
    </w:rPr>
  </w:style>
  <w:style w:type="character" w:customStyle="1" w:styleId="UnresolvedMention3">
    <w:name w:val="Unresolved Mention3"/>
    <w:basedOn w:val="DefaultParagraphFont"/>
    <w:uiPriority w:val="99"/>
    <w:semiHidden/>
    <w:unhideWhenUsed/>
    <w:rsid w:val="00C203CC"/>
    <w:rPr>
      <w:color w:val="605E5C"/>
      <w:shd w:val="clear" w:color="auto" w:fill="E1DFDD"/>
    </w:rPr>
  </w:style>
  <w:style w:type="paragraph" w:styleId="PlainText">
    <w:name w:val="Plain Text"/>
    <w:basedOn w:val="Normal"/>
    <w:link w:val="PlainTextChar"/>
    <w:uiPriority w:val="99"/>
    <w:semiHidden/>
    <w:unhideWhenUsed/>
    <w:rsid w:val="000529FF"/>
    <w:pPr>
      <w:spacing w:after="0" w:line="240" w:lineRule="auto"/>
    </w:pPr>
    <w:rPr>
      <w:rFonts w:ascii="Calibri" w:eastAsiaTheme="minorHAnsi" w:hAnsi="Calibri" w:cs="Calibri"/>
    </w:rPr>
  </w:style>
  <w:style w:type="character" w:customStyle="1" w:styleId="PlainTextChar">
    <w:name w:val="Plain Text Char"/>
    <w:basedOn w:val="DefaultParagraphFont"/>
    <w:link w:val="PlainText"/>
    <w:uiPriority w:val="99"/>
    <w:semiHidden/>
    <w:rsid w:val="000529FF"/>
    <w:rPr>
      <w:rFonts w:ascii="Calibri" w:eastAsiaTheme="minorHAnsi" w:hAnsi="Calibri" w:cs="Calibri"/>
      <w:lang w:val="et-EE"/>
    </w:rPr>
  </w:style>
  <w:style w:type="character" w:customStyle="1" w:styleId="findhit">
    <w:name w:val="findhit"/>
    <w:basedOn w:val="DefaultParagraphFont"/>
    <w:rsid w:val="00514BD6"/>
  </w:style>
  <w:style w:type="character" w:customStyle="1" w:styleId="superscript">
    <w:name w:val="superscript"/>
    <w:basedOn w:val="DefaultParagraphFont"/>
    <w:rsid w:val="003C3FA3"/>
  </w:style>
  <w:style w:type="table" w:customStyle="1" w:styleId="TableGrid1">
    <w:name w:val="Table Grid1"/>
    <w:basedOn w:val="TableNormal"/>
    <w:next w:val="TableGrid"/>
    <w:uiPriority w:val="59"/>
    <w:rsid w:val="00F0484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85EF6"/>
    <w:rPr>
      <w:color w:val="605E5C"/>
      <w:shd w:val="clear" w:color="auto" w:fill="E1DFDD"/>
    </w:rPr>
  </w:style>
  <w:style w:type="paragraph" w:customStyle="1" w:styleId="Style1">
    <w:name w:val="Style1"/>
    <w:basedOn w:val="Normal"/>
    <w:link w:val="Style1Char"/>
    <w:qFormat/>
    <w:rsid w:val="00606AF7"/>
    <w:pPr>
      <w:keepNext/>
      <w:keepLines/>
      <w:numPr>
        <w:numId w:val="2"/>
      </w:numPr>
      <w:spacing w:before="240" w:after="0"/>
      <w:outlineLvl w:val="0"/>
    </w:pPr>
    <w:rPr>
      <w:rFonts w:ascii="Times New Roman" w:hAnsi="Times New Roman"/>
      <w:b/>
      <w:sz w:val="32"/>
    </w:rPr>
  </w:style>
  <w:style w:type="character" w:customStyle="1" w:styleId="Style1Char">
    <w:name w:val="Style1 Char"/>
    <w:basedOn w:val="DefaultParagraphFont"/>
    <w:link w:val="Style1"/>
    <w:rsid w:val="00606AF7"/>
    <w:rPr>
      <w:rFonts w:ascii="Times New Roman" w:hAnsi="Times New Roman"/>
      <w:b/>
      <w:sz w:val="32"/>
      <w:lang w:val="et-EE"/>
    </w:rPr>
  </w:style>
  <w:style w:type="paragraph" w:customStyle="1" w:styleId="Style2">
    <w:name w:val="Style2"/>
    <w:basedOn w:val="Normal"/>
    <w:link w:val="Style2Char"/>
    <w:qFormat/>
    <w:rsid w:val="00606AF7"/>
    <w:pPr>
      <w:keepNext/>
      <w:keepLines/>
      <w:spacing w:before="40" w:after="0"/>
      <w:outlineLvl w:val="1"/>
    </w:pPr>
    <w:rPr>
      <w:rFonts w:ascii="Times New Roman" w:hAnsi="Times New Roman"/>
      <w:b/>
      <w:sz w:val="26"/>
    </w:rPr>
  </w:style>
  <w:style w:type="character" w:customStyle="1" w:styleId="Style2Char">
    <w:name w:val="Style2 Char"/>
    <w:basedOn w:val="DefaultParagraphFont"/>
    <w:link w:val="Style2"/>
    <w:rsid w:val="00606AF7"/>
    <w:rPr>
      <w:rFonts w:ascii="Times New Roman" w:hAnsi="Times New Roman"/>
      <w:b/>
      <w:sz w:val="26"/>
      <w:lang w:val="et-EE"/>
    </w:rPr>
  </w:style>
  <w:style w:type="paragraph" w:styleId="TOC4">
    <w:name w:val="toc 4"/>
    <w:basedOn w:val="Normal"/>
    <w:next w:val="Normal"/>
    <w:autoRedefine/>
    <w:uiPriority w:val="39"/>
    <w:unhideWhenUsed/>
    <w:rsid w:val="00606AF7"/>
    <w:pPr>
      <w:spacing w:after="0"/>
      <w:ind w:left="440"/>
    </w:pPr>
    <w:rPr>
      <w:rFonts w:cstheme="minorHAnsi"/>
      <w:sz w:val="20"/>
      <w:szCs w:val="20"/>
    </w:rPr>
  </w:style>
  <w:style w:type="paragraph" w:styleId="TOC5">
    <w:name w:val="toc 5"/>
    <w:basedOn w:val="Normal"/>
    <w:next w:val="Normal"/>
    <w:autoRedefine/>
    <w:uiPriority w:val="39"/>
    <w:unhideWhenUsed/>
    <w:rsid w:val="00606AF7"/>
    <w:pPr>
      <w:spacing w:after="0"/>
      <w:ind w:left="660"/>
    </w:pPr>
    <w:rPr>
      <w:rFonts w:cstheme="minorHAnsi"/>
      <w:sz w:val="20"/>
      <w:szCs w:val="20"/>
    </w:rPr>
  </w:style>
  <w:style w:type="paragraph" w:styleId="TOC6">
    <w:name w:val="toc 6"/>
    <w:basedOn w:val="Normal"/>
    <w:next w:val="Normal"/>
    <w:autoRedefine/>
    <w:uiPriority w:val="39"/>
    <w:unhideWhenUsed/>
    <w:rsid w:val="00606AF7"/>
    <w:pPr>
      <w:spacing w:after="0"/>
      <w:ind w:left="880"/>
    </w:pPr>
    <w:rPr>
      <w:rFonts w:cstheme="minorHAnsi"/>
      <w:sz w:val="20"/>
      <w:szCs w:val="20"/>
    </w:rPr>
  </w:style>
  <w:style w:type="paragraph" w:styleId="TOC7">
    <w:name w:val="toc 7"/>
    <w:basedOn w:val="Normal"/>
    <w:next w:val="Normal"/>
    <w:autoRedefine/>
    <w:uiPriority w:val="39"/>
    <w:unhideWhenUsed/>
    <w:rsid w:val="00606AF7"/>
    <w:pPr>
      <w:spacing w:after="0"/>
      <w:ind w:left="1100"/>
    </w:pPr>
    <w:rPr>
      <w:rFonts w:cstheme="minorHAnsi"/>
      <w:sz w:val="20"/>
      <w:szCs w:val="20"/>
    </w:rPr>
  </w:style>
  <w:style w:type="paragraph" w:styleId="TOC8">
    <w:name w:val="toc 8"/>
    <w:basedOn w:val="Normal"/>
    <w:next w:val="Normal"/>
    <w:autoRedefine/>
    <w:uiPriority w:val="39"/>
    <w:unhideWhenUsed/>
    <w:rsid w:val="00606AF7"/>
    <w:pPr>
      <w:spacing w:after="0"/>
      <w:ind w:left="1320"/>
    </w:pPr>
    <w:rPr>
      <w:rFonts w:cstheme="minorHAnsi"/>
      <w:sz w:val="20"/>
      <w:szCs w:val="20"/>
    </w:rPr>
  </w:style>
  <w:style w:type="paragraph" w:styleId="TOC9">
    <w:name w:val="toc 9"/>
    <w:basedOn w:val="Normal"/>
    <w:next w:val="Normal"/>
    <w:autoRedefine/>
    <w:uiPriority w:val="39"/>
    <w:unhideWhenUsed/>
    <w:rsid w:val="00606AF7"/>
    <w:pPr>
      <w:spacing w:after="0"/>
      <w:ind w:left="1540"/>
    </w:pPr>
    <w:rPr>
      <w:rFonts w:cstheme="minorHAnsi"/>
      <w:sz w:val="20"/>
      <w:szCs w:val="20"/>
    </w:rPr>
  </w:style>
  <w:style w:type="character" w:customStyle="1" w:styleId="cf01">
    <w:name w:val="cf01"/>
    <w:basedOn w:val="DefaultParagraphFont"/>
    <w:rsid w:val="00EA3A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3578">
      <w:bodyDiv w:val="1"/>
      <w:marLeft w:val="0"/>
      <w:marRight w:val="0"/>
      <w:marTop w:val="0"/>
      <w:marBottom w:val="0"/>
      <w:divBdr>
        <w:top w:val="none" w:sz="0" w:space="0" w:color="auto"/>
        <w:left w:val="none" w:sz="0" w:space="0" w:color="auto"/>
        <w:bottom w:val="none" w:sz="0" w:space="0" w:color="auto"/>
        <w:right w:val="none" w:sz="0" w:space="0" w:color="auto"/>
      </w:divBdr>
    </w:div>
    <w:div w:id="33817271">
      <w:bodyDiv w:val="1"/>
      <w:marLeft w:val="0"/>
      <w:marRight w:val="0"/>
      <w:marTop w:val="0"/>
      <w:marBottom w:val="0"/>
      <w:divBdr>
        <w:top w:val="none" w:sz="0" w:space="0" w:color="auto"/>
        <w:left w:val="none" w:sz="0" w:space="0" w:color="auto"/>
        <w:bottom w:val="none" w:sz="0" w:space="0" w:color="auto"/>
        <w:right w:val="none" w:sz="0" w:space="0" w:color="auto"/>
      </w:divBdr>
    </w:div>
    <w:div w:id="60761861">
      <w:bodyDiv w:val="1"/>
      <w:marLeft w:val="0"/>
      <w:marRight w:val="0"/>
      <w:marTop w:val="0"/>
      <w:marBottom w:val="0"/>
      <w:divBdr>
        <w:top w:val="none" w:sz="0" w:space="0" w:color="auto"/>
        <w:left w:val="none" w:sz="0" w:space="0" w:color="auto"/>
        <w:bottom w:val="none" w:sz="0" w:space="0" w:color="auto"/>
        <w:right w:val="none" w:sz="0" w:space="0" w:color="auto"/>
      </w:divBdr>
    </w:div>
    <w:div w:id="66074845">
      <w:bodyDiv w:val="1"/>
      <w:marLeft w:val="0"/>
      <w:marRight w:val="0"/>
      <w:marTop w:val="0"/>
      <w:marBottom w:val="0"/>
      <w:divBdr>
        <w:top w:val="none" w:sz="0" w:space="0" w:color="auto"/>
        <w:left w:val="none" w:sz="0" w:space="0" w:color="auto"/>
        <w:bottom w:val="none" w:sz="0" w:space="0" w:color="auto"/>
        <w:right w:val="none" w:sz="0" w:space="0" w:color="auto"/>
      </w:divBdr>
    </w:div>
    <w:div w:id="113863554">
      <w:bodyDiv w:val="1"/>
      <w:marLeft w:val="0"/>
      <w:marRight w:val="0"/>
      <w:marTop w:val="0"/>
      <w:marBottom w:val="0"/>
      <w:divBdr>
        <w:top w:val="none" w:sz="0" w:space="0" w:color="auto"/>
        <w:left w:val="none" w:sz="0" w:space="0" w:color="auto"/>
        <w:bottom w:val="none" w:sz="0" w:space="0" w:color="auto"/>
        <w:right w:val="none" w:sz="0" w:space="0" w:color="auto"/>
      </w:divBdr>
    </w:div>
    <w:div w:id="139660413">
      <w:bodyDiv w:val="1"/>
      <w:marLeft w:val="0"/>
      <w:marRight w:val="0"/>
      <w:marTop w:val="0"/>
      <w:marBottom w:val="0"/>
      <w:divBdr>
        <w:top w:val="none" w:sz="0" w:space="0" w:color="auto"/>
        <w:left w:val="none" w:sz="0" w:space="0" w:color="auto"/>
        <w:bottom w:val="none" w:sz="0" w:space="0" w:color="auto"/>
        <w:right w:val="none" w:sz="0" w:space="0" w:color="auto"/>
      </w:divBdr>
    </w:div>
    <w:div w:id="145317342">
      <w:bodyDiv w:val="1"/>
      <w:marLeft w:val="0"/>
      <w:marRight w:val="0"/>
      <w:marTop w:val="0"/>
      <w:marBottom w:val="0"/>
      <w:divBdr>
        <w:top w:val="none" w:sz="0" w:space="0" w:color="auto"/>
        <w:left w:val="none" w:sz="0" w:space="0" w:color="auto"/>
        <w:bottom w:val="none" w:sz="0" w:space="0" w:color="auto"/>
        <w:right w:val="none" w:sz="0" w:space="0" w:color="auto"/>
      </w:divBdr>
    </w:div>
    <w:div w:id="148593662">
      <w:bodyDiv w:val="1"/>
      <w:marLeft w:val="0"/>
      <w:marRight w:val="0"/>
      <w:marTop w:val="0"/>
      <w:marBottom w:val="0"/>
      <w:divBdr>
        <w:top w:val="none" w:sz="0" w:space="0" w:color="auto"/>
        <w:left w:val="none" w:sz="0" w:space="0" w:color="auto"/>
        <w:bottom w:val="none" w:sz="0" w:space="0" w:color="auto"/>
        <w:right w:val="none" w:sz="0" w:space="0" w:color="auto"/>
      </w:divBdr>
    </w:div>
    <w:div w:id="154227987">
      <w:bodyDiv w:val="1"/>
      <w:marLeft w:val="0"/>
      <w:marRight w:val="0"/>
      <w:marTop w:val="0"/>
      <w:marBottom w:val="0"/>
      <w:divBdr>
        <w:top w:val="none" w:sz="0" w:space="0" w:color="auto"/>
        <w:left w:val="none" w:sz="0" w:space="0" w:color="auto"/>
        <w:bottom w:val="none" w:sz="0" w:space="0" w:color="auto"/>
        <w:right w:val="none" w:sz="0" w:space="0" w:color="auto"/>
      </w:divBdr>
    </w:div>
    <w:div w:id="154608666">
      <w:bodyDiv w:val="1"/>
      <w:marLeft w:val="0"/>
      <w:marRight w:val="0"/>
      <w:marTop w:val="0"/>
      <w:marBottom w:val="0"/>
      <w:divBdr>
        <w:top w:val="none" w:sz="0" w:space="0" w:color="auto"/>
        <w:left w:val="none" w:sz="0" w:space="0" w:color="auto"/>
        <w:bottom w:val="none" w:sz="0" w:space="0" w:color="auto"/>
        <w:right w:val="none" w:sz="0" w:space="0" w:color="auto"/>
      </w:divBdr>
    </w:div>
    <w:div w:id="165479597">
      <w:bodyDiv w:val="1"/>
      <w:marLeft w:val="0"/>
      <w:marRight w:val="0"/>
      <w:marTop w:val="0"/>
      <w:marBottom w:val="0"/>
      <w:divBdr>
        <w:top w:val="none" w:sz="0" w:space="0" w:color="auto"/>
        <w:left w:val="none" w:sz="0" w:space="0" w:color="auto"/>
        <w:bottom w:val="none" w:sz="0" w:space="0" w:color="auto"/>
        <w:right w:val="none" w:sz="0" w:space="0" w:color="auto"/>
      </w:divBdr>
    </w:div>
    <w:div w:id="173695269">
      <w:bodyDiv w:val="1"/>
      <w:marLeft w:val="0"/>
      <w:marRight w:val="0"/>
      <w:marTop w:val="0"/>
      <w:marBottom w:val="0"/>
      <w:divBdr>
        <w:top w:val="none" w:sz="0" w:space="0" w:color="auto"/>
        <w:left w:val="none" w:sz="0" w:space="0" w:color="auto"/>
        <w:bottom w:val="none" w:sz="0" w:space="0" w:color="auto"/>
        <w:right w:val="none" w:sz="0" w:space="0" w:color="auto"/>
      </w:divBdr>
    </w:div>
    <w:div w:id="192887472">
      <w:bodyDiv w:val="1"/>
      <w:marLeft w:val="0"/>
      <w:marRight w:val="0"/>
      <w:marTop w:val="0"/>
      <w:marBottom w:val="0"/>
      <w:divBdr>
        <w:top w:val="none" w:sz="0" w:space="0" w:color="auto"/>
        <w:left w:val="none" w:sz="0" w:space="0" w:color="auto"/>
        <w:bottom w:val="none" w:sz="0" w:space="0" w:color="auto"/>
        <w:right w:val="none" w:sz="0" w:space="0" w:color="auto"/>
      </w:divBdr>
    </w:div>
    <w:div w:id="195849168">
      <w:bodyDiv w:val="1"/>
      <w:marLeft w:val="0"/>
      <w:marRight w:val="0"/>
      <w:marTop w:val="0"/>
      <w:marBottom w:val="0"/>
      <w:divBdr>
        <w:top w:val="none" w:sz="0" w:space="0" w:color="auto"/>
        <w:left w:val="none" w:sz="0" w:space="0" w:color="auto"/>
        <w:bottom w:val="none" w:sz="0" w:space="0" w:color="auto"/>
        <w:right w:val="none" w:sz="0" w:space="0" w:color="auto"/>
      </w:divBdr>
    </w:div>
    <w:div w:id="208961493">
      <w:bodyDiv w:val="1"/>
      <w:marLeft w:val="0"/>
      <w:marRight w:val="0"/>
      <w:marTop w:val="0"/>
      <w:marBottom w:val="0"/>
      <w:divBdr>
        <w:top w:val="none" w:sz="0" w:space="0" w:color="auto"/>
        <w:left w:val="none" w:sz="0" w:space="0" w:color="auto"/>
        <w:bottom w:val="none" w:sz="0" w:space="0" w:color="auto"/>
        <w:right w:val="none" w:sz="0" w:space="0" w:color="auto"/>
      </w:divBdr>
    </w:div>
    <w:div w:id="215092459">
      <w:bodyDiv w:val="1"/>
      <w:marLeft w:val="0"/>
      <w:marRight w:val="0"/>
      <w:marTop w:val="0"/>
      <w:marBottom w:val="0"/>
      <w:divBdr>
        <w:top w:val="none" w:sz="0" w:space="0" w:color="auto"/>
        <w:left w:val="none" w:sz="0" w:space="0" w:color="auto"/>
        <w:bottom w:val="none" w:sz="0" w:space="0" w:color="auto"/>
        <w:right w:val="none" w:sz="0" w:space="0" w:color="auto"/>
      </w:divBdr>
    </w:div>
    <w:div w:id="230123328">
      <w:bodyDiv w:val="1"/>
      <w:marLeft w:val="0"/>
      <w:marRight w:val="0"/>
      <w:marTop w:val="0"/>
      <w:marBottom w:val="0"/>
      <w:divBdr>
        <w:top w:val="none" w:sz="0" w:space="0" w:color="auto"/>
        <w:left w:val="none" w:sz="0" w:space="0" w:color="auto"/>
        <w:bottom w:val="none" w:sz="0" w:space="0" w:color="auto"/>
        <w:right w:val="none" w:sz="0" w:space="0" w:color="auto"/>
      </w:divBdr>
    </w:div>
    <w:div w:id="245462819">
      <w:bodyDiv w:val="1"/>
      <w:marLeft w:val="0"/>
      <w:marRight w:val="0"/>
      <w:marTop w:val="0"/>
      <w:marBottom w:val="0"/>
      <w:divBdr>
        <w:top w:val="none" w:sz="0" w:space="0" w:color="auto"/>
        <w:left w:val="none" w:sz="0" w:space="0" w:color="auto"/>
        <w:bottom w:val="none" w:sz="0" w:space="0" w:color="auto"/>
        <w:right w:val="none" w:sz="0" w:space="0" w:color="auto"/>
      </w:divBdr>
    </w:div>
    <w:div w:id="246038345">
      <w:bodyDiv w:val="1"/>
      <w:marLeft w:val="0"/>
      <w:marRight w:val="0"/>
      <w:marTop w:val="0"/>
      <w:marBottom w:val="0"/>
      <w:divBdr>
        <w:top w:val="none" w:sz="0" w:space="0" w:color="auto"/>
        <w:left w:val="none" w:sz="0" w:space="0" w:color="auto"/>
        <w:bottom w:val="none" w:sz="0" w:space="0" w:color="auto"/>
        <w:right w:val="none" w:sz="0" w:space="0" w:color="auto"/>
      </w:divBdr>
    </w:div>
    <w:div w:id="270087857">
      <w:bodyDiv w:val="1"/>
      <w:marLeft w:val="0"/>
      <w:marRight w:val="0"/>
      <w:marTop w:val="0"/>
      <w:marBottom w:val="0"/>
      <w:divBdr>
        <w:top w:val="none" w:sz="0" w:space="0" w:color="auto"/>
        <w:left w:val="none" w:sz="0" w:space="0" w:color="auto"/>
        <w:bottom w:val="none" w:sz="0" w:space="0" w:color="auto"/>
        <w:right w:val="none" w:sz="0" w:space="0" w:color="auto"/>
      </w:divBdr>
    </w:div>
    <w:div w:id="293029703">
      <w:bodyDiv w:val="1"/>
      <w:marLeft w:val="0"/>
      <w:marRight w:val="0"/>
      <w:marTop w:val="0"/>
      <w:marBottom w:val="0"/>
      <w:divBdr>
        <w:top w:val="none" w:sz="0" w:space="0" w:color="auto"/>
        <w:left w:val="none" w:sz="0" w:space="0" w:color="auto"/>
        <w:bottom w:val="none" w:sz="0" w:space="0" w:color="auto"/>
        <w:right w:val="none" w:sz="0" w:space="0" w:color="auto"/>
      </w:divBdr>
    </w:div>
    <w:div w:id="293564224">
      <w:bodyDiv w:val="1"/>
      <w:marLeft w:val="0"/>
      <w:marRight w:val="0"/>
      <w:marTop w:val="0"/>
      <w:marBottom w:val="0"/>
      <w:divBdr>
        <w:top w:val="none" w:sz="0" w:space="0" w:color="auto"/>
        <w:left w:val="none" w:sz="0" w:space="0" w:color="auto"/>
        <w:bottom w:val="none" w:sz="0" w:space="0" w:color="auto"/>
        <w:right w:val="none" w:sz="0" w:space="0" w:color="auto"/>
      </w:divBdr>
    </w:div>
    <w:div w:id="309556127">
      <w:bodyDiv w:val="1"/>
      <w:marLeft w:val="0"/>
      <w:marRight w:val="0"/>
      <w:marTop w:val="0"/>
      <w:marBottom w:val="0"/>
      <w:divBdr>
        <w:top w:val="none" w:sz="0" w:space="0" w:color="auto"/>
        <w:left w:val="none" w:sz="0" w:space="0" w:color="auto"/>
        <w:bottom w:val="none" w:sz="0" w:space="0" w:color="auto"/>
        <w:right w:val="none" w:sz="0" w:space="0" w:color="auto"/>
      </w:divBdr>
    </w:div>
    <w:div w:id="314378640">
      <w:bodyDiv w:val="1"/>
      <w:marLeft w:val="0"/>
      <w:marRight w:val="0"/>
      <w:marTop w:val="0"/>
      <w:marBottom w:val="0"/>
      <w:divBdr>
        <w:top w:val="none" w:sz="0" w:space="0" w:color="auto"/>
        <w:left w:val="none" w:sz="0" w:space="0" w:color="auto"/>
        <w:bottom w:val="none" w:sz="0" w:space="0" w:color="auto"/>
        <w:right w:val="none" w:sz="0" w:space="0" w:color="auto"/>
      </w:divBdr>
    </w:div>
    <w:div w:id="337582109">
      <w:bodyDiv w:val="1"/>
      <w:marLeft w:val="0"/>
      <w:marRight w:val="0"/>
      <w:marTop w:val="0"/>
      <w:marBottom w:val="0"/>
      <w:divBdr>
        <w:top w:val="none" w:sz="0" w:space="0" w:color="auto"/>
        <w:left w:val="none" w:sz="0" w:space="0" w:color="auto"/>
        <w:bottom w:val="none" w:sz="0" w:space="0" w:color="auto"/>
        <w:right w:val="none" w:sz="0" w:space="0" w:color="auto"/>
      </w:divBdr>
    </w:div>
    <w:div w:id="380176812">
      <w:bodyDiv w:val="1"/>
      <w:marLeft w:val="0"/>
      <w:marRight w:val="0"/>
      <w:marTop w:val="0"/>
      <w:marBottom w:val="0"/>
      <w:divBdr>
        <w:top w:val="none" w:sz="0" w:space="0" w:color="auto"/>
        <w:left w:val="none" w:sz="0" w:space="0" w:color="auto"/>
        <w:bottom w:val="none" w:sz="0" w:space="0" w:color="auto"/>
        <w:right w:val="none" w:sz="0" w:space="0" w:color="auto"/>
      </w:divBdr>
    </w:div>
    <w:div w:id="386926648">
      <w:bodyDiv w:val="1"/>
      <w:marLeft w:val="0"/>
      <w:marRight w:val="0"/>
      <w:marTop w:val="0"/>
      <w:marBottom w:val="0"/>
      <w:divBdr>
        <w:top w:val="none" w:sz="0" w:space="0" w:color="auto"/>
        <w:left w:val="none" w:sz="0" w:space="0" w:color="auto"/>
        <w:bottom w:val="none" w:sz="0" w:space="0" w:color="auto"/>
        <w:right w:val="none" w:sz="0" w:space="0" w:color="auto"/>
      </w:divBdr>
    </w:div>
    <w:div w:id="413552725">
      <w:bodyDiv w:val="1"/>
      <w:marLeft w:val="0"/>
      <w:marRight w:val="0"/>
      <w:marTop w:val="0"/>
      <w:marBottom w:val="0"/>
      <w:divBdr>
        <w:top w:val="none" w:sz="0" w:space="0" w:color="auto"/>
        <w:left w:val="none" w:sz="0" w:space="0" w:color="auto"/>
        <w:bottom w:val="none" w:sz="0" w:space="0" w:color="auto"/>
        <w:right w:val="none" w:sz="0" w:space="0" w:color="auto"/>
      </w:divBdr>
      <w:divsChild>
        <w:div w:id="893849747">
          <w:marLeft w:val="0"/>
          <w:marRight w:val="0"/>
          <w:marTop w:val="0"/>
          <w:marBottom w:val="0"/>
          <w:divBdr>
            <w:top w:val="none" w:sz="0" w:space="0" w:color="auto"/>
            <w:left w:val="none" w:sz="0" w:space="0" w:color="auto"/>
            <w:bottom w:val="none" w:sz="0" w:space="0" w:color="auto"/>
            <w:right w:val="none" w:sz="0" w:space="0" w:color="auto"/>
          </w:divBdr>
        </w:div>
      </w:divsChild>
    </w:div>
    <w:div w:id="415857748">
      <w:bodyDiv w:val="1"/>
      <w:marLeft w:val="0"/>
      <w:marRight w:val="0"/>
      <w:marTop w:val="0"/>
      <w:marBottom w:val="0"/>
      <w:divBdr>
        <w:top w:val="none" w:sz="0" w:space="0" w:color="auto"/>
        <w:left w:val="none" w:sz="0" w:space="0" w:color="auto"/>
        <w:bottom w:val="none" w:sz="0" w:space="0" w:color="auto"/>
        <w:right w:val="none" w:sz="0" w:space="0" w:color="auto"/>
      </w:divBdr>
    </w:div>
    <w:div w:id="454643238">
      <w:bodyDiv w:val="1"/>
      <w:marLeft w:val="0"/>
      <w:marRight w:val="0"/>
      <w:marTop w:val="0"/>
      <w:marBottom w:val="0"/>
      <w:divBdr>
        <w:top w:val="none" w:sz="0" w:space="0" w:color="auto"/>
        <w:left w:val="none" w:sz="0" w:space="0" w:color="auto"/>
        <w:bottom w:val="none" w:sz="0" w:space="0" w:color="auto"/>
        <w:right w:val="none" w:sz="0" w:space="0" w:color="auto"/>
      </w:divBdr>
    </w:div>
    <w:div w:id="480120417">
      <w:bodyDiv w:val="1"/>
      <w:marLeft w:val="0"/>
      <w:marRight w:val="0"/>
      <w:marTop w:val="0"/>
      <w:marBottom w:val="0"/>
      <w:divBdr>
        <w:top w:val="none" w:sz="0" w:space="0" w:color="auto"/>
        <w:left w:val="none" w:sz="0" w:space="0" w:color="auto"/>
        <w:bottom w:val="none" w:sz="0" w:space="0" w:color="auto"/>
        <w:right w:val="none" w:sz="0" w:space="0" w:color="auto"/>
      </w:divBdr>
    </w:div>
    <w:div w:id="498813462">
      <w:bodyDiv w:val="1"/>
      <w:marLeft w:val="0"/>
      <w:marRight w:val="0"/>
      <w:marTop w:val="0"/>
      <w:marBottom w:val="0"/>
      <w:divBdr>
        <w:top w:val="none" w:sz="0" w:space="0" w:color="auto"/>
        <w:left w:val="none" w:sz="0" w:space="0" w:color="auto"/>
        <w:bottom w:val="none" w:sz="0" w:space="0" w:color="auto"/>
        <w:right w:val="none" w:sz="0" w:space="0" w:color="auto"/>
      </w:divBdr>
    </w:div>
    <w:div w:id="549003589">
      <w:bodyDiv w:val="1"/>
      <w:marLeft w:val="0"/>
      <w:marRight w:val="0"/>
      <w:marTop w:val="0"/>
      <w:marBottom w:val="0"/>
      <w:divBdr>
        <w:top w:val="none" w:sz="0" w:space="0" w:color="auto"/>
        <w:left w:val="none" w:sz="0" w:space="0" w:color="auto"/>
        <w:bottom w:val="none" w:sz="0" w:space="0" w:color="auto"/>
        <w:right w:val="none" w:sz="0" w:space="0" w:color="auto"/>
      </w:divBdr>
    </w:div>
    <w:div w:id="556669795">
      <w:bodyDiv w:val="1"/>
      <w:marLeft w:val="0"/>
      <w:marRight w:val="0"/>
      <w:marTop w:val="0"/>
      <w:marBottom w:val="0"/>
      <w:divBdr>
        <w:top w:val="none" w:sz="0" w:space="0" w:color="auto"/>
        <w:left w:val="none" w:sz="0" w:space="0" w:color="auto"/>
        <w:bottom w:val="none" w:sz="0" w:space="0" w:color="auto"/>
        <w:right w:val="none" w:sz="0" w:space="0" w:color="auto"/>
      </w:divBdr>
    </w:div>
    <w:div w:id="567306475">
      <w:bodyDiv w:val="1"/>
      <w:marLeft w:val="0"/>
      <w:marRight w:val="0"/>
      <w:marTop w:val="0"/>
      <w:marBottom w:val="0"/>
      <w:divBdr>
        <w:top w:val="none" w:sz="0" w:space="0" w:color="auto"/>
        <w:left w:val="none" w:sz="0" w:space="0" w:color="auto"/>
        <w:bottom w:val="none" w:sz="0" w:space="0" w:color="auto"/>
        <w:right w:val="none" w:sz="0" w:space="0" w:color="auto"/>
      </w:divBdr>
    </w:div>
    <w:div w:id="577910536">
      <w:bodyDiv w:val="1"/>
      <w:marLeft w:val="0"/>
      <w:marRight w:val="0"/>
      <w:marTop w:val="0"/>
      <w:marBottom w:val="0"/>
      <w:divBdr>
        <w:top w:val="none" w:sz="0" w:space="0" w:color="auto"/>
        <w:left w:val="none" w:sz="0" w:space="0" w:color="auto"/>
        <w:bottom w:val="none" w:sz="0" w:space="0" w:color="auto"/>
        <w:right w:val="none" w:sz="0" w:space="0" w:color="auto"/>
      </w:divBdr>
    </w:div>
    <w:div w:id="595868051">
      <w:bodyDiv w:val="1"/>
      <w:marLeft w:val="0"/>
      <w:marRight w:val="0"/>
      <w:marTop w:val="0"/>
      <w:marBottom w:val="0"/>
      <w:divBdr>
        <w:top w:val="none" w:sz="0" w:space="0" w:color="auto"/>
        <w:left w:val="none" w:sz="0" w:space="0" w:color="auto"/>
        <w:bottom w:val="none" w:sz="0" w:space="0" w:color="auto"/>
        <w:right w:val="none" w:sz="0" w:space="0" w:color="auto"/>
      </w:divBdr>
    </w:div>
    <w:div w:id="655690441">
      <w:bodyDiv w:val="1"/>
      <w:marLeft w:val="0"/>
      <w:marRight w:val="0"/>
      <w:marTop w:val="0"/>
      <w:marBottom w:val="0"/>
      <w:divBdr>
        <w:top w:val="none" w:sz="0" w:space="0" w:color="auto"/>
        <w:left w:val="none" w:sz="0" w:space="0" w:color="auto"/>
        <w:bottom w:val="none" w:sz="0" w:space="0" w:color="auto"/>
        <w:right w:val="none" w:sz="0" w:space="0" w:color="auto"/>
      </w:divBdr>
    </w:div>
    <w:div w:id="675427199">
      <w:bodyDiv w:val="1"/>
      <w:marLeft w:val="0"/>
      <w:marRight w:val="0"/>
      <w:marTop w:val="0"/>
      <w:marBottom w:val="0"/>
      <w:divBdr>
        <w:top w:val="none" w:sz="0" w:space="0" w:color="auto"/>
        <w:left w:val="none" w:sz="0" w:space="0" w:color="auto"/>
        <w:bottom w:val="none" w:sz="0" w:space="0" w:color="auto"/>
        <w:right w:val="none" w:sz="0" w:space="0" w:color="auto"/>
      </w:divBdr>
    </w:div>
    <w:div w:id="691342786">
      <w:bodyDiv w:val="1"/>
      <w:marLeft w:val="0"/>
      <w:marRight w:val="0"/>
      <w:marTop w:val="0"/>
      <w:marBottom w:val="0"/>
      <w:divBdr>
        <w:top w:val="none" w:sz="0" w:space="0" w:color="auto"/>
        <w:left w:val="none" w:sz="0" w:space="0" w:color="auto"/>
        <w:bottom w:val="none" w:sz="0" w:space="0" w:color="auto"/>
        <w:right w:val="none" w:sz="0" w:space="0" w:color="auto"/>
      </w:divBdr>
    </w:div>
    <w:div w:id="699286040">
      <w:bodyDiv w:val="1"/>
      <w:marLeft w:val="0"/>
      <w:marRight w:val="0"/>
      <w:marTop w:val="0"/>
      <w:marBottom w:val="0"/>
      <w:divBdr>
        <w:top w:val="none" w:sz="0" w:space="0" w:color="auto"/>
        <w:left w:val="none" w:sz="0" w:space="0" w:color="auto"/>
        <w:bottom w:val="none" w:sz="0" w:space="0" w:color="auto"/>
        <w:right w:val="none" w:sz="0" w:space="0" w:color="auto"/>
      </w:divBdr>
    </w:div>
    <w:div w:id="710812540">
      <w:bodyDiv w:val="1"/>
      <w:marLeft w:val="0"/>
      <w:marRight w:val="0"/>
      <w:marTop w:val="0"/>
      <w:marBottom w:val="0"/>
      <w:divBdr>
        <w:top w:val="none" w:sz="0" w:space="0" w:color="auto"/>
        <w:left w:val="none" w:sz="0" w:space="0" w:color="auto"/>
        <w:bottom w:val="none" w:sz="0" w:space="0" w:color="auto"/>
        <w:right w:val="none" w:sz="0" w:space="0" w:color="auto"/>
      </w:divBdr>
    </w:div>
    <w:div w:id="746225608">
      <w:bodyDiv w:val="1"/>
      <w:marLeft w:val="0"/>
      <w:marRight w:val="0"/>
      <w:marTop w:val="0"/>
      <w:marBottom w:val="0"/>
      <w:divBdr>
        <w:top w:val="none" w:sz="0" w:space="0" w:color="auto"/>
        <w:left w:val="none" w:sz="0" w:space="0" w:color="auto"/>
        <w:bottom w:val="none" w:sz="0" w:space="0" w:color="auto"/>
        <w:right w:val="none" w:sz="0" w:space="0" w:color="auto"/>
      </w:divBdr>
    </w:div>
    <w:div w:id="780802228">
      <w:bodyDiv w:val="1"/>
      <w:marLeft w:val="0"/>
      <w:marRight w:val="0"/>
      <w:marTop w:val="0"/>
      <w:marBottom w:val="0"/>
      <w:divBdr>
        <w:top w:val="none" w:sz="0" w:space="0" w:color="auto"/>
        <w:left w:val="none" w:sz="0" w:space="0" w:color="auto"/>
        <w:bottom w:val="none" w:sz="0" w:space="0" w:color="auto"/>
        <w:right w:val="none" w:sz="0" w:space="0" w:color="auto"/>
      </w:divBdr>
    </w:div>
    <w:div w:id="804591329">
      <w:bodyDiv w:val="1"/>
      <w:marLeft w:val="0"/>
      <w:marRight w:val="0"/>
      <w:marTop w:val="0"/>
      <w:marBottom w:val="0"/>
      <w:divBdr>
        <w:top w:val="none" w:sz="0" w:space="0" w:color="auto"/>
        <w:left w:val="none" w:sz="0" w:space="0" w:color="auto"/>
        <w:bottom w:val="none" w:sz="0" w:space="0" w:color="auto"/>
        <w:right w:val="none" w:sz="0" w:space="0" w:color="auto"/>
      </w:divBdr>
    </w:div>
    <w:div w:id="816604008">
      <w:bodyDiv w:val="1"/>
      <w:marLeft w:val="0"/>
      <w:marRight w:val="0"/>
      <w:marTop w:val="0"/>
      <w:marBottom w:val="0"/>
      <w:divBdr>
        <w:top w:val="none" w:sz="0" w:space="0" w:color="auto"/>
        <w:left w:val="none" w:sz="0" w:space="0" w:color="auto"/>
        <w:bottom w:val="none" w:sz="0" w:space="0" w:color="auto"/>
        <w:right w:val="none" w:sz="0" w:space="0" w:color="auto"/>
      </w:divBdr>
    </w:div>
    <w:div w:id="825703613">
      <w:bodyDiv w:val="1"/>
      <w:marLeft w:val="0"/>
      <w:marRight w:val="0"/>
      <w:marTop w:val="0"/>
      <w:marBottom w:val="0"/>
      <w:divBdr>
        <w:top w:val="none" w:sz="0" w:space="0" w:color="auto"/>
        <w:left w:val="none" w:sz="0" w:space="0" w:color="auto"/>
        <w:bottom w:val="none" w:sz="0" w:space="0" w:color="auto"/>
        <w:right w:val="none" w:sz="0" w:space="0" w:color="auto"/>
      </w:divBdr>
    </w:div>
    <w:div w:id="826480542">
      <w:bodyDiv w:val="1"/>
      <w:marLeft w:val="0"/>
      <w:marRight w:val="0"/>
      <w:marTop w:val="0"/>
      <w:marBottom w:val="0"/>
      <w:divBdr>
        <w:top w:val="none" w:sz="0" w:space="0" w:color="auto"/>
        <w:left w:val="none" w:sz="0" w:space="0" w:color="auto"/>
        <w:bottom w:val="none" w:sz="0" w:space="0" w:color="auto"/>
        <w:right w:val="none" w:sz="0" w:space="0" w:color="auto"/>
      </w:divBdr>
    </w:div>
    <w:div w:id="826631316">
      <w:bodyDiv w:val="1"/>
      <w:marLeft w:val="0"/>
      <w:marRight w:val="0"/>
      <w:marTop w:val="0"/>
      <w:marBottom w:val="0"/>
      <w:divBdr>
        <w:top w:val="none" w:sz="0" w:space="0" w:color="auto"/>
        <w:left w:val="none" w:sz="0" w:space="0" w:color="auto"/>
        <w:bottom w:val="none" w:sz="0" w:space="0" w:color="auto"/>
        <w:right w:val="none" w:sz="0" w:space="0" w:color="auto"/>
      </w:divBdr>
    </w:div>
    <w:div w:id="831485278">
      <w:bodyDiv w:val="1"/>
      <w:marLeft w:val="0"/>
      <w:marRight w:val="0"/>
      <w:marTop w:val="0"/>
      <w:marBottom w:val="0"/>
      <w:divBdr>
        <w:top w:val="none" w:sz="0" w:space="0" w:color="auto"/>
        <w:left w:val="none" w:sz="0" w:space="0" w:color="auto"/>
        <w:bottom w:val="none" w:sz="0" w:space="0" w:color="auto"/>
        <w:right w:val="none" w:sz="0" w:space="0" w:color="auto"/>
      </w:divBdr>
    </w:div>
    <w:div w:id="836001463">
      <w:bodyDiv w:val="1"/>
      <w:marLeft w:val="0"/>
      <w:marRight w:val="0"/>
      <w:marTop w:val="0"/>
      <w:marBottom w:val="0"/>
      <w:divBdr>
        <w:top w:val="none" w:sz="0" w:space="0" w:color="auto"/>
        <w:left w:val="none" w:sz="0" w:space="0" w:color="auto"/>
        <w:bottom w:val="none" w:sz="0" w:space="0" w:color="auto"/>
        <w:right w:val="none" w:sz="0" w:space="0" w:color="auto"/>
      </w:divBdr>
    </w:div>
    <w:div w:id="836111362">
      <w:bodyDiv w:val="1"/>
      <w:marLeft w:val="0"/>
      <w:marRight w:val="0"/>
      <w:marTop w:val="0"/>
      <w:marBottom w:val="0"/>
      <w:divBdr>
        <w:top w:val="none" w:sz="0" w:space="0" w:color="auto"/>
        <w:left w:val="none" w:sz="0" w:space="0" w:color="auto"/>
        <w:bottom w:val="none" w:sz="0" w:space="0" w:color="auto"/>
        <w:right w:val="none" w:sz="0" w:space="0" w:color="auto"/>
      </w:divBdr>
    </w:div>
    <w:div w:id="843279141">
      <w:bodyDiv w:val="1"/>
      <w:marLeft w:val="0"/>
      <w:marRight w:val="0"/>
      <w:marTop w:val="0"/>
      <w:marBottom w:val="0"/>
      <w:divBdr>
        <w:top w:val="none" w:sz="0" w:space="0" w:color="auto"/>
        <w:left w:val="none" w:sz="0" w:space="0" w:color="auto"/>
        <w:bottom w:val="none" w:sz="0" w:space="0" w:color="auto"/>
        <w:right w:val="none" w:sz="0" w:space="0" w:color="auto"/>
      </w:divBdr>
    </w:div>
    <w:div w:id="846021819">
      <w:bodyDiv w:val="1"/>
      <w:marLeft w:val="0"/>
      <w:marRight w:val="0"/>
      <w:marTop w:val="0"/>
      <w:marBottom w:val="0"/>
      <w:divBdr>
        <w:top w:val="none" w:sz="0" w:space="0" w:color="auto"/>
        <w:left w:val="none" w:sz="0" w:space="0" w:color="auto"/>
        <w:bottom w:val="none" w:sz="0" w:space="0" w:color="auto"/>
        <w:right w:val="none" w:sz="0" w:space="0" w:color="auto"/>
      </w:divBdr>
    </w:div>
    <w:div w:id="856844584">
      <w:bodyDiv w:val="1"/>
      <w:marLeft w:val="0"/>
      <w:marRight w:val="0"/>
      <w:marTop w:val="0"/>
      <w:marBottom w:val="0"/>
      <w:divBdr>
        <w:top w:val="none" w:sz="0" w:space="0" w:color="auto"/>
        <w:left w:val="none" w:sz="0" w:space="0" w:color="auto"/>
        <w:bottom w:val="none" w:sz="0" w:space="0" w:color="auto"/>
        <w:right w:val="none" w:sz="0" w:space="0" w:color="auto"/>
      </w:divBdr>
    </w:div>
    <w:div w:id="875773565">
      <w:bodyDiv w:val="1"/>
      <w:marLeft w:val="0"/>
      <w:marRight w:val="0"/>
      <w:marTop w:val="0"/>
      <w:marBottom w:val="0"/>
      <w:divBdr>
        <w:top w:val="none" w:sz="0" w:space="0" w:color="auto"/>
        <w:left w:val="none" w:sz="0" w:space="0" w:color="auto"/>
        <w:bottom w:val="none" w:sz="0" w:space="0" w:color="auto"/>
        <w:right w:val="none" w:sz="0" w:space="0" w:color="auto"/>
      </w:divBdr>
    </w:div>
    <w:div w:id="891038082">
      <w:bodyDiv w:val="1"/>
      <w:marLeft w:val="0"/>
      <w:marRight w:val="0"/>
      <w:marTop w:val="0"/>
      <w:marBottom w:val="0"/>
      <w:divBdr>
        <w:top w:val="none" w:sz="0" w:space="0" w:color="auto"/>
        <w:left w:val="none" w:sz="0" w:space="0" w:color="auto"/>
        <w:bottom w:val="none" w:sz="0" w:space="0" w:color="auto"/>
        <w:right w:val="none" w:sz="0" w:space="0" w:color="auto"/>
      </w:divBdr>
    </w:div>
    <w:div w:id="899898343">
      <w:bodyDiv w:val="1"/>
      <w:marLeft w:val="0"/>
      <w:marRight w:val="0"/>
      <w:marTop w:val="0"/>
      <w:marBottom w:val="0"/>
      <w:divBdr>
        <w:top w:val="none" w:sz="0" w:space="0" w:color="auto"/>
        <w:left w:val="none" w:sz="0" w:space="0" w:color="auto"/>
        <w:bottom w:val="none" w:sz="0" w:space="0" w:color="auto"/>
        <w:right w:val="none" w:sz="0" w:space="0" w:color="auto"/>
      </w:divBdr>
    </w:div>
    <w:div w:id="912155710">
      <w:bodyDiv w:val="1"/>
      <w:marLeft w:val="0"/>
      <w:marRight w:val="0"/>
      <w:marTop w:val="0"/>
      <w:marBottom w:val="0"/>
      <w:divBdr>
        <w:top w:val="none" w:sz="0" w:space="0" w:color="auto"/>
        <w:left w:val="none" w:sz="0" w:space="0" w:color="auto"/>
        <w:bottom w:val="none" w:sz="0" w:space="0" w:color="auto"/>
        <w:right w:val="none" w:sz="0" w:space="0" w:color="auto"/>
      </w:divBdr>
    </w:div>
    <w:div w:id="925071966">
      <w:bodyDiv w:val="1"/>
      <w:marLeft w:val="0"/>
      <w:marRight w:val="0"/>
      <w:marTop w:val="0"/>
      <w:marBottom w:val="0"/>
      <w:divBdr>
        <w:top w:val="none" w:sz="0" w:space="0" w:color="auto"/>
        <w:left w:val="none" w:sz="0" w:space="0" w:color="auto"/>
        <w:bottom w:val="none" w:sz="0" w:space="0" w:color="auto"/>
        <w:right w:val="none" w:sz="0" w:space="0" w:color="auto"/>
      </w:divBdr>
    </w:div>
    <w:div w:id="934555073">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9842364">
      <w:bodyDiv w:val="1"/>
      <w:marLeft w:val="0"/>
      <w:marRight w:val="0"/>
      <w:marTop w:val="0"/>
      <w:marBottom w:val="0"/>
      <w:divBdr>
        <w:top w:val="none" w:sz="0" w:space="0" w:color="auto"/>
        <w:left w:val="none" w:sz="0" w:space="0" w:color="auto"/>
        <w:bottom w:val="none" w:sz="0" w:space="0" w:color="auto"/>
        <w:right w:val="none" w:sz="0" w:space="0" w:color="auto"/>
      </w:divBdr>
    </w:div>
    <w:div w:id="990518805">
      <w:bodyDiv w:val="1"/>
      <w:marLeft w:val="0"/>
      <w:marRight w:val="0"/>
      <w:marTop w:val="0"/>
      <w:marBottom w:val="0"/>
      <w:divBdr>
        <w:top w:val="none" w:sz="0" w:space="0" w:color="auto"/>
        <w:left w:val="none" w:sz="0" w:space="0" w:color="auto"/>
        <w:bottom w:val="none" w:sz="0" w:space="0" w:color="auto"/>
        <w:right w:val="none" w:sz="0" w:space="0" w:color="auto"/>
      </w:divBdr>
    </w:div>
    <w:div w:id="1050037317">
      <w:bodyDiv w:val="1"/>
      <w:marLeft w:val="0"/>
      <w:marRight w:val="0"/>
      <w:marTop w:val="0"/>
      <w:marBottom w:val="0"/>
      <w:divBdr>
        <w:top w:val="none" w:sz="0" w:space="0" w:color="auto"/>
        <w:left w:val="none" w:sz="0" w:space="0" w:color="auto"/>
        <w:bottom w:val="none" w:sz="0" w:space="0" w:color="auto"/>
        <w:right w:val="none" w:sz="0" w:space="0" w:color="auto"/>
      </w:divBdr>
    </w:div>
    <w:div w:id="1056663106">
      <w:bodyDiv w:val="1"/>
      <w:marLeft w:val="0"/>
      <w:marRight w:val="0"/>
      <w:marTop w:val="0"/>
      <w:marBottom w:val="0"/>
      <w:divBdr>
        <w:top w:val="none" w:sz="0" w:space="0" w:color="auto"/>
        <w:left w:val="none" w:sz="0" w:space="0" w:color="auto"/>
        <w:bottom w:val="none" w:sz="0" w:space="0" w:color="auto"/>
        <w:right w:val="none" w:sz="0" w:space="0" w:color="auto"/>
      </w:divBdr>
    </w:div>
    <w:div w:id="1060978689">
      <w:bodyDiv w:val="1"/>
      <w:marLeft w:val="0"/>
      <w:marRight w:val="0"/>
      <w:marTop w:val="0"/>
      <w:marBottom w:val="0"/>
      <w:divBdr>
        <w:top w:val="none" w:sz="0" w:space="0" w:color="auto"/>
        <w:left w:val="none" w:sz="0" w:space="0" w:color="auto"/>
        <w:bottom w:val="none" w:sz="0" w:space="0" w:color="auto"/>
        <w:right w:val="none" w:sz="0" w:space="0" w:color="auto"/>
      </w:divBdr>
    </w:div>
    <w:div w:id="1083647828">
      <w:bodyDiv w:val="1"/>
      <w:marLeft w:val="0"/>
      <w:marRight w:val="0"/>
      <w:marTop w:val="0"/>
      <w:marBottom w:val="0"/>
      <w:divBdr>
        <w:top w:val="none" w:sz="0" w:space="0" w:color="auto"/>
        <w:left w:val="none" w:sz="0" w:space="0" w:color="auto"/>
        <w:bottom w:val="none" w:sz="0" w:space="0" w:color="auto"/>
        <w:right w:val="none" w:sz="0" w:space="0" w:color="auto"/>
      </w:divBdr>
    </w:div>
    <w:div w:id="1110852294">
      <w:bodyDiv w:val="1"/>
      <w:marLeft w:val="0"/>
      <w:marRight w:val="0"/>
      <w:marTop w:val="0"/>
      <w:marBottom w:val="0"/>
      <w:divBdr>
        <w:top w:val="none" w:sz="0" w:space="0" w:color="auto"/>
        <w:left w:val="none" w:sz="0" w:space="0" w:color="auto"/>
        <w:bottom w:val="none" w:sz="0" w:space="0" w:color="auto"/>
        <w:right w:val="none" w:sz="0" w:space="0" w:color="auto"/>
      </w:divBdr>
    </w:div>
    <w:div w:id="1113666884">
      <w:bodyDiv w:val="1"/>
      <w:marLeft w:val="0"/>
      <w:marRight w:val="0"/>
      <w:marTop w:val="0"/>
      <w:marBottom w:val="0"/>
      <w:divBdr>
        <w:top w:val="none" w:sz="0" w:space="0" w:color="auto"/>
        <w:left w:val="none" w:sz="0" w:space="0" w:color="auto"/>
        <w:bottom w:val="none" w:sz="0" w:space="0" w:color="auto"/>
        <w:right w:val="none" w:sz="0" w:space="0" w:color="auto"/>
      </w:divBdr>
    </w:div>
    <w:div w:id="1125582974">
      <w:bodyDiv w:val="1"/>
      <w:marLeft w:val="0"/>
      <w:marRight w:val="0"/>
      <w:marTop w:val="0"/>
      <w:marBottom w:val="0"/>
      <w:divBdr>
        <w:top w:val="none" w:sz="0" w:space="0" w:color="auto"/>
        <w:left w:val="none" w:sz="0" w:space="0" w:color="auto"/>
        <w:bottom w:val="none" w:sz="0" w:space="0" w:color="auto"/>
        <w:right w:val="none" w:sz="0" w:space="0" w:color="auto"/>
      </w:divBdr>
    </w:div>
    <w:div w:id="1129130925">
      <w:bodyDiv w:val="1"/>
      <w:marLeft w:val="0"/>
      <w:marRight w:val="0"/>
      <w:marTop w:val="0"/>
      <w:marBottom w:val="0"/>
      <w:divBdr>
        <w:top w:val="none" w:sz="0" w:space="0" w:color="auto"/>
        <w:left w:val="none" w:sz="0" w:space="0" w:color="auto"/>
        <w:bottom w:val="none" w:sz="0" w:space="0" w:color="auto"/>
        <w:right w:val="none" w:sz="0" w:space="0" w:color="auto"/>
      </w:divBdr>
    </w:div>
    <w:div w:id="1129783689">
      <w:bodyDiv w:val="1"/>
      <w:marLeft w:val="0"/>
      <w:marRight w:val="0"/>
      <w:marTop w:val="0"/>
      <w:marBottom w:val="0"/>
      <w:divBdr>
        <w:top w:val="none" w:sz="0" w:space="0" w:color="auto"/>
        <w:left w:val="none" w:sz="0" w:space="0" w:color="auto"/>
        <w:bottom w:val="none" w:sz="0" w:space="0" w:color="auto"/>
        <w:right w:val="none" w:sz="0" w:space="0" w:color="auto"/>
      </w:divBdr>
    </w:div>
    <w:div w:id="1148978874">
      <w:bodyDiv w:val="1"/>
      <w:marLeft w:val="0"/>
      <w:marRight w:val="0"/>
      <w:marTop w:val="0"/>
      <w:marBottom w:val="0"/>
      <w:divBdr>
        <w:top w:val="none" w:sz="0" w:space="0" w:color="auto"/>
        <w:left w:val="none" w:sz="0" w:space="0" w:color="auto"/>
        <w:bottom w:val="none" w:sz="0" w:space="0" w:color="auto"/>
        <w:right w:val="none" w:sz="0" w:space="0" w:color="auto"/>
      </w:divBdr>
    </w:div>
    <w:div w:id="1168054137">
      <w:bodyDiv w:val="1"/>
      <w:marLeft w:val="0"/>
      <w:marRight w:val="0"/>
      <w:marTop w:val="0"/>
      <w:marBottom w:val="0"/>
      <w:divBdr>
        <w:top w:val="none" w:sz="0" w:space="0" w:color="auto"/>
        <w:left w:val="none" w:sz="0" w:space="0" w:color="auto"/>
        <w:bottom w:val="none" w:sz="0" w:space="0" w:color="auto"/>
        <w:right w:val="none" w:sz="0" w:space="0" w:color="auto"/>
      </w:divBdr>
    </w:div>
    <w:div w:id="1178155502">
      <w:bodyDiv w:val="1"/>
      <w:marLeft w:val="0"/>
      <w:marRight w:val="0"/>
      <w:marTop w:val="0"/>
      <w:marBottom w:val="0"/>
      <w:divBdr>
        <w:top w:val="none" w:sz="0" w:space="0" w:color="auto"/>
        <w:left w:val="none" w:sz="0" w:space="0" w:color="auto"/>
        <w:bottom w:val="none" w:sz="0" w:space="0" w:color="auto"/>
        <w:right w:val="none" w:sz="0" w:space="0" w:color="auto"/>
      </w:divBdr>
    </w:div>
    <w:div w:id="1192453982">
      <w:bodyDiv w:val="1"/>
      <w:marLeft w:val="0"/>
      <w:marRight w:val="0"/>
      <w:marTop w:val="0"/>
      <w:marBottom w:val="0"/>
      <w:divBdr>
        <w:top w:val="none" w:sz="0" w:space="0" w:color="auto"/>
        <w:left w:val="none" w:sz="0" w:space="0" w:color="auto"/>
        <w:bottom w:val="none" w:sz="0" w:space="0" w:color="auto"/>
        <w:right w:val="none" w:sz="0" w:space="0" w:color="auto"/>
      </w:divBdr>
    </w:div>
    <w:div w:id="1207991463">
      <w:bodyDiv w:val="1"/>
      <w:marLeft w:val="0"/>
      <w:marRight w:val="0"/>
      <w:marTop w:val="0"/>
      <w:marBottom w:val="0"/>
      <w:divBdr>
        <w:top w:val="none" w:sz="0" w:space="0" w:color="auto"/>
        <w:left w:val="none" w:sz="0" w:space="0" w:color="auto"/>
        <w:bottom w:val="none" w:sz="0" w:space="0" w:color="auto"/>
        <w:right w:val="none" w:sz="0" w:space="0" w:color="auto"/>
      </w:divBdr>
    </w:div>
    <w:div w:id="1211377938">
      <w:bodyDiv w:val="1"/>
      <w:marLeft w:val="0"/>
      <w:marRight w:val="0"/>
      <w:marTop w:val="0"/>
      <w:marBottom w:val="0"/>
      <w:divBdr>
        <w:top w:val="none" w:sz="0" w:space="0" w:color="auto"/>
        <w:left w:val="none" w:sz="0" w:space="0" w:color="auto"/>
        <w:bottom w:val="none" w:sz="0" w:space="0" w:color="auto"/>
        <w:right w:val="none" w:sz="0" w:space="0" w:color="auto"/>
      </w:divBdr>
    </w:div>
    <w:div w:id="1220940532">
      <w:bodyDiv w:val="1"/>
      <w:marLeft w:val="0"/>
      <w:marRight w:val="0"/>
      <w:marTop w:val="0"/>
      <w:marBottom w:val="0"/>
      <w:divBdr>
        <w:top w:val="none" w:sz="0" w:space="0" w:color="auto"/>
        <w:left w:val="none" w:sz="0" w:space="0" w:color="auto"/>
        <w:bottom w:val="none" w:sz="0" w:space="0" w:color="auto"/>
        <w:right w:val="none" w:sz="0" w:space="0" w:color="auto"/>
      </w:divBdr>
    </w:div>
    <w:div w:id="1224680884">
      <w:bodyDiv w:val="1"/>
      <w:marLeft w:val="0"/>
      <w:marRight w:val="0"/>
      <w:marTop w:val="0"/>
      <w:marBottom w:val="0"/>
      <w:divBdr>
        <w:top w:val="none" w:sz="0" w:space="0" w:color="auto"/>
        <w:left w:val="none" w:sz="0" w:space="0" w:color="auto"/>
        <w:bottom w:val="none" w:sz="0" w:space="0" w:color="auto"/>
        <w:right w:val="none" w:sz="0" w:space="0" w:color="auto"/>
      </w:divBdr>
    </w:div>
    <w:div w:id="1264801493">
      <w:bodyDiv w:val="1"/>
      <w:marLeft w:val="0"/>
      <w:marRight w:val="0"/>
      <w:marTop w:val="0"/>
      <w:marBottom w:val="0"/>
      <w:divBdr>
        <w:top w:val="none" w:sz="0" w:space="0" w:color="auto"/>
        <w:left w:val="none" w:sz="0" w:space="0" w:color="auto"/>
        <w:bottom w:val="none" w:sz="0" w:space="0" w:color="auto"/>
        <w:right w:val="none" w:sz="0" w:space="0" w:color="auto"/>
      </w:divBdr>
    </w:div>
    <w:div w:id="1276715313">
      <w:bodyDiv w:val="1"/>
      <w:marLeft w:val="0"/>
      <w:marRight w:val="0"/>
      <w:marTop w:val="0"/>
      <w:marBottom w:val="0"/>
      <w:divBdr>
        <w:top w:val="none" w:sz="0" w:space="0" w:color="auto"/>
        <w:left w:val="none" w:sz="0" w:space="0" w:color="auto"/>
        <w:bottom w:val="none" w:sz="0" w:space="0" w:color="auto"/>
        <w:right w:val="none" w:sz="0" w:space="0" w:color="auto"/>
      </w:divBdr>
    </w:div>
    <w:div w:id="1280187733">
      <w:bodyDiv w:val="1"/>
      <w:marLeft w:val="0"/>
      <w:marRight w:val="0"/>
      <w:marTop w:val="0"/>
      <w:marBottom w:val="0"/>
      <w:divBdr>
        <w:top w:val="none" w:sz="0" w:space="0" w:color="auto"/>
        <w:left w:val="none" w:sz="0" w:space="0" w:color="auto"/>
        <w:bottom w:val="none" w:sz="0" w:space="0" w:color="auto"/>
        <w:right w:val="none" w:sz="0" w:space="0" w:color="auto"/>
      </w:divBdr>
    </w:div>
    <w:div w:id="1282375444">
      <w:bodyDiv w:val="1"/>
      <w:marLeft w:val="0"/>
      <w:marRight w:val="0"/>
      <w:marTop w:val="0"/>
      <w:marBottom w:val="0"/>
      <w:divBdr>
        <w:top w:val="none" w:sz="0" w:space="0" w:color="auto"/>
        <w:left w:val="none" w:sz="0" w:space="0" w:color="auto"/>
        <w:bottom w:val="none" w:sz="0" w:space="0" w:color="auto"/>
        <w:right w:val="none" w:sz="0" w:space="0" w:color="auto"/>
      </w:divBdr>
    </w:div>
    <w:div w:id="1287733237">
      <w:bodyDiv w:val="1"/>
      <w:marLeft w:val="0"/>
      <w:marRight w:val="0"/>
      <w:marTop w:val="0"/>
      <w:marBottom w:val="0"/>
      <w:divBdr>
        <w:top w:val="none" w:sz="0" w:space="0" w:color="auto"/>
        <w:left w:val="none" w:sz="0" w:space="0" w:color="auto"/>
        <w:bottom w:val="none" w:sz="0" w:space="0" w:color="auto"/>
        <w:right w:val="none" w:sz="0" w:space="0" w:color="auto"/>
      </w:divBdr>
    </w:div>
    <w:div w:id="1294289660">
      <w:bodyDiv w:val="1"/>
      <w:marLeft w:val="0"/>
      <w:marRight w:val="0"/>
      <w:marTop w:val="0"/>
      <w:marBottom w:val="0"/>
      <w:divBdr>
        <w:top w:val="none" w:sz="0" w:space="0" w:color="auto"/>
        <w:left w:val="none" w:sz="0" w:space="0" w:color="auto"/>
        <w:bottom w:val="none" w:sz="0" w:space="0" w:color="auto"/>
        <w:right w:val="none" w:sz="0" w:space="0" w:color="auto"/>
      </w:divBdr>
    </w:div>
    <w:div w:id="1308049905">
      <w:bodyDiv w:val="1"/>
      <w:marLeft w:val="0"/>
      <w:marRight w:val="0"/>
      <w:marTop w:val="0"/>
      <w:marBottom w:val="0"/>
      <w:divBdr>
        <w:top w:val="none" w:sz="0" w:space="0" w:color="auto"/>
        <w:left w:val="none" w:sz="0" w:space="0" w:color="auto"/>
        <w:bottom w:val="none" w:sz="0" w:space="0" w:color="auto"/>
        <w:right w:val="none" w:sz="0" w:space="0" w:color="auto"/>
      </w:divBdr>
      <w:divsChild>
        <w:div w:id="100030443">
          <w:marLeft w:val="0"/>
          <w:marRight w:val="0"/>
          <w:marTop w:val="0"/>
          <w:marBottom w:val="0"/>
          <w:divBdr>
            <w:top w:val="none" w:sz="0" w:space="0" w:color="auto"/>
            <w:left w:val="none" w:sz="0" w:space="0" w:color="auto"/>
            <w:bottom w:val="none" w:sz="0" w:space="0" w:color="auto"/>
            <w:right w:val="none" w:sz="0" w:space="0" w:color="auto"/>
          </w:divBdr>
        </w:div>
        <w:div w:id="101073379">
          <w:marLeft w:val="0"/>
          <w:marRight w:val="0"/>
          <w:marTop w:val="0"/>
          <w:marBottom w:val="0"/>
          <w:divBdr>
            <w:top w:val="none" w:sz="0" w:space="0" w:color="auto"/>
            <w:left w:val="none" w:sz="0" w:space="0" w:color="auto"/>
            <w:bottom w:val="none" w:sz="0" w:space="0" w:color="auto"/>
            <w:right w:val="none" w:sz="0" w:space="0" w:color="auto"/>
          </w:divBdr>
        </w:div>
        <w:div w:id="1592157278">
          <w:marLeft w:val="0"/>
          <w:marRight w:val="0"/>
          <w:marTop w:val="0"/>
          <w:marBottom w:val="0"/>
          <w:divBdr>
            <w:top w:val="none" w:sz="0" w:space="0" w:color="auto"/>
            <w:left w:val="none" w:sz="0" w:space="0" w:color="auto"/>
            <w:bottom w:val="none" w:sz="0" w:space="0" w:color="auto"/>
            <w:right w:val="none" w:sz="0" w:space="0" w:color="auto"/>
          </w:divBdr>
        </w:div>
      </w:divsChild>
    </w:div>
    <w:div w:id="1324167721">
      <w:bodyDiv w:val="1"/>
      <w:marLeft w:val="0"/>
      <w:marRight w:val="0"/>
      <w:marTop w:val="0"/>
      <w:marBottom w:val="0"/>
      <w:divBdr>
        <w:top w:val="none" w:sz="0" w:space="0" w:color="auto"/>
        <w:left w:val="none" w:sz="0" w:space="0" w:color="auto"/>
        <w:bottom w:val="none" w:sz="0" w:space="0" w:color="auto"/>
        <w:right w:val="none" w:sz="0" w:space="0" w:color="auto"/>
      </w:divBdr>
    </w:div>
    <w:div w:id="1344167983">
      <w:bodyDiv w:val="1"/>
      <w:marLeft w:val="0"/>
      <w:marRight w:val="0"/>
      <w:marTop w:val="0"/>
      <w:marBottom w:val="0"/>
      <w:divBdr>
        <w:top w:val="none" w:sz="0" w:space="0" w:color="auto"/>
        <w:left w:val="none" w:sz="0" w:space="0" w:color="auto"/>
        <w:bottom w:val="none" w:sz="0" w:space="0" w:color="auto"/>
        <w:right w:val="none" w:sz="0" w:space="0" w:color="auto"/>
      </w:divBdr>
    </w:div>
    <w:div w:id="1348600453">
      <w:bodyDiv w:val="1"/>
      <w:marLeft w:val="0"/>
      <w:marRight w:val="0"/>
      <w:marTop w:val="0"/>
      <w:marBottom w:val="0"/>
      <w:divBdr>
        <w:top w:val="none" w:sz="0" w:space="0" w:color="auto"/>
        <w:left w:val="none" w:sz="0" w:space="0" w:color="auto"/>
        <w:bottom w:val="none" w:sz="0" w:space="0" w:color="auto"/>
        <w:right w:val="none" w:sz="0" w:space="0" w:color="auto"/>
      </w:divBdr>
    </w:div>
    <w:div w:id="1363634100">
      <w:bodyDiv w:val="1"/>
      <w:marLeft w:val="0"/>
      <w:marRight w:val="0"/>
      <w:marTop w:val="0"/>
      <w:marBottom w:val="0"/>
      <w:divBdr>
        <w:top w:val="none" w:sz="0" w:space="0" w:color="auto"/>
        <w:left w:val="none" w:sz="0" w:space="0" w:color="auto"/>
        <w:bottom w:val="none" w:sz="0" w:space="0" w:color="auto"/>
        <w:right w:val="none" w:sz="0" w:space="0" w:color="auto"/>
      </w:divBdr>
    </w:div>
    <w:div w:id="1371564655">
      <w:bodyDiv w:val="1"/>
      <w:marLeft w:val="0"/>
      <w:marRight w:val="0"/>
      <w:marTop w:val="0"/>
      <w:marBottom w:val="0"/>
      <w:divBdr>
        <w:top w:val="none" w:sz="0" w:space="0" w:color="auto"/>
        <w:left w:val="none" w:sz="0" w:space="0" w:color="auto"/>
        <w:bottom w:val="none" w:sz="0" w:space="0" w:color="auto"/>
        <w:right w:val="none" w:sz="0" w:space="0" w:color="auto"/>
      </w:divBdr>
    </w:div>
    <w:div w:id="1385786837">
      <w:bodyDiv w:val="1"/>
      <w:marLeft w:val="0"/>
      <w:marRight w:val="0"/>
      <w:marTop w:val="0"/>
      <w:marBottom w:val="0"/>
      <w:divBdr>
        <w:top w:val="none" w:sz="0" w:space="0" w:color="auto"/>
        <w:left w:val="none" w:sz="0" w:space="0" w:color="auto"/>
        <w:bottom w:val="none" w:sz="0" w:space="0" w:color="auto"/>
        <w:right w:val="none" w:sz="0" w:space="0" w:color="auto"/>
      </w:divBdr>
    </w:div>
    <w:div w:id="1408382493">
      <w:bodyDiv w:val="1"/>
      <w:marLeft w:val="0"/>
      <w:marRight w:val="0"/>
      <w:marTop w:val="0"/>
      <w:marBottom w:val="0"/>
      <w:divBdr>
        <w:top w:val="none" w:sz="0" w:space="0" w:color="auto"/>
        <w:left w:val="none" w:sz="0" w:space="0" w:color="auto"/>
        <w:bottom w:val="none" w:sz="0" w:space="0" w:color="auto"/>
        <w:right w:val="none" w:sz="0" w:space="0" w:color="auto"/>
      </w:divBdr>
    </w:div>
    <w:div w:id="1409578935">
      <w:bodyDiv w:val="1"/>
      <w:marLeft w:val="0"/>
      <w:marRight w:val="0"/>
      <w:marTop w:val="0"/>
      <w:marBottom w:val="0"/>
      <w:divBdr>
        <w:top w:val="none" w:sz="0" w:space="0" w:color="auto"/>
        <w:left w:val="none" w:sz="0" w:space="0" w:color="auto"/>
        <w:bottom w:val="none" w:sz="0" w:space="0" w:color="auto"/>
        <w:right w:val="none" w:sz="0" w:space="0" w:color="auto"/>
      </w:divBdr>
    </w:div>
    <w:div w:id="1419863027">
      <w:bodyDiv w:val="1"/>
      <w:marLeft w:val="0"/>
      <w:marRight w:val="0"/>
      <w:marTop w:val="0"/>
      <w:marBottom w:val="0"/>
      <w:divBdr>
        <w:top w:val="none" w:sz="0" w:space="0" w:color="auto"/>
        <w:left w:val="none" w:sz="0" w:space="0" w:color="auto"/>
        <w:bottom w:val="none" w:sz="0" w:space="0" w:color="auto"/>
        <w:right w:val="none" w:sz="0" w:space="0" w:color="auto"/>
      </w:divBdr>
    </w:div>
    <w:div w:id="1445463653">
      <w:bodyDiv w:val="1"/>
      <w:marLeft w:val="0"/>
      <w:marRight w:val="0"/>
      <w:marTop w:val="0"/>
      <w:marBottom w:val="0"/>
      <w:divBdr>
        <w:top w:val="none" w:sz="0" w:space="0" w:color="auto"/>
        <w:left w:val="none" w:sz="0" w:space="0" w:color="auto"/>
        <w:bottom w:val="none" w:sz="0" w:space="0" w:color="auto"/>
        <w:right w:val="none" w:sz="0" w:space="0" w:color="auto"/>
      </w:divBdr>
    </w:div>
    <w:div w:id="1459760832">
      <w:bodyDiv w:val="1"/>
      <w:marLeft w:val="0"/>
      <w:marRight w:val="0"/>
      <w:marTop w:val="0"/>
      <w:marBottom w:val="0"/>
      <w:divBdr>
        <w:top w:val="none" w:sz="0" w:space="0" w:color="auto"/>
        <w:left w:val="none" w:sz="0" w:space="0" w:color="auto"/>
        <w:bottom w:val="none" w:sz="0" w:space="0" w:color="auto"/>
        <w:right w:val="none" w:sz="0" w:space="0" w:color="auto"/>
      </w:divBdr>
    </w:div>
    <w:div w:id="1466973920">
      <w:bodyDiv w:val="1"/>
      <w:marLeft w:val="0"/>
      <w:marRight w:val="0"/>
      <w:marTop w:val="0"/>
      <w:marBottom w:val="0"/>
      <w:divBdr>
        <w:top w:val="none" w:sz="0" w:space="0" w:color="auto"/>
        <w:left w:val="none" w:sz="0" w:space="0" w:color="auto"/>
        <w:bottom w:val="none" w:sz="0" w:space="0" w:color="auto"/>
        <w:right w:val="none" w:sz="0" w:space="0" w:color="auto"/>
      </w:divBdr>
    </w:div>
    <w:div w:id="1489594596">
      <w:bodyDiv w:val="1"/>
      <w:marLeft w:val="0"/>
      <w:marRight w:val="0"/>
      <w:marTop w:val="0"/>
      <w:marBottom w:val="0"/>
      <w:divBdr>
        <w:top w:val="none" w:sz="0" w:space="0" w:color="auto"/>
        <w:left w:val="none" w:sz="0" w:space="0" w:color="auto"/>
        <w:bottom w:val="none" w:sz="0" w:space="0" w:color="auto"/>
        <w:right w:val="none" w:sz="0" w:space="0" w:color="auto"/>
      </w:divBdr>
    </w:div>
    <w:div w:id="1519805671">
      <w:bodyDiv w:val="1"/>
      <w:marLeft w:val="0"/>
      <w:marRight w:val="0"/>
      <w:marTop w:val="0"/>
      <w:marBottom w:val="0"/>
      <w:divBdr>
        <w:top w:val="none" w:sz="0" w:space="0" w:color="auto"/>
        <w:left w:val="none" w:sz="0" w:space="0" w:color="auto"/>
        <w:bottom w:val="none" w:sz="0" w:space="0" w:color="auto"/>
        <w:right w:val="none" w:sz="0" w:space="0" w:color="auto"/>
      </w:divBdr>
    </w:div>
    <w:div w:id="1538275978">
      <w:bodyDiv w:val="1"/>
      <w:marLeft w:val="0"/>
      <w:marRight w:val="0"/>
      <w:marTop w:val="0"/>
      <w:marBottom w:val="0"/>
      <w:divBdr>
        <w:top w:val="none" w:sz="0" w:space="0" w:color="auto"/>
        <w:left w:val="none" w:sz="0" w:space="0" w:color="auto"/>
        <w:bottom w:val="none" w:sz="0" w:space="0" w:color="auto"/>
        <w:right w:val="none" w:sz="0" w:space="0" w:color="auto"/>
      </w:divBdr>
    </w:div>
    <w:div w:id="1539469720">
      <w:bodyDiv w:val="1"/>
      <w:marLeft w:val="0"/>
      <w:marRight w:val="0"/>
      <w:marTop w:val="0"/>
      <w:marBottom w:val="0"/>
      <w:divBdr>
        <w:top w:val="none" w:sz="0" w:space="0" w:color="auto"/>
        <w:left w:val="none" w:sz="0" w:space="0" w:color="auto"/>
        <w:bottom w:val="none" w:sz="0" w:space="0" w:color="auto"/>
        <w:right w:val="none" w:sz="0" w:space="0" w:color="auto"/>
      </w:divBdr>
    </w:div>
    <w:div w:id="1546024155">
      <w:bodyDiv w:val="1"/>
      <w:marLeft w:val="0"/>
      <w:marRight w:val="0"/>
      <w:marTop w:val="0"/>
      <w:marBottom w:val="0"/>
      <w:divBdr>
        <w:top w:val="none" w:sz="0" w:space="0" w:color="auto"/>
        <w:left w:val="none" w:sz="0" w:space="0" w:color="auto"/>
        <w:bottom w:val="none" w:sz="0" w:space="0" w:color="auto"/>
        <w:right w:val="none" w:sz="0" w:space="0" w:color="auto"/>
      </w:divBdr>
    </w:div>
    <w:div w:id="1609312141">
      <w:bodyDiv w:val="1"/>
      <w:marLeft w:val="0"/>
      <w:marRight w:val="0"/>
      <w:marTop w:val="0"/>
      <w:marBottom w:val="0"/>
      <w:divBdr>
        <w:top w:val="none" w:sz="0" w:space="0" w:color="auto"/>
        <w:left w:val="none" w:sz="0" w:space="0" w:color="auto"/>
        <w:bottom w:val="none" w:sz="0" w:space="0" w:color="auto"/>
        <w:right w:val="none" w:sz="0" w:space="0" w:color="auto"/>
      </w:divBdr>
    </w:div>
    <w:div w:id="1622571591">
      <w:bodyDiv w:val="1"/>
      <w:marLeft w:val="0"/>
      <w:marRight w:val="0"/>
      <w:marTop w:val="0"/>
      <w:marBottom w:val="0"/>
      <w:divBdr>
        <w:top w:val="none" w:sz="0" w:space="0" w:color="auto"/>
        <w:left w:val="none" w:sz="0" w:space="0" w:color="auto"/>
        <w:bottom w:val="none" w:sz="0" w:space="0" w:color="auto"/>
        <w:right w:val="none" w:sz="0" w:space="0" w:color="auto"/>
      </w:divBdr>
    </w:div>
    <w:div w:id="1637175255">
      <w:bodyDiv w:val="1"/>
      <w:marLeft w:val="0"/>
      <w:marRight w:val="0"/>
      <w:marTop w:val="0"/>
      <w:marBottom w:val="0"/>
      <w:divBdr>
        <w:top w:val="none" w:sz="0" w:space="0" w:color="auto"/>
        <w:left w:val="none" w:sz="0" w:space="0" w:color="auto"/>
        <w:bottom w:val="none" w:sz="0" w:space="0" w:color="auto"/>
        <w:right w:val="none" w:sz="0" w:space="0" w:color="auto"/>
      </w:divBdr>
    </w:div>
    <w:div w:id="1670252452">
      <w:bodyDiv w:val="1"/>
      <w:marLeft w:val="0"/>
      <w:marRight w:val="0"/>
      <w:marTop w:val="0"/>
      <w:marBottom w:val="0"/>
      <w:divBdr>
        <w:top w:val="none" w:sz="0" w:space="0" w:color="auto"/>
        <w:left w:val="none" w:sz="0" w:space="0" w:color="auto"/>
        <w:bottom w:val="none" w:sz="0" w:space="0" w:color="auto"/>
        <w:right w:val="none" w:sz="0" w:space="0" w:color="auto"/>
      </w:divBdr>
    </w:div>
    <w:div w:id="1686712401">
      <w:bodyDiv w:val="1"/>
      <w:marLeft w:val="0"/>
      <w:marRight w:val="0"/>
      <w:marTop w:val="0"/>
      <w:marBottom w:val="0"/>
      <w:divBdr>
        <w:top w:val="none" w:sz="0" w:space="0" w:color="auto"/>
        <w:left w:val="none" w:sz="0" w:space="0" w:color="auto"/>
        <w:bottom w:val="none" w:sz="0" w:space="0" w:color="auto"/>
        <w:right w:val="none" w:sz="0" w:space="0" w:color="auto"/>
      </w:divBdr>
    </w:div>
    <w:div w:id="1700470523">
      <w:bodyDiv w:val="1"/>
      <w:marLeft w:val="0"/>
      <w:marRight w:val="0"/>
      <w:marTop w:val="0"/>
      <w:marBottom w:val="0"/>
      <w:divBdr>
        <w:top w:val="none" w:sz="0" w:space="0" w:color="auto"/>
        <w:left w:val="none" w:sz="0" w:space="0" w:color="auto"/>
        <w:bottom w:val="none" w:sz="0" w:space="0" w:color="auto"/>
        <w:right w:val="none" w:sz="0" w:space="0" w:color="auto"/>
      </w:divBdr>
    </w:div>
    <w:div w:id="1710298945">
      <w:bodyDiv w:val="1"/>
      <w:marLeft w:val="0"/>
      <w:marRight w:val="0"/>
      <w:marTop w:val="0"/>
      <w:marBottom w:val="0"/>
      <w:divBdr>
        <w:top w:val="none" w:sz="0" w:space="0" w:color="auto"/>
        <w:left w:val="none" w:sz="0" w:space="0" w:color="auto"/>
        <w:bottom w:val="none" w:sz="0" w:space="0" w:color="auto"/>
        <w:right w:val="none" w:sz="0" w:space="0" w:color="auto"/>
      </w:divBdr>
    </w:div>
    <w:div w:id="1720661500">
      <w:bodyDiv w:val="1"/>
      <w:marLeft w:val="0"/>
      <w:marRight w:val="0"/>
      <w:marTop w:val="0"/>
      <w:marBottom w:val="0"/>
      <w:divBdr>
        <w:top w:val="none" w:sz="0" w:space="0" w:color="auto"/>
        <w:left w:val="none" w:sz="0" w:space="0" w:color="auto"/>
        <w:bottom w:val="none" w:sz="0" w:space="0" w:color="auto"/>
        <w:right w:val="none" w:sz="0" w:space="0" w:color="auto"/>
      </w:divBdr>
    </w:div>
    <w:div w:id="1737430074">
      <w:bodyDiv w:val="1"/>
      <w:marLeft w:val="0"/>
      <w:marRight w:val="0"/>
      <w:marTop w:val="0"/>
      <w:marBottom w:val="0"/>
      <w:divBdr>
        <w:top w:val="none" w:sz="0" w:space="0" w:color="auto"/>
        <w:left w:val="none" w:sz="0" w:space="0" w:color="auto"/>
        <w:bottom w:val="none" w:sz="0" w:space="0" w:color="auto"/>
        <w:right w:val="none" w:sz="0" w:space="0" w:color="auto"/>
      </w:divBdr>
    </w:div>
    <w:div w:id="1749811872">
      <w:bodyDiv w:val="1"/>
      <w:marLeft w:val="0"/>
      <w:marRight w:val="0"/>
      <w:marTop w:val="0"/>
      <w:marBottom w:val="0"/>
      <w:divBdr>
        <w:top w:val="none" w:sz="0" w:space="0" w:color="auto"/>
        <w:left w:val="none" w:sz="0" w:space="0" w:color="auto"/>
        <w:bottom w:val="none" w:sz="0" w:space="0" w:color="auto"/>
        <w:right w:val="none" w:sz="0" w:space="0" w:color="auto"/>
      </w:divBdr>
    </w:div>
    <w:div w:id="1753118475">
      <w:bodyDiv w:val="1"/>
      <w:marLeft w:val="0"/>
      <w:marRight w:val="0"/>
      <w:marTop w:val="0"/>
      <w:marBottom w:val="0"/>
      <w:divBdr>
        <w:top w:val="none" w:sz="0" w:space="0" w:color="auto"/>
        <w:left w:val="none" w:sz="0" w:space="0" w:color="auto"/>
        <w:bottom w:val="none" w:sz="0" w:space="0" w:color="auto"/>
        <w:right w:val="none" w:sz="0" w:space="0" w:color="auto"/>
      </w:divBdr>
    </w:div>
    <w:div w:id="1753356864">
      <w:bodyDiv w:val="1"/>
      <w:marLeft w:val="0"/>
      <w:marRight w:val="0"/>
      <w:marTop w:val="0"/>
      <w:marBottom w:val="0"/>
      <w:divBdr>
        <w:top w:val="none" w:sz="0" w:space="0" w:color="auto"/>
        <w:left w:val="none" w:sz="0" w:space="0" w:color="auto"/>
        <w:bottom w:val="none" w:sz="0" w:space="0" w:color="auto"/>
        <w:right w:val="none" w:sz="0" w:space="0" w:color="auto"/>
      </w:divBdr>
      <w:divsChild>
        <w:div w:id="531235546">
          <w:marLeft w:val="547"/>
          <w:marRight w:val="0"/>
          <w:marTop w:val="0"/>
          <w:marBottom w:val="0"/>
          <w:divBdr>
            <w:top w:val="none" w:sz="0" w:space="0" w:color="auto"/>
            <w:left w:val="none" w:sz="0" w:space="0" w:color="auto"/>
            <w:bottom w:val="none" w:sz="0" w:space="0" w:color="auto"/>
            <w:right w:val="none" w:sz="0" w:space="0" w:color="auto"/>
          </w:divBdr>
        </w:div>
      </w:divsChild>
    </w:div>
    <w:div w:id="1762290707">
      <w:bodyDiv w:val="1"/>
      <w:marLeft w:val="0"/>
      <w:marRight w:val="0"/>
      <w:marTop w:val="0"/>
      <w:marBottom w:val="0"/>
      <w:divBdr>
        <w:top w:val="none" w:sz="0" w:space="0" w:color="auto"/>
        <w:left w:val="none" w:sz="0" w:space="0" w:color="auto"/>
        <w:bottom w:val="none" w:sz="0" w:space="0" w:color="auto"/>
        <w:right w:val="none" w:sz="0" w:space="0" w:color="auto"/>
      </w:divBdr>
    </w:div>
    <w:div w:id="1768111048">
      <w:bodyDiv w:val="1"/>
      <w:marLeft w:val="0"/>
      <w:marRight w:val="0"/>
      <w:marTop w:val="0"/>
      <w:marBottom w:val="0"/>
      <w:divBdr>
        <w:top w:val="none" w:sz="0" w:space="0" w:color="auto"/>
        <w:left w:val="none" w:sz="0" w:space="0" w:color="auto"/>
        <w:bottom w:val="none" w:sz="0" w:space="0" w:color="auto"/>
        <w:right w:val="none" w:sz="0" w:space="0" w:color="auto"/>
      </w:divBdr>
    </w:div>
    <w:div w:id="1769305507">
      <w:bodyDiv w:val="1"/>
      <w:marLeft w:val="0"/>
      <w:marRight w:val="0"/>
      <w:marTop w:val="0"/>
      <w:marBottom w:val="0"/>
      <w:divBdr>
        <w:top w:val="none" w:sz="0" w:space="0" w:color="auto"/>
        <w:left w:val="none" w:sz="0" w:space="0" w:color="auto"/>
        <w:bottom w:val="none" w:sz="0" w:space="0" w:color="auto"/>
        <w:right w:val="none" w:sz="0" w:space="0" w:color="auto"/>
      </w:divBdr>
    </w:div>
    <w:div w:id="1779399758">
      <w:bodyDiv w:val="1"/>
      <w:marLeft w:val="0"/>
      <w:marRight w:val="0"/>
      <w:marTop w:val="0"/>
      <w:marBottom w:val="0"/>
      <w:divBdr>
        <w:top w:val="none" w:sz="0" w:space="0" w:color="auto"/>
        <w:left w:val="none" w:sz="0" w:space="0" w:color="auto"/>
        <w:bottom w:val="none" w:sz="0" w:space="0" w:color="auto"/>
        <w:right w:val="none" w:sz="0" w:space="0" w:color="auto"/>
      </w:divBdr>
    </w:div>
    <w:div w:id="1786805322">
      <w:bodyDiv w:val="1"/>
      <w:marLeft w:val="0"/>
      <w:marRight w:val="0"/>
      <w:marTop w:val="0"/>
      <w:marBottom w:val="0"/>
      <w:divBdr>
        <w:top w:val="none" w:sz="0" w:space="0" w:color="auto"/>
        <w:left w:val="none" w:sz="0" w:space="0" w:color="auto"/>
        <w:bottom w:val="none" w:sz="0" w:space="0" w:color="auto"/>
        <w:right w:val="none" w:sz="0" w:space="0" w:color="auto"/>
      </w:divBdr>
    </w:div>
    <w:div w:id="1789859854">
      <w:bodyDiv w:val="1"/>
      <w:marLeft w:val="0"/>
      <w:marRight w:val="0"/>
      <w:marTop w:val="0"/>
      <w:marBottom w:val="0"/>
      <w:divBdr>
        <w:top w:val="none" w:sz="0" w:space="0" w:color="auto"/>
        <w:left w:val="none" w:sz="0" w:space="0" w:color="auto"/>
        <w:bottom w:val="none" w:sz="0" w:space="0" w:color="auto"/>
        <w:right w:val="none" w:sz="0" w:space="0" w:color="auto"/>
      </w:divBdr>
    </w:div>
    <w:div w:id="1823496494">
      <w:bodyDiv w:val="1"/>
      <w:marLeft w:val="0"/>
      <w:marRight w:val="0"/>
      <w:marTop w:val="0"/>
      <w:marBottom w:val="0"/>
      <w:divBdr>
        <w:top w:val="none" w:sz="0" w:space="0" w:color="auto"/>
        <w:left w:val="none" w:sz="0" w:space="0" w:color="auto"/>
        <w:bottom w:val="none" w:sz="0" w:space="0" w:color="auto"/>
        <w:right w:val="none" w:sz="0" w:space="0" w:color="auto"/>
      </w:divBdr>
    </w:div>
    <w:div w:id="1827356877">
      <w:bodyDiv w:val="1"/>
      <w:marLeft w:val="0"/>
      <w:marRight w:val="0"/>
      <w:marTop w:val="0"/>
      <w:marBottom w:val="0"/>
      <w:divBdr>
        <w:top w:val="none" w:sz="0" w:space="0" w:color="auto"/>
        <w:left w:val="none" w:sz="0" w:space="0" w:color="auto"/>
        <w:bottom w:val="none" w:sz="0" w:space="0" w:color="auto"/>
        <w:right w:val="none" w:sz="0" w:space="0" w:color="auto"/>
      </w:divBdr>
    </w:div>
    <w:div w:id="1849633514">
      <w:bodyDiv w:val="1"/>
      <w:marLeft w:val="0"/>
      <w:marRight w:val="0"/>
      <w:marTop w:val="0"/>
      <w:marBottom w:val="0"/>
      <w:divBdr>
        <w:top w:val="none" w:sz="0" w:space="0" w:color="auto"/>
        <w:left w:val="none" w:sz="0" w:space="0" w:color="auto"/>
        <w:bottom w:val="none" w:sz="0" w:space="0" w:color="auto"/>
        <w:right w:val="none" w:sz="0" w:space="0" w:color="auto"/>
      </w:divBdr>
    </w:div>
    <w:div w:id="1873225243">
      <w:bodyDiv w:val="1"/>
      <w:marLeft w:val="0"/>
      <w:marRight w:val="0"/>
      <w:marTop w:val="0"/>
      <w:marBottom w:val="0"/>
      <w:divBdr>
        <w:top w:val="none" w:sz="0" w:space="0" w:color="auto"/>
        <w:left w:val="none" w:sz="0" w:space="0" w:color="auto"/>
        <w:bottom w:val="none" w:sz="0" w:space="0" w:color="auto"/>
        <w:right w:val="none" w:sz="0" w:space="0" w:color="auto"/>
      </w:divBdr>
    </w:div>
    <w:div w:id="1898585877">
      <w:bodyDiv w:val="1"/>
      <w:marLeft w:val="0"/>
      <w:marRight w:val="0"/>
      <w:marTop w:val="0"/>
      <w:marBottom w:val="0"/>
      <w:divBdr>
        <w:top w:val="none" w:sz="0" w:space="0" w:color="auto"/>
        <w:left w:val="none" w:sz="0" w:space="0" w:color="auto"/>
        <w:bottom w:val="none" w:sz="0" w:space="0" w:color="auto"/>
        <w:right w:val="none" w:sz="0" w:space="0" w:color="auto"/>
      </w:divBdr>
    </w:div>
    <w:div w:id="1909420447">
      <w:bodyDiv w:val="1"/>
      <w:marLeft w:val="0"/>
      <w:marRight w:val="0"/>
      <w:marTop w:val="0"/>
      <w:marBottom w:val="0"/>
      <w:divBdr>
        <w:top w:val="none" w:sz="0" w:space="0" w:color="auto"/>
        <w:left w:val="none" w:sz="0" w:space="0" w:color="auto"/>
        <w:bottom w:val="none" w:sz="0" w:space="0" w:color="auto"/>
        <w:right w:val="none" w:sz="0" w:space="0" w:color="auto"/>
      </w:divBdr>
    </w:div>
    <w:div w:id="1911228758">
      <w:bodyDiv w:val="1"/>
      <w:marLeft w:val="0"/>
      <w:marRight w:val="0"/>
      <w:marTop w:val="0"/>
      <w:marBottom w:val="0"/>
      <w:divBdr>
        <w:top w:val="none" w:sz="0" w:space="0" w:color="auto"/>
        <w:left w:val="none" w:sz="0" w:space="0" w:color="auto"/>
        <w:bottom w:val="none" w:sz="0" w:space="0" w:color="auto"/>
        <w:right w:val="none" w:sz="0" w:space="0" w:color="auto"/>
      </w:divBdr>
    </w:div>
    <w:div w:id="1930000276">
      <w:bodyDiv w:val="1"/>
      <w:marLeft w:val="0"/>
      <w:marRight w:val="0"/>
      <w:marTop w:val="0"/>
      <w:marBottom w:val="0"/>
      <w:divBdr>
        <w:top w:val="none" w:sz="0" w:space="0" w:color="auto"/>
        <w:left w:val="none" w:sz="0" w:space="0" w:color="auto"/>
        <w:bottom w:val="none" w:sz="0" w:space="0" w:color="auto"/>
        <w:right w:val="none" w:sz="0" w:space="0" w:color="auto"/>
      </w:divBdr>
    </w:div>
    <w:div w:id="1944607134">
      <w:bodyDiv w:val="1"/>
      <w:marLeft w:val="0"/>
      <w:marRight w:val="0"/>
      <w:marTop w:val="0"/>
      <w:marBottom w:val="0"/>
      <w:divBdr>
        <w:top w:val="none" w:sz="0" w:space="0" w:color="auto"/>
        <w:left w:val="none" w:sz="0" w:space="0" w:color="auto"/>
        <w:bottom w:val="none" w:sz="0" w:space="0" w:color="auto"/>
        <w:right w:val="none" w:sz="0" w:space="0" w:color="auto"/>
      </w:divBdr>
    </w:div>
    <w:div w:id="1950964754">
      <w:bodyDiv w:val="1"/>
      <w:marLeft w:val="0"/>
      <w:marRight w:val="0"/>
      <w:marTop w:val="0"/>
      <w:marBottom w:val="0"/>
      <w:divBdr>
        <w:top w:val="none" w:sz="0" w:space="0" w:color="auto"/>
        <w:left w:val="none" w:sz="0" w:space="0" w:color="auto"/>
        <w:bottom w:val="none" w:sz="0" w:space="0" w:color="auto"/>
        <w:right w:val="none" w:sz="0" w:space="0" w:color="auto"/>
      </w:divBdr>
    </w:div>
    <w:div w:id="1984895089">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6954240">
      <w:bodyDiv w:val="1"/>
      <w:marLeft w:val="0"/>
      <w:marRight w:val="0"/>
      <w:marTop w:val="0"/>
      <w:marBottom w:val="0"/>
      <w:divBdr>
        <w:top w:val="none" w:sz="0" w:space="0" w:color="auto"/>
        <w:left w:val="none" w:sz="0" w:space="0" w:color="auto"/>
        <w:bottom w:val="none" w:sz="0" w:space="0" w:color="auto"/>
        <w:right w:val="none" w:sz="0" w:space="0" w:color="auto"/>
      </w:divBdr>
    </w:div>
    <w:div w:id="2028166275">
      <w:bodyDiv w:val="1"/>
      <w:marLeft w:val="0"/>
      <w:marRight w:val="0"/>
      <w:marTop w:val="0"/>
      <w:marBottom w:val="0"/>
      <w:divBdr>
        <w:top w:val="none" w:sz="0" w:space="0" w:color="auto"/>
        <w:left w:val="none" w:sz="0" w:space="0" w:color="auto"/>
        <w:bottom w:val="none" w:sz="0" w:space="0" w:color="auto"/>
        <w:right w:val="none" w:sz="0" w:space="0" w:color="auto"/>
      </w:divBdr>
    </w:div>
    <w:div w:id="2048531769">
      <w:bodyDiv w:val="1"/>
      <w:marLeft w:val="0"/>
      <w:marRight w:val="0"/>
      <w:marTop w:val="0"/>
      <w:marBottom w:val="0"/>
      <w:divBdr>
        <w:top w:val="none" w:sz="0" w:space="0" w:color="auto"/>
        <w:left w:val="none" w:sz="0" w:space="0" w:color="auto"/>
        <w:bottom w:val="none" w:sz="0" w:space="0" w:color="auto"/>
        <w:right w:val="none" w:sz="0" w:space="0" w:color="auto"/>
      </w:divBdr>
    </w:div>
    <w:div w:id="2056855477">
      <w:bodyDiv w:val="1"/>
      <w:marLeft w:val="0"/>
      <w:marRight w:val="0"/>
      <w:marTop w:val="0"/>
      <w:marBottom w:val="0"/>
      <w:divBdr>
        <w:top w:val="none" w:sz="0" w:space="0" w:color="auto"/>
        <w:left w:val="none" w:sz="0" w:space="0" w:color="auto"/>
        <w:bottom w:val="none" w:sz="0" w:space="0" w:color="auto"/>
        <w:right w:val="none" w:sz="0" w:space="0" w:color="auto"/>
      </w:divBdr>
    </w:div>
    <w:div w:id="2068726471">
      <w:bodyDiv w:val="1"/>
      <w:marLeft w:val="0"/>
      <w:marRight w:val="0"/>
      <w:marTop w:val="0"/>
      <w:marBottom w:val="0"/>
      <w:divBdr>
        <w:top w:val="none" w:sz="0" w:space="0" w:color="auto"/>
        <w:left w:val="none" w:sz="0" w:space="0" w:color="auto"/>
        <w:bottom w:val="none" w:sz="0" w:space="0" w:color="auto"/>
        <w:right w:val="none" w:sz="0" w:space="0" w:color="auto"/>
      </w:divBdr>
    </w:div>
    <w:div w:id="2093619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png"/><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image" Target="media/image11.png"/><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32" Type="http://schemas.openxmlformats.org/officeDocument/2006/relationships/image" Target="media/image10.emf"/><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6.png"/><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documents-register/detail?ref=COM(2025)428&amp;lang=et" TargetMode="External"/><Relationship Id="rId13" Type="http://schemas.openxmlformats.org/officeDocument/2006/relationships/hyperlink" Target="https://eur-lex.europa.eu/legal-content/ET/TXT/PDF/?uri=CELEX:52025DC0430" TargetMode="External"/><Relationship Id="rId18" Type="http://schemas.openxmlformats.org/officeDocument/2006/relationships/hyperlink" Target="https://ec.europa.eu/transparency/documents-register/detail?ref=COM(2022)730&amp;lang=et" TargetMode="External"/><Relationship Id="rId26" Type="http://schemas.openxmlformats.org/officeDocument/2006/relationships/hyperlink" Target="https://een.ec.europa.eu/success-stories" TargetMode="External"/><Relationship Id="rId39" Type="http://schemas.openxmlformats.org/officeDocument/2006/relationships/hyperlink" Target="https://trade.ec.europa.eu/access-to-markets/en/form-assets/operational_guidelines.pdf" TargetMode="External"/><Relationship Id="rId3" Type="http://schemas.openxmlformats.org/officeDocument/2006/relationships/hyperlink" Target="https://ec.europa.eu/commission/presscorner/detail/et/ip_23_5378" TargetMode="External"/><Relationship Id="rId21" Type="http://schemas.openxmlformats.org/officeDocument/2006/relationships/hyperlink" Target="https://www.international.gc.ca/trade-commerce/trade-agreements-accords-commerciaux/agr-acc/ceta-aecg/CETA_work_plan-AECG_plan_travail-2020-2021.aspx?lang=eng" TargetMode="External"/><Relationship Id="rId34" Type="http://schemas.openxmlformats.org/officeDocument/2006/relationships/hyperlink" Target="https://docs.wto.org/dol2fe/Pages/SS/directdoc.aspx?filename=q:/INF/MSME/W46R1.pdf&amp;Open=True" TargetMode="External"/><Relationship Id="rId7" Type="http://schemas.openxmlformats.org/officeDocument/2006/relationships/hyperlink" Target="https://policy.trade.ec.europa.eu/enforcement-and-protection/implementing-and-enforcing-eu-trade-agreements_en" TargetMode="External"/><Relationship Id="rId12" Type="http://schemas.openxmlformats.org/officeDocument/2006/relationships/hyperlink" Target="https://ec.europa.eu/transparency/documents-register/detail?ref=JOIN(2023)34&amp;lang=et" TargetMode="External"/><Relationship Id="rId17" Type="http://schemas.openxmlformats.org/officeDocument/2006/relationships/hyperlink" Target="https://eur-lex.europa.eu/legal-content/ET/TXT/?uri=celex%3A21999A0204%2801%29" TargetMode="External"/><Relationship Id="rId25" Type="http://schemas.openxmlformats.org/officeDocument/2006/relationships/hyperlink" Target="https://www.youtube.com/playlist?list=PLq0qsbVGoO6EO_q6ho_ip0x9IgDTRRAJd" TargetMode="External"/><Relationship Id="rId33" Type="http://schemas.openxmlformats.org/officeDocument/2006/relationships/hyperlink" Target="https://globaltradehelpdesk.org/en" TargetMode="External"/><Relationship Id="rId38" Type="http://schemas.openxmlformats.org/officeDocument/2006/relationships/hyperlink" Target="http://data.europa.eu/eli/reg/2021/167/oj" TargetMode="External"/><Relationship Id="rId2" Type="http://schemas.openxmlformats.org/officeDocument/2006/relationships/hyperlink" Target="https://circabc.europa.eu/ui/group/09242a36-a438-40fd-a7af-fe32e36cbd0e/library/9af74247-45cc-449b-bd75-8b3557f3508c/details?download=true" TargetMode="External"/><Relationship Id="rId16" Type="http://schemas.openxmlformats.org/officeDocument/2006/relationships/hyperlink" Target="https://webgate.ec.europa.eu/circabc-ewpp/d/d/workspace/SpacesStore/3d8755a5-094d-4688-8562-f06a68f78863/download" TargetMode="External"/><Relationship Id="rId20" Type="http://schemas.openxmlformats.org/officeDocument/2006/relationships/hyperlink" Target="https://www.international.gc.ca/trade-commerce/trade-agreements-accords-commerciaux/agr-acc/ceta-aecg/CETA_work_plan-AECG_plan_travail-2020-2021.aspx?lang=eng" TargetMode="External"/><Relationship Id="rId29" Type="http://schemas.openxmlformats.org/officeDocument/2006/relationships/hyperlink" Target="https://circabc.europa.eu/ui/group/09242a36-a438-40fd-a7af-fe32e36cbd0e/library/8c22233e-aa1c-4d70-9f0e-abcd021fc1f7/details" TargetMode="External"/><Relationship Id="rId1" Type="http://schemas.openxmlformats.org/officeDocument/2006/relationships/hyperlink" Target="https://circabc.europa.eu/ui/group/09242a36-a438-40fd-a7af-fe32e36cbd0e/library/9af74247-45cc-449b-bd75-8b3557f3508c/details?download=true" TargetMode="External"/><Relationship Id="rId6" Type="http://schemas.openxmlformats.org/officeDocument/2006/relationships/hyperlink" Target="https://circabc.europa.eu/ui/group/7fc51410-46a1-4871-8979-20cce8df0896/library/eb6717d5-de9d-40ac-940b-11caab693a7c/details?download=true" TargetMode="External"/><Relationship Id="rId11" Type="http://schemas.openxmlformats.org/officeDocument/2006/relationships/hyperlink" Target="https://ec.europa.eu/transparency/documents-register/detail?ref=COM(2025)632&amp;lang=et" TargetMode="External"/><Relationship Id="rId24" Type="http://schemas.openxmlformats.org/officeDocument/2006/relationships/hyperlink" Target="https://een.ec.europa.eu/news/open-invitation-join-enterprise-europe-network-international-network-partner" TargetMode="External"/><Relationship Id="rId32" Type="http://schemas.openxmlformats.org/officeDocument/2006/relationships/hyperlink" Target="https://www.eu-japan.eu/eubusinessinjapan/procedures/import-export/case-studies-and-success-stories" TargetMode="External"/><Relationship Id="rId37" Type="http://schemas.openxmlformats.org/officeDocument/2006/relationships/hyperlink" Target="https://circabc.europa.eu/ui/group/09242a36-a438-40fd-a7af-fe32e36cbd0e/library/46ce9fe8-838a-4d71-8dde-9f4cd9976d3e/details?download=true" TargetMode="External"/><Relationship Id="rId5" Type="http://schemas.openxmlformats.org/officeDocument/2006/relationships/hyperlink" Target="https://ec.europa.eu/transparency/documents-register/detail?ref=COM(2024)385&amp;lang=et" TargetMode="External"/><Relationship Id="rId15" Type="http://schemas.openxmlformats.org/officeDocument/2006/relationships/hyperlink" Target="https://agriculture.ec.europa.eu/document/download/d986eb51-6bcc-4ff8-8a06-cf05f17d4a37_en?filename=monitoring-agri-trade-post-analysis-fta-implementation-2012-23_en.pdf" TargetMode="External"/><Relationship Id="rId23" Type="http://schemas.openxmlformats.org/officeDocument/2006/relationships/hyperlink" Target="https://een.ec.europa.eu/" TargetMode="External"/><Relationship Id="rId28" Type="http://schemas.openxmlformats.org/officeDocument/2006/relationships/hyperlink" Target="https://single-market-economy.ec.europa.eu/news/hybrid-workshop-sme-internationalisation-2025-02-10_en" TargetMode="External"/><Relationship Id="rId36" Type="http://schemas.openxmlformats.org/officeDocument/2006/relationships/hyperlink" Target="https://www.wto.org/english/tratop_e/msmes_e/msmes_e.htm" TargetMode="External"/><Relationship Id="rId10" Type="http://schemas.openxmlformats.org/officeDocument/2006/relationships/hyperlink" Target="https://ec.europa.eu/transparency/documents-register/detail?ref=SWD(2025)132&amp;lang=en" TargetMode="External"/><Relationship Id="rId19" Type="http://schemas.openxmlformats.org/officeDocument/2006/relationships/hyperlink" Target="https://circabc.europa.eu/ui/group/8a31feb6-d901-421f-a607-ebbdd7d59ca0/library/01b3ba3c-a300-45ca-b12c-d069db91ed7e/details?download=true" TargetMode="External"/><Relationship Id="rId31" Type="http://schemas.openxmlformats.org/officeDocument/2006/relationships/hyperlink" Target="https://www.eu-japan.eu/" TargetMode="External"/><Relationship Id="rId4" Type="http://schemas.openxmlformats.org/officeDocument/2006/relationships/hyperlink" Target="http://data.europa.eu/eli/reg_impl/2024/2754/oj" TargetMode="External"/><Relationship Id="rId9" Type="http://schemas.openxmlformats.org/officeDocument/2006/relationships/hyperlink" Target="https://ec.europa.eu/transparency/documents-register/detail?ref=SWD(2025)131&amp;lang=en" TargetMode="External"/><Relationship Id="rId14" Type="http://schemas.openxmlformats.org/officeDocument/2006/relationships/hyperlink" Target="https://policy.trade.ec.europa.eu/eu-trade-relationships-country-and-region/negotiations-and-agreements_en" TargetMode="External"/><Relationship Id="rId22" Type="http://schemas.openxmlformats.org/officeDocument/2006/relationships/hyperlink" Target="https://www.euroclima.org/en/mapas-2021-en" TargetMode="External"/><Relationship Id="rId27" Type="http://schemas.openxmlformats.org/officeDocument/2006/relationships/hyperlink" Target="https://single-market-economy.ec.europa.eu/publications/study-european-union-smes-internationalisation-strategy_en" TargetMode="External"/><Relationship Id="rId30" Type="http://schemas.openxmlformats.org/officeDocument/2006/relationships/hyperlink" Target="https://circabc.europa.eu/ui/group/09242a36-a438-40fd-a7af-fe32e36cbd0e/library/619f8187-79fe-4141-9756-ca58c042333d/details" TargetMode="External"/><Relationship Id="rId35" Type="http://schemas.openxmlformats.org/officeDocument/2006/relationships/hyperlink" Target="https://web.wtocenter.org.tw/file/PageFile/394545/INFMSMEW47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8966191797F498F267D9367717F0B" ma:contentTypeVersion="6" ma:contentTypeDescription="Create a new document." ma:contentTypeScope="" ma:versionID="c669a85f72a1df01142fe4e2f6504839">
  <xsd:schema xmlns:xsd="http://www.w3.org/2001/XMLSchema" xmlns:xs="http://www.w3.org/2001/XMLSchema" xmlns:p="http://schemas.microsoft.com/office/2006/metadata/properties" xmlns:ns2="6515a39a-c3cd-462f-afac-0c5d32a7551d" xmlns:ns3="68f88985-7119-4f55-b3ba-c79bd5920255" targetNamespace="http://schemas.microsoft.com/office/2006/metadata/properties" ma:root="true" ma:fieldsID="823a5fd44af457e3000b7acfee9225fb" ns2:_="" ns3:_="">
    <xsd:import namespace="6515a39a-c3cd-462f-afac-0c5d32a7551d"/>
    <xsd:import namespace="68f88985-7119-4f55-b3ba-c79bd59202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5a39a-c3cd-462f-afac-0c5d32a75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88985-7119-4f55-b3ba-c79bd59202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EACA4A-0B5F-401E-A626-B3CE225497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A4B879-129F-43CD-8D1E-9DC9F511459D}">
  <ds:schemaRefs>
    <ds:schemaRef ds:uri="http://schemas.microsoft.com/sharepoint/v3/contenttype/forms"/>
  </ds:schemaRefs>
</ds:datastoreItem>
</file>

<file path=customXml/itemProps3.xml><?xml version="1.0" encoding="utf-8"?>
<ds:datastoreItem xmlns:ds="http://schemas.openxmlformats.org/officeDocument/2006/customXml" ds:itemID="{AB9C32B3-1616-4AA9-8302-97117A342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5a39a-c3cd-462f-afac-0c5d32a7551d"/>
    <ds:schemaRef ds:uri="68f88985-7119-4f55-b3ba-c79bd5920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EE46B-89D3-45F3-B14D-11B4FB44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11385</Words>
  <Characters>64898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2025-10-17T15:11:00Z</dcterms:created>
  <dcterms:modified xsi:type="dcterms:W3CDTF">2025-11-03T07:33:00Z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2025-08-25T08:31:42Z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99ad367d-eab5-49bf-ab8c-17b7c3abfcf2</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ContentTypeId">
    <vt:lpwstr>0x010100B508966191797F498F267D9367717F0B</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CP-008</vt:lpwstr>
  </property>
</Properties>
</file>