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D9101" w14:textId="02A93249" w:rsidR="008F4061" w:rsidRDefault="0048629B" w:rsidP="0048629B">
      <w:pPr>
        <w:pStyle w:val="Pagedecouverture"/>
        <w:rPr>
          <w:noProof/>
        </w:rPr>
      </w:pPr>
      <w:bookmarkStart w:id="0" w:name="LW_BM_COVERPAGE"/>
      <w:r>
        <w:rPr>
          <w:noProof/>
        </w:rPr>
        <w:pict w14:anchorId="6E4FC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96146D1-F7BA-4307-9ABA-D3709507B33D" style="width:455.25pt;height:351.75pt">
            <v:imagedata r:id="rId8" o:title=""/>
          </v:shape>
        </w:pict>
      </w:r>
    </w:p>
    <w:bookmarkEnd w:id="0"/>
    <w:p w14:paraId="547FD305" w14:textId="77777777" w:rsidR="008F4061" w:rsidRDefault="008F4061" w:rsidP="008F4061">
      <w:pPr>
        <w:rPr>
          <w:noProof/>
        </w:rPr>
        <w:sectPr w:rsidR="008F4061" w:rsidSect="0048629B">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2AC7B6D5" w14:textId="1515E0D9" w:rsidR="00543FBA" w:rsidRPr="008E60F2" w:rsidRDefault="00543FBA" w:rsidP="00543FBA">
      <w:pPr>
        <w:keepNext/>
        <w:numPr>
          <w:ilvl w:val="0"/>
          <w:numId w:val="1"/>
        </w:numPr>
        <w:spacing w:before="360" w:after="120" w:line="240" w:lineRule="auto"/>
        <w:jc w:val="both"/>
        <w:outlineLvl w:val="0"/>
        <w:rPr>
          <w:rFonts w:ascii="Times New Roman" w:eastAsia="Times New Roman" w:hAnsi="Times New Roman" w:cs="Times New Roman"/>
          <w:b/>
          <w:bCs/>
          <w:smallCaps/>
          <w:noProof/>
          <w:sz w:val="24"/>
          <w:szCs w:val="32"/>
        </w:rPr>
      </w:pPr>
      <w:bookmarkStart w:id="1" w:name="_Toc229306111"/>
      <w:bookmarkStart w:id="2" w:name="_Toc413145207"/>
      <w:bookmarkStart w:id="3" w:name="_Toc127957592"/>
      <w:bookmarkStart w:id="4" w:name="_Toc244054015"/>
      <w:bookmarkStart w:id="5" w:name="_Toc413145209"/>
      <w:bookmarkStart w:id="6" w:name="_Toc147135954"/>
      <w:bookmarkStart w:id="7" w:name="_GoBack"/>
      <w:bookmarkEnd w:id="7"/>
      <w:r>
        <w:rPr>
          <w:rFonts w:ascii="Times New Roman" w:hAnsi="Times New Roman"/>
          <w:b/>
          <w:smallCaps/>
          <w:noProof/>
          <w:sz w:val="24"/>
        </w:rPr>
        <w:lastRenderedPageBreak/>
        <w:t>Rozpočtový proces EZZF 2025</w:t>
      </w:r>
      <w:bookmarkEnd w:id="1"/>
      <w:bookmarkEnd w:id="2"/>
      <w:bookmarkEnd w:id="3"/>
    </w:p>
    <w:p w14:paraId="4ABDD79B" w14:textId="641C9D10" w:rsidR="00543FBA" w:rsidRPr="00A726EC" w:rsidRDefault="00543FBA" w:rsidP="00543FBA">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Dne 27. listopadu 2024 přijal Evropský parlament souhrnný rozpočet Evropské unie na rok 2025. Rozpočet Evropského zemědělského záručního fondu (EZZF) činí 39 975,9 milionu EUR v prostředcích na závazky a 40 030,7 milionu EUR v prostředcích na platby. Důvodem různé výše obou druhů prostředků je používání rozlišených prostředků pro některá opatření prováděná přímo Komisí. Ta souvisejí především s opatřeními na propagaci zemědělských produktů a s opatřeními zaměřenými na politickou strategii, koordinaci a audit.</w:t>
      </w:r>
    </w:p>
    <w:p w14:paraId="7005210F" w14:textId="77777777" w:rsidR="00543FBA" w:rsidRPr="00782D00" w:rsidRDefault="00543FBA" w:rsidP="00543FBA">
      <w:pPr>
        <w:pStyle w:val="ListParagraph"/>
        <w:spacing w:before="120" w:after="120"/>
        <w:ind w:left="850"/>
        <w:rPr>
          <w:noProof/>
          <w:szCs w:val="24"/>
        </w:rPr>
      </w:pPr>
    </w:p>
    <w:p w14:paraId="0FD22ECB" w14:textId="77777777" w:rsidR="00543FBA" w:rsidRDefault="00543FBA" w:rsidP="00543FBA">
      <w:pPr>
        <w:pStyle w:val="ListParagraph"/>
        <w:keepNext/>
        <w:numPr>
          <w:ilvl w:val="0"/>
          <w:numId w:val="1"/>
        </w:numPr>
        <w:spacing w:before="36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Příjmy účelově vázané na EZZF</w:t>
      </w:r>
    </w:p>
    <w:p w14:paraId="0D59DC6B" w14:textId="77777777" w:rsidR="00543FBA" w:rsidRPr="008E60F2" w:rsidRDefault="00543FBA" w:rsidP="00543FBA">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 xml:space="preserve">Na základě ustanovení článku 45 nařízení (EU) 2021/2116 představují příjmy, které pocházejí z finančních oprav, k nimž došlo na základě rozhodnutí o schválení účetní závěrky a rozhodnutí o schválení výkonnosti, a z nesrovnalostí, účelově vázané příjmy k financování výdajů EZZF. </w:t>
      </w:r>
    </w:p>
    <w:p w14:paraId="4B69B0F7" w14:textId="10AEFD3D" w:rsidR="00543FBA" w:rsidRDefault="00543FBA" w:rsidP="00543FBA">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Podle čl. 45 odst. 2 lze účelově vázané příjmy opětovně použít na pokrytí finančních potřeb veškerých výdajů EZZF. Účelově vázané příjmy, které se v daném rozpočtovém roce vyberou a nepoužijí, se automaticky přenesou do následujícího rozpočtového roku</w:t>
      </w:r>
      <w:r>
        <w:rPr>
          <w:rFonts w:ascii="Times New Roman" w:eastAsia="Times New Roman" w:hAnsi="Times New Roman" w:cs="Times New Roman"/>
          <w:noProof/>
          <w:sz w:val="24"/>
          <w:szCs w:val="24"/>
          <w:vertAlign w:val="superscript"/>
        </w:rPr>
        <w:footnoteReference w:id="1"/>
      </w:r>
      <w:r>
        <w:rPr>
          <w:rFonts w:ascii="Times New Roman" w:hAnsi="Times New Roman"/>
          <w:noProof/>
          <w:sz w:val="24"/>
        </w:rPr>
        <w:t>.</w:t>
      </w:r>
    </w:p>
    <w:p w14:paraId="30B6C122" w14:textId="7365ED90" w:rsidR="00543FBA" w:rsidRPr="008E60F2" w:rsidRDefault="00543FBA" w:rsidP="00543FBA">
      <w:pPr>
        <w:spacing w:before="120" w:after="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Rozpočet EZZF na rok 2025 zahrnuje:</w:t>
      </w:r>
    </w:p>
    <w:p w14:paraId="6E1C012D" w14:textId="7963915B" w:rsidR="00543FBA" w:rsidRPr="008E60F2" w:rsidRDefault="00543FBA" w:rsidP="00F44E8D">
      <w:pPr>
        <w:numPr>
          <w:ilvl w:val="0"/>
          <w:numId w:val="2"/>
        </w:numPr>
        <w:spacing w:before="120" w:after="0" w:line="240" w:lineRule="auto"/>
        <w:jc w:val="both"/>
        <w:rPr>
          <w:rFonts w:ascii="Times New Roman" w:eastAsia="Times New Roman" w:hAnsi="Times New Roman" w:cs="Times New Roman"/>
          <w:noProof/>
          <w:sz w:val="24"/>
          <w:szCs w:val="24"/>
        </w:rPr>
      </w:pPr>
      <w:bookmarkStart w:id="8" w:name="_Hlk170990895"/>
      <w:r>
        <w:rPr>
          <w:rFonts w:ascii="Times New Roman" w:hAnsi="Times New Roman"/>
          <w:noProof/>
          <w:sz w:val="24"/>
        </w:rPr>
        <w:t>odhady Komise týkající se potřeb financování tržních opatření (včetně zemědělské rezervy) a přímých plateb v rámci sdíleného řízení a dalších výdajů v rámci přímého řízení;</w:t>
      </w:r>
    </w:p>
    <w:bookmarkEnd w:id="8"/>
    <w:p w14:paraId="436614A8" w14:textId="6C66393D" w:rsidR="00543FBA" w:rsidRDefault="00543FBA" w:rsidP="00F44E8D">
      <w:pPr>
        <w:numPr>
          <w:ilvl w:val="0"/>
          <w:numId w:val="2"/>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odhady účelově vázaných příjmů, které mají být vybrány v průběhu rozpočtového roku</w:t>
      </w:r>
    </w:p>
    <w:p w14:paraId="4798A339" w14:textId="23EEF62E" w:rsidR="004439DE" w:rsidRPr="004439DE" w:rsidRDefault="004439DE" w:rsidP="00773177">
      <w:pPr>
        <w:pStyle w:val="ListParagraph"/>
        <w:numPr>
          <w:ilvl w:val="0"/>
          <w:numId w:val="2"/>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a přenos účelově vázaných příjmů, které byly ještě k dispozici z předchozího rozpočtového roku.</w:t>
      </w:r>
    </w:p>
    <w:p w14:paraId="3E334DDE" w14:textId="6CFA08B6" w:rsidR="00543FBA" w:rsidRPr="00B23149" w:rsidRDefault="00543FBA" w:rsidP="00543FBA">
      <w:pPr>
        <w:spacing w:before="120" w:after="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 xml:space="preserve">Ve svém návrhu výše rozpočtových prostředků pro EZZF na rok 2025 vzala Komise v úvahu celkové očekávané účelově vázané příjmy. Pro rozpočet na rok 2025 Komise požádala o výši prostředků vypočtenou odečtením odhadovaných účelově vázaných příjmů od odhadovaných potřeb. Rozpočtový orgán rozpočet EZZF na rok 2025 s přihlédnutím k očekávaným účelově vázaným příjmům schválil. </w:t>
      </w:r>
    </w:p>
    <w:p w14:paraId="513F1983" w14:textId="56B0A8C0" w:rsidR="00543FBA" w:rsidRPr="00A8030C" w:rsidRDefault="00543FBA" w:rsidP="00543FBA">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 xml:space="preserve">V době sestavování rozpočtu na rok 2025 Komise odhadla, že dostupné účelově vázané příjmy dosáhnou výše 949,4 milionu EUR, z čehož 554,4 milionu EUR bude přeneseno z rozpočtu na rok 2024. Když Komise žádala o prostředky na základní podporu příjmu pro udržitelnost (bod 08 02 04 01), vzala v úvahu tuto přenesenou částku i odhadované příjmy, které mají být vybrány v roce 2025. </w:t>
      </w:r>
      <w:bookmarkStart w:id="9" w:name="_Hlk170477336"/>
      <w:r>
        <w:rPr>
          <w:rFonts w:ascii="Times New Roman" w:hAnsi="Times New Roman"/>
          <w:noProof/>
          <w:sz w:val="24"/>
        </w:rPr>
        <w:t xml:space="preserve">Součet schválených prostředků pro tento režim a odhadovaných účelově vázaných příjmů činí 18 959 milionů EUR. </w:t>
      </w:r>
      <w:bookmarkEnd w:id="9"/>
    </w:p>
    <w:p w14:paraId="7CC28496" w14:textId="53E3E7E5" w:rsidR="00543FBA" w:rsidRPr="00643D28" w:rsidRDefault="00543FBA" w:rsidP="00543FBA">
      <w:pPr>
        <w:spacing w:before="120" w:after="120" w:line="240" w:lineRule="auto"/>
        <w:ind w:left="850"/>
        <w:jc w:val="both"/>
        <w:rPr>
          <w:rFonts w:ascii="Times New Roman" w:eastAsia="Times New Roman" w:hAnsi="Times New Roman" w:cs="Times New Roman"/>
          <w:noProof/>
          <w:sz w:val="24"/>
          <w:szCs w:val="24"/>
        </w:rPr>
      </w:pPr>
      <w:bookmarkStart w:id="10" w:name="_Hlk170477692"/>
      <w:r>
        <w:rPr>
          <w:rFonts w:ascii="Times New Roman" w:hAnsi="Times New Roman"/>
          <w:noProof/>
          <w:sz w:val="24"/>
        </w:rPr>
        <w:t>Účelově vázané příjmy přenesené z roku 2024 byly nakonec nepatrně vyšší a činily 555,8 milionu EUR.</w:t>
      </w:r>
    </w:p>
    <w:bookmarkEnd w:id="10"/>
    <w:p w14:paraId="4D657211" w14:textId="4A2B43BD" w:rsidR="00543FBA" w:rsidRDefault="00543FBA" w:rsidP="00543FBA">
      <w:pPr>
        <w:pStyle w:val="ListParagraph"/>
        <w:keepNext/>
        <w:numPr>
          <w:ilvl w:val="0"/>
          <w:numId w:val="1"/>
        </w:numPr>
        <w:spacing w:before="36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Tabulka prozatímního čerpání ke dni 30. dubna 2025</w:t>
      </w:r>
    </w:p>
    <w:p w14:paraId="47D5CE84" w14:textId="41B7B864" w:rsidR="00543FBA" w:rsidRDefault="00543FBA" w:rsidP="00543FBA">
      <w:pPr>
        <w:pStyle w:val="Text1"/>
        <w:rPr>
          <w:noProof/>
        </w:rPr>
      </w:pPr>
      <w:r>
        <w:rPr>
          <w:noProof/>
        </w:rPr>
        <w:t xml:space="preserve">Tato zpráva předkládá informace o prozatímním plnění rozpočtu EZZF na rok 2025 ke dni 30. dubna 2025. Podrobnosti jsou uvedeny v následující tabulce. </w:t>
      </w:r>
    </w:p>
    <w:p w14:paraId="70607DB5" w14:textId="19D45ABC" w:rsidR="00543FBA" w:rsidRDefault="00543FBA" w:rsidP="00543FBA">
      <w:pPr>
        <w:pStyle w:val="Text1"/>
        <w:rPr>
          <w:noProof/>
        </w:rPr>
      </w:pPr>
      <w:r>
        <w:rPr>
          <w:noProof/>
        </w:rPr>
        <w:t>Tato úroveň plnění se porovnává s výdajovým profilem systému včasného varování, který byl zaveden v souladu s článkem 19 nařízení (EU) 2021/2116.</w:t>
      </w:r>
    </w:p>
    <w:p w14:paraId="3B051BF6" w14:textId="78ED6453" w:rsidR="00C8740B" w:rsidRDefault="007F394C" w:rsidP="00C009A4">
      <w:pPr>
        <w:pStyle w:val="Text1"/>
        <w:rPr>
          <w:b/>
          <w:bCs/>
          <w:smallCaps/>
          <w:noProof/>
          <w:szCs w:val="32"/>
        </w:rPr>
      </w:pPr>
      <w:r w:rsidRPr="007F394C">
        <w:rPr>
          <w:noProof/>
          <w:lang w:val="en-GB" w:eastAsia="en-GB"/>
        </w:rPr>
        <w:drawing>
          <wp:inline distT="0" distB="0" distL="0" distR="0" wp14:anchorId="0EEF1853" wp14:editId="1190BE9E">
            <wp:extent cx="5628005" cy="8229600"/>
            <wp:effectExtent l="0" t="0" r="0" b="0"/>
            <wp:docPr id="1408909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8005" cy="8229600"/>
                    </a:xfrm>
                    <a:prstGeom prst="rect">
                      <a:avLst/>
                    </a:prstGeom>
                    <a:noFill/>
                    <a:ln>
                      <a:noFill/>
                    </a:ln>
                  </pic:spPr>
                </pic:pic>
              </a:graphicData>
            </a:graphic>
          </wp:inline>
        </w:drawing>
      </w:r>
    </w:p>
    <w:p w14:paraId="2B3D6C7F" w14:textId="63506E43" w:rsidR="00E24C59" w:rsidRDefault="007F394C" w:rsidP="00C009A4">
      <w:pPr>
        <w:pStyle w:val="Text1"/>
        <w:rPr>
          <w:b/>
          <w:bCs/>
          <w:smallCaps/>
          <w:noProof/>
          <w:szCs w:val="32"/>
        </w:rPr>
      </w:pPr>
      <w:r w:rsidRPr="007F394C">
        <w:rPr>
          <w:noProof/>
          <w:lang w:val="en-GB" w:eastAsia="en-GB"/>
        </w:rPr>
        <w:drawing>
          <wp:inline distT="0" distB="0" distL="0" distR="0" wp14:anchorId="3AF06516" wp14:editId="1FF79CA2">
            <wp:extent cx="5943600" cy="4488815"/>
            <wp:effectExtent l="0" t="0" r="0" b="0"/>
            <wp:docPr id="680601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488815"/>
                    </a:xfrm>
                    <a:prstGeom prst="rect">
                      <a:avLst/>
                    </a:prstGeom>
                    <a:noFill/>
                    <a:ln>
                      <a:noFill/>
                    </a:ln>
                  </pic:spPr>
                </pic:pic>
              </a:graphicData>
            </a:graphic>
          </wp:inline>
        </w:drawing>
      </w:r>
    </w:p>
    <w:p w14:paraId="3EA63099" w14:textId="767A658A" w:rsidR="00C8740B" w:rsidRDefault="00C8740B" w:rsidP="00543FBA">
      <w:pPr>
        <w:spacing w:before="120" w:after="120" w:line="240" w:lineRule="auto"/>
        <w:ind w:left="850"/>
        <w:jc w:val="both"/>
        <w:rPr>
          <w:rFonts w:ascii="Times New Roman" w:eastAsia="Times New Roman" w:hAnsi="Times New Roman" w:cs="Times New Roman"/>
          <w:b/>
          <w:bCs/>
          <w:smallCaps/>
          <w:noProof/>
          <w:sz w:val="24"/>
          <w:szCs w:val="32"/>
        </w:rPr>
      </w:pPr>
    </w:p>
    <w:p w14:paraId="1011A879" w14:textId="77777777" w:rsidR="00543FBA" w:rsidRPr="00E95687" w:rsidRDefault="00543FBA" w:rsidP="00543FBA">
      <w:pPr>
        <w:pStyle w:val="ListParagraph"/>
        <w:keepNext/>
        <w:spacing w:before="360" w:after="120" w:line="240" w:lineRule="auto"/>
        <w:ind w:left="850"/>
        <w:jc w:val="both"/>
        <w:outlineLvl w:val="0"/>
        <w:rPr>
          <w:rFonts w:ascii="Times New Roman" w:eastAsia="Times New Roman" w:hAnsi="Times New Roman" w:cs="Times New Roman"/>
          <w:b/>
          <w:bCs/>
          <w:smallCaps/>
          <w:noProof/>
          <w:sz w:val="24"/>
          <w:szCs w:val="32"/>
          <w:lang w:val="en-US"/>
        </w:rPr>
      </w:pPr>
    </w:p>
    <w:p w14:paraId="1078E5C1" w14:textId="4043DA69" w:rsidR="00543FBA" w:rsidRDefault="00543FBA" w:rsidP="00543FBA">
      <w:pPr>
        <w:pStyle w:val="ListParagraph"/>
        <w:keepNext/>
        <w:numPr>
          <w:ilvl w:val="0"/>
          <w:numId w:val="1"/>
        </w:numPr>
        <w:spacing w:before="36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 xml:space="preserve">Připomínky týkající se zemědělské rezervy na rok 2025  </w:t>
      </w:r>
    </w:p>
    <w:p w14:paraId="0912CEA5" w14:textId="555A279A" w:rsidR="00543FBA" w:rsidDel="00CC7DB0" w:rsidRDefault="00543FBA" w:rsidP="00543FBA">
      <w:pPr>
        <w:spacing w:before="120" w:after="120" w:line="240" w:lineRule="auto"/>
        <w:ind w:left="840"/>
        <w:jc w:val="both"/>
        <w:rPr>
          <w:rFonts w:ascii="Times New Roman" w:eastAsia="Times New Roman" w:hAnsi="Times New Roman" w:cs="Times New Roman"/>
          <w:noProof/>
          <w:sz w:val="24"/>
          <w:szCs w:val="24"/>
        </w:rPr>
      </w:pPr>
      <w:r>
        <w:rPr>
          <w:rFonts w:ascii="Times New Roman" w:hAnsi="Times New Roman"/>
          <w:noProof/>
          <w:sz w:val="24"/>
        </w:rPr>
        <w:t xml:space="preserve">Rozpočet na rok 2025 zahrnuje částku 646,7 milionu EUR na zemědělskou rezervu, včetně přenosu 366,5 milionu EUR z rozpočtu na rok 2024. </w:t>
      </w:r>
    </w:p>
    <w:p w14:paraId="5A31C8D7" w14:textId="535D17EB" w:rsidR="009C36D4" w:rsidRDefault="00543FBA" w:rsidP="00543FBA">
      <w:pPr>
        <w:spacing w:before="120" w:after="120" w:line="240" w:lineRule="auto"/>
        <w:ind w:left="840"/>
        <w:jc w:val="both"/>
        <w:rPr>
          <w:rFonts w:ascii="Times New Roman" w:hAnsi="Times New Roman"/>
          <w:noProof/>
          <w:sz w:val="24"/>
        </w:rPr>
      </w:pPr>
      <w:r>
        <w:rPr>
          <w:rFonts w:ascii="Times New Roman" w:hAnsi="Times New Roman"/>
          <w:noProof/>
          <w:sz w:val="24"/>
        </w:rPr>
        <w:t>V tomto rozpočtovém roce byla dosud přijata tři opatření, na něž bylo vyčleněno 113,7 milionu EUR</w:t>
      </w:r>
      <w:r>
        <w:rPr>
          <w:rStyle w:val="FootnoteReference"/>
          <w:rFonts w:ascii="Times New Roman" w:eastAsia="Times New Roman" w:hAnsi="Times New Roman" w:cs="Times New Roman"/>
          <w:noProof/>
          <w:sz w:val="24"/>
          <w:szCs w:val="24"/>
        </w:rPr>
        <w:footnoteReference w:id="2"/>
      </w:r>
      <w:r>
        <w:rPr>
          <w:rFonts w:ascii="Times New Roman" w:hAnsi="Times New Roman"/>
          <w:noProof/>
          <w:sz w:val="24"/>
        </w:rPr>
        <w:t xml:space="preserve">. </w:t>
      </w:r>
    </w:p>
    <w:p w14:paraId="3A1C0D47" w14:textId="28C2FC02" w:rsidR="00543FBA" w:rsidRPr="0050177E" w:rsidDel="00CC7DB0" w:rsidRDefault="009F14CB" w:rsidP="00543FBA">
      <w:pPr>
        <w:spacing w:before="120" w:after="120" w:line="240" w:lineRule="auto"/>
        <w:ind w:left="840"/>
        <w:jc w:val="both"/>
        <w:rPr>
          <w:rFonts w:ascii="Times New Roman" w:hAnsi="Times New Roman"/>
          <w:noProof/>
          <w:sz w:val="24"/>
        </w:rPr>
      </w:pPr>
      <w:r>
        <w:rPr>
          <w:rFonts w:ascii="Times New Roman" w:hAnsi="Times New Roman"/>
          <w:noProof/>
          <w:sz w:val="24"/>
        </w:rPr>
        <w:t>Celkové výdaje na zemědělskou rezervu do konce dubna</w:t>
      </w:r>
      <w:r>
        <w:rPr>
          <w:noProof/>
        </w:rPr>
        <w:t xml:space="preserve"> </w:t>
      </w:r>
      <w:bookmarkStart w:id="11" w:name="_Hlk204614686"/>
      <w:r>
        <w:rPr>
          <w:rFonts w:ascii="Times New Roman" w:hAnsi="Times New Roman"/>
          <w:noProof/>
          <w:sz w:val="24"/>
        </w:rPr>
        <w:t>na opatření přijatá v rozpočtovém roce 2024 s datem způsobilosti v rozpočtovém roce 2025</w:t>
      </w:r>
      <w:bookmarkEnd w:id="11"/>
      <w:r>
        <w:rPr>
          <w:noProof/>
        </w:rPr>
        <w:t xml:space="preserve"> </w:t>
      </w:r>
      <w:r>
        <w:rPr>
          <w:rFonts w:ascii="Times New Roman" w:hAnsi="Times New Roman"/>
          <w:noProof/>
          <w:sz w:val="24"/>
        </w:rPr>
        <w:t xml:space="preserve">činí 191,8 milionu EUR. </w:t>
      </w:r>
    </w:p>
    <w:p w14:paraId="61362147" w14:textId="77777777" w:rsidR="00543FBA" w:rsidRDefault="00543FBA" w:rsidP="00543FBA">
      <w:pPr>
        <w:pStyle w:val="ListParagraph"/>
        <w:spacing w:before="120" w:after="120" w:line="240" w:lineRule="auto"/>
        <w:ind w:left="2290"/>
        <w:jc w:val="both"/>
        <w:rPr>
          <w:rFonts w:ascii="Times New Roman" w:hAnsi="Times New Roman"/>
          <w:noProof/>
          <w:sz w:val="24"/>
        </w:rPr>
      </w:pPr>
    </w:p>
    <w:p w14:paraId="1F1BE2BA" w14:textId="77777777" w:rsidR="00084EE4" w:rsidRDefault="00084EE4" w:rsidP="00543FBA">
      <w:pPr>
        <w:pStyle w:val="ListParagraph"/>
        <w:spacing w:before="120" w:after="120" w:line="240" w:lineRule="auto"/>
        <w:ind w:left="2290"/>
        <w:jc w:val="both"/>
        <w:rPr>
          <w:rFonts w:ascii="Times New Roman" w:hAnsi="Times New Roman"/>
          <w:noProof/>
          <w:sz w:val="24"/>
        </w:rPr>
      </w:pPr>
    </w:p>
    <w:p w14:paraId="74A77B61" w14:textId="60E95CE5" w:rsidR="00543FBA" w:rsidRPr="009D4375" w:rsidRDefault="00543FBA" w:rsidP="00543FBA">
      <w:pPr>
        <w:pStyle w:val="ListParagraph"/>
        <w:keepNext/>
        <w:numPr>
          <w:ilvl w:val="0"/>
          <w:numId w:val="1"/>
        </w:numPr>
        <w:spacing w:before="360" w:after="120" w:line="240" w:lineRule="auto"/>
        <w:jc w:val="both"/>
        <w:outlineLvl w:val="0"/>
        <w:rPr>
          <w:rFonts w:ascii="Times New Roman" w:eastAsia="Times New Roman" w:hAnsi="Times New Roman" w:cs="Times New Roman"/>
          <w:b/>
          <w:bCs/>
          <w:smallCaps/>
          <w:noProof/>
          <w:sz w:val="24"/>
          <w:szCs w:val="32"/>
        </w:rPr>
      </w:pPr>
      <w:r>
        <w:rPr>
          <w:rFonts w:ascii="Times New Roman" w:hAnsi="Times New Roman"/>
          <w:b/>
          <w:smallCaps/>
          <w:noProof/>
          <w:sz w:val="24"/>
        </w:rPr>
        <w:t>Poznámky k prozatímnímu plnění rozpočtu EZZF na rok 2025</w:t>
      </w:r>
    </w:p>
    <w:p w14:paraId="0A7B92FB" w14:textId="45EC189B" w:rsidR="00543FBA" w:rsidRDefault="00543FBA" w:rsidP="00543FBA">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 xml:space="preserve">Prozatímní čerpání rozpočtových prostředků EZZF na rok 2025 za období do dne 30. dubna 2025 je mírně vyšší něž vypočítaný výdajový profil (2,6 procentního bodu). </w:t>
      </w:r>
    </w:p>
    <w:p w14:paraId="4C304FE9" w14:textId="305AA9AC" w:rsidR="00FD4BCA" w:rsidRDefault="002D123B" w:rsidP="00A8030C">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Na rozdíl od předchozích rozpočtových let vykazují výdaje na celkové odvětvové typy intervencí v rámci strategických plánů SZP (08 02 02) odchylku od profilu směrem nahoru.</w:t>
      </w:r>
    </w:p>
    <w:p w14:paraId="778C6FB3" w14:textId="453676BA" w:rsidR="00064506" w:rsidRDefault="008E4049" w:rsidP="00543FBA">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 xml:space="preserve">Většina typů intervencí v podobě přímých plateb v rámci strategického plánu SZP (08 02 04) vykazuje plnění rozpočtu, které překračuje očekávání. </w:t>
      </w:r>
    </w:p>
    <w:p w14:paraId="56EF04A5" w14:textId="24D3472C" w:rsidR="00543FBA" w:rsidRDefault="00543FBA" w:rsidP="00543FBA">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K dispozici již je částka účelově vázaných příjmů (6 2 0 0) ve výši 685,7 milionu EUR a očekává se, že v průběhu rozpočtového roku se vyberou další částky.</w:t>
      </w:r>
    </w:p>
    <w:p w14:paraId="15E0879E" w14:textId="492EE98E" w:rsidR="00EC4661" w:rsidRPr="00A8030C" w:rsidRDefault="008F62C2" w:rsidP="00A8030C">
      <w:pPr>
        <w:spacing w:before="120" w:after="120" w:line="240" w:lineRule="auto"/>
        <w:ind w:left="850"/>
        <w:jc w:val="both"/>
        <w:rPr>
          <w:rFonts w:ascii="Times New Roman" w:eastAsia="Times New Roman" w:hAnsi="Times New Roman"/>
          <w:noProof/>
          <w:sz w:val="24"/>
          <w:szCs w:val="24"/>
        </w:rPr>
      </w:pPr>
      <w:r>
        <w:rPr>
          <w:rFonts w:ascii="Times New Roman" w:hAnsi="Times New Roman"/>
          <w:noProof/>
          <w:sz w:val="24"/>
        </w:rPr>
        <w:t>Na základě údajů dostupných ke konci dubna útvary Komise předpokládají, že výše schválených prostředků spolu s výší účelově vázaných příjmů, které mají být podle očekávání k dispozici do konce rozpočtového roku, postačí k pokrytí všech výdajů.</w:t>
      </w:r>
      <w:bookmarkEnd w:id="4"/>
      <w:bookmarkEnd w:id="5"/>
      <w:bookmarkEnd w:id="6"/>
    </w:p>
    <w:sectPr w:rsidR="00EC4661" w:rsidRPr="00A8030C" w:rsidSect="001C039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1F999" w14:textId="77777777" w:rsidR="008D5A3C" w:rsidRDefault="008D5A3C" w:rsidP="008F4061">
      <w:pPr>
        <w:spacing w:after="0" w:line="240" w:lineRule="auto"/>
      </w:pPr>
      <w:r>
        <w:separator/>
      </w:r>
    </w:p>
  </w:endnote>
  <w:endnote w:type="continuationSeparator" w:id="0">
    <w:p w14:paraId="50BF991E" w14:textId="77777777" w:rsidR="008D5A3C" w:rsidRDefault="008D5A3C" w:rsidP="008F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056B0" w14:textId="041412B2" w:rsidR="0048629B" w:rsidRPr="0048629B" w:rsidRDefault="0048629B" w:rsidP="0048629B">
    <w:pPr>
      <w:pStyle w:val="FooterCoverPage"/>
      <w:rPr>
        <w:rFonts w:ascii="Arial" w:hAnsi="Arial" w:cs="Arial"/>
        <w:b/>
        <w:sz w:val="48"/>
      </w:rPr>
    </w:pPr>
    <w:r w:rsidRPr="0048629B">
      <w:rPr>
        <w:rFonts w:ascii="Arial" w:hAnsi="Arial" w:cs="Arial"/>
        <w:b/>
        <w:sz w:val="48"/>
      </w:rPr>
      <w:t>CS</w:t>
    </w:r>
    <w:r w:rsidRPr="0048629B">
      <w:rPr>
        <w:rFonts w:ascii="Arial" w:hAnsi="Arial" w:cs="Arial"/>
        <w:b/>
        <w:sz w:val="48"/>
      </w:rPr>
      <w:tab/>
    </w:r>
    <w:r w:rsidRPr="0048629B">
      <w:rPr>
        <w:rFonts w:ascii="Arial" w:hAnsi="Arial" w:cs="Arial"/>
        <w:b/>
        <w:sz w:val="48"/>
      </w:rPr>
      <w:tab/>
    </w:r>
    <w:r w:rsidRPr="0048629B">
      <w:tab/>
    </w:r>
    <w:r w:rsidRPr="0048629B">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11D4" w14:textId="7A8C4962" w:rsidR="0048629B" w:rsidRPr="0048629B" w:rsidRDefault="0048629B" w:rsidP="0048629B">
    <w:pPr>
      <w:pStyle w:val="FooterCoverPage"/>
      <w:rPr>
        <w:rFonts w:ascii="Arial" w:hAnsi="Arial" w:cs="Arial"/>
        <w:b/>
        <w:sz w:val="48"/>
      </w:rPr>
    </w:pPr>
    <w:r w:rsidRPr="0048629B">
      <w:rPr>
        <w:rFonts w:ascii="Arial" w:hAnsi="Arial" w:cs="Arial"/>
        <w:b/>
        <w:sz w:val="48"/>
      </w:rPr>
      <w:t>CS</w:t>
    </w:r>
    <w:r w:rsidRPr="0048629B">
      <w:rPr>
        <w:rFonts w:ascii="Arial" w:hAnsi="Arial" w:cs="Arial"/>
        <w:b/>
        <w:sz w:val="48"/>
      </w:rPr>
      <w:tab/>
    </w:r>
    <w:r w:rsidRPr="0048629B">
      <w:rPr>
        <w:rFonts w:ascii="Arial" w:hAnsi="Arial" w:cs="Arial"/>
        <w:b/>
        <w:sz w:val="48"/>
      </w:rPr>
      <w:tab/>
    </w:r>
    <w:r w:rsidRPr="0048629B">
      <w:tab/>
    </w:r>
    <w:r w:rsidRPr="0048629B">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E3296" w14:textId="77777777" w:rsidR="0048629B" w:rsidRPr="0048629B" w:rsidRDefault="0048629B" w:rsidP="0048629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E85A" w14:textId="77777777" w:rsidR="006453BB" w:rsidRPr="00F4454F" w:rsidRDefault="006453BB" w:rsidP="00F445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297250"/>
      <w:docPartObj>
        <w:docPartGallery w:val="Page Numbers (Bottom of Page)"/>
        <w:docPartUnique/>
      </w:docPartObj>
    </w:sdtPr>
    <w:sdtEndPr>
      <w:rPr>
        <w:noProof/>
      </w:rPr>
    </w:sdtEndPr>
    <w:sdtContent>
      <w:p w14:paraId="7FBD3EDD" w14:textId="46D87F51" w:rsidR="006453BB" w:rsidRDefault="006453BB">
        <w:pPr>
          <w:pStyle w:val="Footer"/>
          <w:jc w:val="center"/>
        </w:pPr>
        <w:r>
          <w:fldChar w:fldCharType="begin"/>
        </w:r>
        <w:r>
          <w:instrText xml:space="preserve"> PAGE   \* MERGEFORMAT </w:instrText>
        </w:r>
        <w:r>
          <w:fldChar w:fldCharType="separate"/>
        </w:r>
        <w:r w:rsidR="0048629B">
          <w:rPr>
            <w:noProof/>
          </w:rPr>
          <w:t>1</w:t>
        </w:r>
        <w:r>
          <w:fldChar w:fldCharType="end"/>
        </w:r>
      </w:p>
    </w:sdtContent>
  </w:sdt>
  <w:p w14:paraId="1A21A803" w14:textId="77777777" w:rsidR="006453BB" w:rsidRPr="00F4454F" w:rsidRDefault="006453BB" w:rsidP="00F4454F">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0E7F" w14:textId="77777777" w:rsidR="006453BB" w:rsidRPr="00F4454F" w:rsidRDefault="006453BB" w:rsidP="00F4454F">
    <w:pPr>
      <w:pStyle w:val="FooterCover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DAC9E" w14:textId="77777777" w:rsidR="008D5A3C" w:rsidRDefault="008D5A3C" w:rsidP="008F4061">
      <w:pPr>
        <w:spacing w:after="0" w:line="240" w:lineRule="auto"/>
      </w:pPr>
      <w:r>
        <w:separator/>
      </w:r>
    </w:p>
  </w:footnote>
  <w:footnote w:type="continuationSeparator" w:id="0">
    <w:p w14:paraId="5C4321B1" w14:textId="77777777" w:rsidR="008D5A3C" w:rsidRDefault="008D5A3C" w:rsidP="008F4061">
      <w:pPr>
        <w:spacing w:after="0" w:line="240" w:lineRule="auto"/>
      </w:pPr>
      <w:r>
        <w:continuationSeparator/>
      </w:r>
    </w:p>
  </w:footnote>
  <w:footnote w:id="1">
    <w:p w14:paraId="54EDD758" w14:textId="505E0CA3" w:rsidR="00543FBA" w:rsidRPr="00AC0ACC" w:rsidRDefault="00543FBA" w:rsidP="00543FBA">
      <w:pPr>
        <w:pStyle w:val="FootnoteText"/>
        <w:spacing w:after="60"/>
        <w:ind w:left="851" w:hanging="851"/>
        <w:jc w:val="both"/>
      </w:pPr>
      <w:r>
        <w:rPr>
          <w:rStyle w:val="FootnoteReference"/>
          <w:rFonts w:ascii="Times New Roman" w:hAnsi="Times New Roman"/>
        </w:rPr>
        <w:footnoteRef/>
      </w:r>
      <w:r>
        <w:tab/>
      </w:r>
      <w:r>
        <w:rPr>
          <w:rFonts w:ascii="Times New Roman" w:hAnsi="Times New Roman"/>
        </w:rPr>
        <w:t>Ustanovení čl. 12 odst. 4 písm. b) nařízení Evropského parlamentu a Rady (EU, Euratom) 2024/2509 ze dne 23. září 2024, kterým se stanoví finanční pravidla pro souhrnný rozpočet Unie, určuje, že prostředky odpovídající vnitřním účelově vázaným příjmům mohou být přeneseny pouze do následujícího rozpočtového roku.</w:t>
      </w:r>
      <w:r>
        <w:t xml:space="preserve"> </w:t>
      </w:r>
      <w:r>
        <w:rPr>
          <w:rFonts w:ascii="Times New Roman" w:hAnsi="Times New Roman"/>
        </w:rPr>
        <w:t>V zájmu řádného rozpočtového řízení se proto tyto účelově vázané příjmy obecně používají přednostně před jakýmikoli schválenými prostředky příslušného článku rozpočtu.</w:t>
      </w:r>
    </w:p>
  </w:footnote>
  <w:footnote w:id="2">
    <w:p w14:paraId="0D93ACB4" w14:textId="6C076D97" w:rsidR="00674DFA" w:rsidRPr="00A8030C" w:rsidRDefault="00674DFA" w:rsidP="00674DFA">
      <w:pPr>
        <w:spacing w:after="0" w:line="240" w:lineRule="auto"/>
        <w:rPr>
          <w:rFonts w:ascii="Times New Roman" w:hAnsi="Times New Roman" w:cs="Times New Roman"/>
          <w:color w:val="333333"/>
          <w:sz w:val="20"/>
          <w:szCs w:val="20"/>
          <w:shd w:val="clear" w:color="auto" w:fill="FFFFFF"/>
        </w:rPr>
      </w:pPr>
      <w:r>
        <w:rPr>
          <w:rStyle w:val="FootnoteReference"/>
        </w:rPr>
        <w:footnoteRef/>
      </w:r>
      <w:r>
        <w:t xml:space="preserve"> </w:t>
      </w:r>
      <w:r>
        <w:rPr>
          <w:rFonts w:ascii="Times New Roman" w:hAnsi="Times New Roman"/>
          <w:color w:val="333333"/>
          <w:sz w:val="20"/>
          <w:shd w:val="clear" w:color="auto" w:fill="FFFFFF"/>
        </w:rPr>
        <w:t xml:space="preserve">Prováděcí nařízení Komise (EU) 2025/441 ze dne 6. března 2025, kterým se stanoví mimořádná finanční podpora pro zemědělská odvětví zasažená nepříznivými klimatickými jevy a přírodními katastrofami ve Španělsku, Chorvatsku, na Kypru, v Lotyšsku a Maďarsku v souladu s nařízením Evropského parlamentu a Rady (EU) č. 1308/2013. </w:t>
      </w:r>
      <w:r>
        <w:rPr>
          <w:sz w:val="20"/>
        </w:rPr>
        <w:t>(Úř. věst. L, 2025/441, 10.3.2025</w:t>
      </w:r>
      <w:r>
        <w:t xml:space="preserve"> </w:t>
      </w:r>
      <w:r>
        <w:br/>
      </w:r>
      <w:r>
        <w:rPr>
          <w:rFonts w:ascii="Times New Roman" w:hAnsi="Times New Roman"/>
          <w:color w:val="333333"/>
          <w:shd w:val="clear" w:color="auto" w:fill="FFFFFF"/>
        </w:rPr>
        <w:t xml:space="preserve">ELI: </w:t>
      </w:r>
      <w:hyperlink r:id="rId1" w:tooltip="Umožňuje přístup k tomuto dokumentu prostřednictvím jeho identifikátoru URI v systému ELI." w:history="1">
        <w:r>
          <w:rPr>
            <w:color w:val="0000FF"/>
            <w:u w:val="single"/>
          </w:rPr>
          <w:t>http://data.europa.eu/eli/reg_impl/2025/441/oj</w:t>
        </w:r>
      </w:hyperlink>
      <w:r>
        <w:rPr>
          <w:color w:val="0000FF"/>
          <w:u w:val="single"/>
        </w:rPr>
        <w:t>)</w:t>
      </w:r>
    </w:p>
    <w:p w14:paraId="75553633" w14:textId="5570CFF4" w:rsidR="00674DFA" w:rsidRPr="00A8030C" w:rsidRDefault="00674DFA" w:rsidP="00674DFA">
      <w:pPr>
        <w:spacing w:after="0" w:line="240" w:lineRule="auto"/>
        <w:rPr>
          <w:rFonts w:ascii="Times New Roman" w:hAnsi="Times New Roman" w:cs="Times New Roman"/>
          <w:color w:val="333333"/>
          <w:sz w:val="20"/>
          <w:szCs w:val="20"/>
          <w:shd w:val="clear" w:color="auto" w:fill="FFFFFF"/>
        </w:rPr>
      </w:pPr>
      <w:r>
        <w:rPr>
          <w:rFonts w:ascii="Times New Roman" w:hAnsi="Times New Roman"/>
          <w:color w:val="333333"/>
          <w:sz w:val="20"/>
          <w:shd w:val="clear" w:color="auto" w:fill="FFFFFF"/>
        </w:rPr>
        <w:t>Prováděcí nařízení Komise (EU) 2025/1137 ze dne 10. června 2025, kterým se stanoví mimořádná finanční podpora pro zemědělská odvětví zasažená nepříznivými klimatickými jevy a přírodními katastrofami v Česku a Slovinsku v souladu s nařízením Evropského parlamentu a Rady (EU) č. 1308/2013</w:t>
      </w:r>
      <w:r>
        <w:rPr>
          <w:sz w:val="20"/>
        </w:rPr>
        <w:t xml:space="preserve"> (Úř. věst. L, 2025/1137, 11.6.2025</w:t>
      </w:r>
      <w:r>
        <w:t xml:space="preserve"> </w:t>
      </w:r>
      <w:r>
        <w:br/>
      </w:r>
      <w:r>
        <w:rPr>
          <w:rFonts w:ascii="Times New Roman" w:hAnsi="Times New Roman"/>
          <w:color w:val="333333"/>
          <w:shd w:val="clear" w:color="auto" w:fill="FFFFFF"/>
        </w:rPr>
        <w:t xml:space="preserve">ELI: </w:t>
      </w:r>
      <w:hyperlink r:id="rId2" w:tgtFrame="_blank" w:tooltip="Umožňuje přístup k tomuto dokumentu prostřednictvím jeho identifikátoru URI v systému ELI." w:history="1">
        <w:r>
          <w:rPr>
            <w:color w:val="0000FF"/>
            <w:u w:val="single"/>
          </w:rPr>
          <w:t>http://data.europa.eu/eli/reg_impl/2025/1137/oj</w:t>
        </w:r>
      </w:hyperlink>
      <w:r>
        <w:t xml:space="preserve">) </w:t>
      </w:r>
    </w:p>
    <w:p w14:paraId="610D474C" w14:textId="3E7CA84E" w:rsidR="00674DFA" w:rsidRDefault="00674DFA" w:rsidP="00674DFA">
      <w:pPr>
        <w:spacing w:after="0" w:line="240" w:lineRule="auto"/>
      </w:pPr>
      <w:r>
        <w:rPr>
          <w:rFonts w:ascii="Times New Roman" w:hAnsi="Times New Roman"/>
          <w:color w:val="333333"/>
          <w:sz w:val="20"/>
          <w:shd w:val="clear" w:color="auto" w:fill="FFFFFF"/>
        </w:rPr>
        <w:t>Prováděcí nařízení Komise (EU) 2025/1145 ze dne 10. června 2025 o výjimečných podpůrných opatřeních pro odvětví mléka a vepřového masa v Německu</w:t>
      </w:r>
      <w:r>
        <w:rPr>
          <w:sz w:val="20"/>
        </w:rPr>
        <w:t xml:space="preserve"> (Úř. věst. L, 2025/1145, 11.6.2025,</w:t>
      </w:r>
      <w:r>
        <w:t xml:space="preserve"> </w:t>
      </w:r>
      <w:r>
        <w:br/>
      </w:r>
      <w:r>
        <w:rPr>
          <w:rFonts w:ascii="Times New Roman" w:hAnsi="Times New Roman"/>
          <w:color w:val="333333"/>
          <w:shd w:val="clear" w:color="auto" w:fill="FFFFFF"/>
        </w:rPr>
        <w:t xml:space="preserve">ELI: </w:t>
      </w:r>
      <w:hyperlink r:id="rId3" w:history="1">
        <w:r>
          <w:rPr>
            <w:rStyle w:val="Hyperlink"/>
          </w:rPr>
          <w:t>http://data.europa.eu/eli/reg_impl/2025/1145/oj</w:t>
        </w:r>
      </w:hyperlink>
      <w:r>
        <w:t xml:space="preserve">) </w:t>
      </w:r>
    </w:p>
    <w:p w14:paraId="56E28B97" w14:textId="557529B7" w:rsidR="00674DFA" w:rsidRPr="00674DFA" w:rsidRDefault="00674DFA">
      <w:pPr>
        <w:pStyle w:val="Footnote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A0A1B" w14:textId="77777777" w:rsidR="0048629B" w:rsidRPr="0048629B" w:rsidRDefault="0048629B" w:rsidP="0048629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A418" w14:textId="77777777" w:rsidR="0048629B" w:rsidRPr="0048629B" w:rsidRDefault="0048629B" w:rsidP="0048629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36141" w14:textId="77777777" w:rsidR="0048629B" w:rsidRPr="0048629B" w:rsidRDefault="0048629B" w:rsidP="0048629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FEED4" w14:textId="77777777" w:rsidR="006453BB" w:rsidRPr="00F4454F" w:rsidRDefault="006453BB" w:rsidP="00F445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1405" w14:textId="77777777" w:rsidR="006453BB" w:rsidRPr="00F4454F" w:rsidRDefault="006453BB" w:rsidP="00F4454F">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52CA0" w14:textId="77777777" w:rsidR="006453BB" w:rsidRPr="00F4454F" w:rsidRDefault="006453BB" w:rsidP="00F4454F">
    <w:pPr>
      <w:pStyle w:val="HeaderCoverPa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71E7"/>
    <w:multiLevelType w:val="hybridMultilevel"/>
    <w:tmpl w:val="E9C0EF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141D5E7E"/>
    <w:multiLevelType w:val="hybridMultilevel"/>
    <w:tmpl w:val="B43C126C"/>
    <w:lvl w:ilvl="0" w:tplc="79227C94">
      <w:start w:val="1"/>
      <w:numFmt w:val="decimal"/>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4E1A982C"/>
    <w:multiLevelType w:val="multilevel"/>
    <w:tmpl w:val="C2AA8F80"/>
    <w:name w:val="ListBulletNumbering"/>
    <w:lvl w:ilvl="0">
      <w:start w:val="1"/>
      <w:numFmt w:val="bullet"/>
      <w:pStyle w:val="ListBullet"/>
      <w:lvlText w:val=""/>
      <w:lvlJc w:val="left"/>
      <w:pPr>
        <w:tabs>
          <w:tab w:val="num" w:pos="567"/>
        </w:tabs>
        <w:ind w:left="567" w:hanging="283"/>
      </w:pPr>
      <w:rPr>
        <w:rFonts w:ascii="Symbol" w:hAnsi="Symbol"/>
      </w:rPr>
    </w:lvl>
    <w:lvl w:ilvl="1">
      <w:start w:val="1"/>
      <w:numFmt w:val="bullet"/>
      <w:pStyle w:val="ListBulletLevel2"/>
      <w:lvlText w:val=""/>
      <w:lvlJc w:val="left"/>
      <w:pPr>
        <w:tabs>
          <w:tab w:val="num" w:pos="851"/>
        </w:tabs>
        <w:ind w:left="851" w:hanging="284"/>
      </w:pPr>
      <w:rPr>
        <w:rFonts w:ascii="Symbol" w:hAnsi="Symbol"/>
      </w:rPr>
    </w:lvl>
    <w:lvl w:ilvl="2">
      <w:start w:val="1"/>
      <w:numFmt w:val="bullet"/>
      <w:pStyle w:val="ListBulletLevel3"/>
      <w:lvlText w:val=""/>
      <w:lvlJc w:val="left"/>
      <w:pPr>
        <w:tabs>
          <w:tab w:val="num" w:pos="1134"/>
        </w:tabs>
        <w:ind w:left="1134" w:hanging="283"/>
      </w:pPr>
      <w:rPr>
        <w:rFonts w:ascii="Symbol" w:hAnsi="Symbol"/>
      </w:rPr>
    </w:lvl>
    <w:lvl w:ilvl="3">
      <w:start w:val="1"/>
      <w:numFmt w:val="bullet"/>
      <w:pStyle w:val="ListBulletLevel4"/>
      <w:lvlText w:val=""/>
      <w:lvlJc w:val="left"/>
      <w:pPr>
        <w:tabs>
          <w:tab w:val="num" w:pos="1418"/>
        </w:tabs>
        <w:ind w:left="1418"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64A12FA4"/>
    <w:multiLevelType w:val="multilevel"/>
    <w:tmpl w:val="428ECF3E"/>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896146D1-F7BA-4307-9ABA-D3709507B33D"/>
    <w:docVar w:name="LW_COVERPAGE_TYPE" w:val="1"/>
    <w:docVar w:name="LW_CROSSREFERENCE" w:val="&lt;UNUSED&gt;"/>
    <w:docVar w:name="LW_DocType" w:val="NORMAL"/>
    <w:docVar w:name="LW_EMISSION" w:val="4.11.2025"/>
    <w:docVar w:name="LW_EMISSION_ISODATE" w:val="2025-11-04"/>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5) 68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výdajích EZZF_x000d__x000b__x000d__x000d__x000d__x000d__x000d__x000d__x000d__x000b__x000d__x000d__x000d__x000d__x000d__x000d__x000d__x000b__x000d__x000d__x000d__x000d__x000d__x000d__x000d__x000b_Systém v\u269?asného varování 1-6/2025"/>
    <w:docVar w:name="LW_TYPE.DOC.CP" w:val="ZPRÁVA KOMISE EVROPSKÉMU PARLAMENTU A RAD\u282?"/>
    <w:docVar w:name="LwApiVersions" w:val="LW4CoDe 1.24.5.0; LW 9.0, Build 20240221"/>
  </w:docVars>
  <w:rsids>
    <w:rsidRoot w:val="008F4061"/>
    <w:rsid w:val="000059DF"/>
    <w:rsid w:val="00026687"/>
    <w:rsid w:val="00033BF3"/>
    <w:rsid w:val="00062913"/>
    <w:rsid w:val="00064506"/>
    <w:rsid w:val="00084EE4"/>
    <w:rsid w:val="00087936"/>
    <w:rsid w:val="000B0762"/>
    <w:rsid w:val="000B6FA5"/>
    <w:rsid w:val="000C1BFB"/>
    <w:rsid w:val="000E65DB"/>
    <w:rsid w:val="000E7B32"/>
    <w:rsid w:val="000F0812"/>
    <w:rsid w:val="000F2732"/>
    <w:rsid w:val="001045CD"/>
    <w:rsid w:val="00121577"/>
    <w:rsid w:val="00163F5D"/>
    <w:rsid w:val="00164E2E"/>
    <w:rsid w:val="001779F3"/>
    <w:rsid w:val="0018661F"/>
    <w:rsid w:val="001A0E6A"/>
    <w:rsid w:val="001A3A8B"/>
    <w:rsid w:val="001B5F5B"/>
    <w:rsid w:val="001B670A"/>
    <w:rsid w:val="001C0398"/>
    <w:rsid w:val="001D6FC3"/>
    <w:rsid w:val="001D7F3E"/>
    <w:rsid w:val="001E0DCA"/>
    <w:rsid w:val="001E4AB7"/>
    <w:rsid w:val="001E5CF8"/>
    <w:rsid w:val="001E7142"/>
    <w:rsid w:val="001F2F1D"/>
    <w:rsid w:val="002012CF"/>
    <w:rsid w:val="00206881"/>
    <w:rsid w:val="002115BC"/>
    <w:rsid w:val="002135F0"/>
    <w:rsid w:val="00216F5B"/>
    <w:rsid w:val="002201B1"/>
    <w:rsid w:val="002231F2"/>
    <w:rsid w:val="00224653"/>
    <w:rsid w:val="00227D81"/>
    <w:rsid w:val="002320D4"/>
    <w:rsid w:val="0023488F"/>
    <w:rsid w:val="00241B3A"/>
    <w:rsid w:val="00245C9E"/>
    <w:rsid w:val="002517D0"/>
    <w:rsid w:val="0026158E"/>
    <w:rsid w:val="00276059"/>
    <w:rsid w:val="002D123B"/>
    <w:rsid w:val="002D1FFE"/>
    <w:rsid w:val="0030480F"/>
    <w:rsid w:val="00317491"/>
    <w:rsid w:val="00322C3D"/>
    <w:rsid w:val="003476DF"/>
    <w:rsid w:val="003553E3"/>
    <w:rsid w:val="00365F9E"/>
    <w:rsid w:val="00384502"/>
    <w:rsid w:val="003862FD"/>
    <w:rsid w:val="00390719"/>
    <w:rsid w:val="003A5DF8"/>
    <w:rsid w:val="003B1899"/>
    <w:rsid w:val="003B1A0C"/>
    <w:rsid w:val="003F184D"/>
    <w:rsid w:val="003F48B2"/>
    <w:rsid w:val="004130F5"/>
    <w:rsid w:val="004132E1"/>
    <w:rsid w:val="00414BD6"/>
    <w:rsid w:val="0041574A"/>
    <w:rsid w:val="00432B47"/>
    <w:rsid w:val="0043782F"/>
    <w:rsid w:val="004439DE"/>
    <w:rsid w:val="00453335"/>
    <w:rsid w:val="0048629B"/>
    <w:rsid w:val="004C69F5"/>
    <w:rsid w:val="004D1F6B"/>
    <w:rsid w:val="004E1D76"/>
    <w:rsid w:val="005127F3"/>
    <w:rsid w:val="00513EAF"/>
    <w:rsid w:val="005174C4"/>
    <w:rsid w:val="005269B0"/>
    <w:rsid w:val="00543FBA"/>
    <w:rsid w:val="00564900"/>
    <w:rsid w:val="00572456"/>
    <w:rsid w:val="005B3BF5"/>
    <w:rsid w:val="005B50BE"/>
    <w:rsid w:val="005C43BE"/>
    <w:rsid w:val="005C616D"/>
    <w:rsid w:val="005F5ECB"/>
    <w:rsid w:val="006215CB"/>
    <w:rsid w:val="00631DA3"/>
    <w:rsid w:val="006453BB"/>
    <w:rsid w:val="006514A9"/>
    <w:rsid w:val="00674DFA"/>
    <w:rsid w:val="00677D32"/>
    <w:rsid w:val="006862A4"/>
    <w:rsid w:val="006A0A81"/>
    <w:rsid w:val="006A616E"/>
    <w:rsid w:val="006A6A76"/>
    <w:rsid w:val="006A6BAC"/>
    <w:rsid w:val="006C3DB3"/>
    <w:rsid w:val="006D6EFD"/>
    <w:rsid w:val="006F2EB8"/>
    <w:rsid w:val="006F42D2"/>
    <w:rsid w:val="006F4A7B"/>
    <w:rsid w:val="00721215"/>
    <w:rsid w:val="00735DF1"/>
    <w:rsid w:val="0074638A"/>
    <w:rsid w:val="007640EB"/>
    <w:rsid w:val="0076797A"/>
    <w:rsid w:val="007679E1"/>
    <w:rsid w:val="00773177"/>
    <w:rsid w:val="00792252"/>
    <w:rsid w:val="00792F8D"/>
    <w:rsid w:val="00794C2E"/>
    <w:rsid w:val="007A38F5"/>
    <w:rsid w:val="007B54BD"/>
    <w:rsid w:val="007B77B3"/>
    <w:rsid w:val="007D09CE"/>
    <w:rsid w:val="007D3AD4"/>
    <w:rsid w:val="007D5457"/>
    <w:rsid w:val="007F12FD"/>
    <w:rsid w:val="007F394C"/>
    <w:rsid w:val="007F7801"/>
    <w:rsid w:val="008236E6"/>
    <w:rsid w:val="00841CC0"/>
    <w:rsid w:val="00845135"/>
    <w:rsid w:val="00874B21"/>
    <w:rsid w:val="008A769F"/>
    <w:rsid w:val="008B511B"/>
    <w:rsid w:val="008C3C5E"/>
    <w:rsid w:val="008D2C93"/>
    <w:rsid w:val="008D5A3C"/>
    <w:rsid w:val="008E4049"/>
    <w:rsid w:val="008F1C45"/>
    <w:rsid w:val="008F4061"/>
    <w:rsid w:val="008F62C2"/>
    <w:rsid w:val="008F72F0"/>
    <w:rsid w:val="008F7AAD"/>
    <w:rsid w:val="0090178F"/>
    <w:rsid w:val="00915696"/>
    <w:rsid w:val="00915EB6"/>
    <w:rsid w:val="009202F7"/>
    <w:rsid w:val="009242ED"/>
    <w:rsid w:val="00933A01"/>
    <w:rsid w:val="00946E9D"/>
    <w:rsid w:val="00967FD4"/>
    <w:rsid w:val="009B1E47"/>
    <w:rsid w:val="009B5609"/>
    <w:rsid w:val="009C36D4"/>
    <w:rsid w:val="009D2D71"/>
    <w:rsid w:val="009D7E4C"/>
    <w:rsid w:val="009E2E69"/>
    <w:rsid w:val="009E2FB5"/>
    <w:rsid w:val="009E70FF"/>
    <w:rsid w:val="009F14CB"/>
    <w:rsid w:val="009F17DD"/>
    <w:rsid w:val="009F5903"/>
    <w:rsid w:val="009F744D"/>
    <w:rsid w:val="00A17D5C"/>
    <w:rsid w:val="00A258A5"/>
    <w:rsid w:val="00A40CC5"/>
    <w:rsid w:val="00A414AD"/>
    <w:rsid w:val="00A65729"/>
    <w:rsid w:val="00A8030C"/>
    <w:rsid w:val="00A91E7A"/>
    <w:rsid w:val="00AA254C"/>
    <w:rsid w:val="00AB3630"/>
    <w:rsid w:val="00AB6A5B"/>
    <w:rsid w:val="00AC1B5A"/>
    <w:rsid w:val="00AC520A"/>
    <w:rsid w:val="00AE3E48"/>
    <w:rsid w:val="00AF5AAA"/>
    <w:rsid w:val="00B14321"/>
    <w:rsid w:val="00B14442"/>
    <w:rsid w:val="00B3689F"/>
    <w:rsid w:val="00B408A8"/>
    <w:rsid w:val="00B42A0E"/>
    <w:rsid w:val="00B478D9"/>
    <w:rsid w:val="00B50036"/>
    <w:rsid w:val="00B52C48"/>
    <w:rsid w:val="00B5561A"/>
    <w:rsid w:val="00B7023E"/>
    <w:rsid w:val="00BB0FAD"/>
    <w:rsid w:val="00BB241A"/>
    <w:rsid w:val="00BB368C"/>
    <w:rsid w:val="00BB3F9A"/>
    <w:rsid w:val="00BF5E6A"/>
    <w:rsid w:val="00BF7D3C"/>
    <w:rsid w:val="00C009A4"/>
    <w:rsid w:val="00C039AC"/>
    <w:rsid w:val="00C20DD2"/>
    <w:rsid w:val="00C25E41"/>
    <w:rsid w:val="00C45FC0"/>
    <w:rsid w:val="00C63FD4"/>
    <w:rsid w:val="00C8323A"/>
    <w:rsid w:val="00C8740B"/>
    <w:rsid w:val="00CA700D"/>
    <w:rsid w:val="00CB4D22"/>
    <w:rsid w:val="00CC0DB4"/>
    <w:rsid w:val="00CC19FC"/>
    <w:rsid w:val="00CC38D5"/>
    <w:rsid w:val="00CC3BD5"/>
    <w:rsid w:val="00CC7AB6"/>
    <w:rsid w:val="00CE0D98"/>
    <w:rsid w:val="00D0328C"/>
    <w:rsid w:val="00D26EA4"/>
    <w:rsid w:val="00D36D44"/>
    <w:rsid w:val="00D418AF"/>
    <w:rsid w:val="00D44EDA"/>
    <w:rsid w:val="00D5346F"/>
    <w:rsid w:val="00D842D0"/>
    <w:rsid w:val="00D849B3"/>
    <w:rsid w:val="00D85DA2"/>
    <w:rsid w:val="00DA0B99"/>
    <w:rsid w:val="00DA555C"/>
    <w:rsid w:val="00DB16A7"/>
    <w:rsid w:val="00DD6ECE"/>
    <w:rsid w:val="00DF7377"/>
    <w:rsid w:val="00E01A4C"/>
    <w:rsid w:val="00E24C59"/>
    <w:rsid w:val="00E43599"/>
    <w:rsid w:val="00E46A6F"/>
    <w:rsid w:val="00E71489"/>
    <w:rsid w:val="00E75D79"/>
    <w:rsid w:val="00E817E6"/>
    <w:rsid w:val="00E945EE"/>
    <w:rsid w:val="00EA22F8"/>
    <w:rsid w:val="00EB2642"/>
    <w:rsid w:val="00EC4661"/>
    <w:rsid w:val="00ED222B"/>
    <w:rsid w:val="00ED4E58"/>
    <w:rsid w:val="00ED71DA"/>
    <w:rsid w:val="00EE5E3F"/>
    <w:rsid w:val="00EF20E2"/>
    <w:rsid w:val="00EF6982"/>
    <w:rsid w:val="00F125F9"/>
    <w:rsid w:val="00F211E0"/>
    <w:rsid w:val="00F24650"/>
    <w:rsid w:val="00F44E8D"/>
    <w:rsid w:val="00F66410"/>
    <w:rsid w:val="00F70F3F"/>
    <w:rsid w:val="00F73B4C"/>
    <w:rsid w:val="00F83F64"/>
    <w:rsid w:val="00FA2D91"/>
    <w:rsid w:val="00FA3604"/>
    <w:rsid w:val="00FC22A8"/>
    <w:rsid w:val="00FC7E7C"/>
    <w:rsid w:val="00FD4BCA"/>
    <w:rsid w:val="00FF41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04487B"/>
  <w15:chartTrackingRefBased/>
  <w15:docId w15:val="{995CC3D1-82B2-41B7-BF3A-35B40018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8F4061"/>
    <w:rPr>
      <w:color w:val="0000FF"/>
      <w:shd w:val="clear" w:color="auto" w:fill="auto"/>
    </w:rPr>
  </w:style>
  <w:style w:type="paragraph" w:styleId="Header">
    <w:name w:val="header"/>
    <w:basedOn w:val="Normal"/>
    <w:link w:val="HeaderChar"/>
    <w:uiPriority w:val="99"/>
    <w:unhideWhenUsed/>
    <w:rsid w:val="008F4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061"/>
  </w:style>
  <w:style w:type="paragraph" w:styleId="Footer">
    <w:name w:val="footer"/>
    <w:basedOn w:val="Normal"/>
    <w:link w:val="FooterChar"/>
    <w:uiPriority w:val="99"/>
    <w:unhideWhenUsed/>
    <w:rsid w:val="008F4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061"/>
  </w:style>
  <w:style w:type="paragraph" w:customStyle="1" w:styleId="Pagedecouverture">
    <w:name w:val="Page de couverture"/>
    <w:basedOn w:val="Normal"/>
    <w:next w:val="Normal"/>
    <w:rsid w:val="008F4061"/>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F406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F4061"/>
    <w:rPr>
      <w:rFonts w:ascii="Times New Roman" w:hAnsi="Times New Roman" w:cs="Times New Roman"/>
      <w:sz w:val="24"/>
    </w:rPr>
  </w:style>
  <w:style w:type="paragraph" w:customStyle="1" w:styleId="FooterSensitivity">
    <w:name w:val="Footer Sensitivity"/>
    <w:basedOn w:val="Normal"/>
    <w:link w:val="FooterSensitivityChar"/>
    <w:rsid w:val="008F406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F4061"/>
    <w:rPr>
      <w:rFonts w:ascii="Times New Roman" w:hAnsi="Times New Roman" w:cs="Times New Roman"/>
      <w:b/>
      <w:sz w:val="32"/>
    </w:rPr>
  </w:style>
  <w:style w:type="paragraph" w:customStyle="1" w:styleId="HeaderCoverPage">
    <w:name w:val="Header Cover Page"/>
    <w:basedOn w:val="Normal"/>
    <w:link w:val="HeaderCoverPageChar"/>
    <w:rsid w:val="008F406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F4061"/>
    <w:rPr>
      <w:rFonts w:ascii="Times New Roman" w:hAnsi="Times New Roman" w:cs="Times New Roman"/>
      <w:sz w:val="24"/>
    </w:rPr>
  </w:style>
  <w:style w:type="paragraph" w:customStyle="1" w:styleId="HeaderSensitivity">
    <w:name w:val="Header Sensitivity"/>
    <w:basedOn w:val="Normal"/>
    <w:link w:val="HeaderSensitivityChar"/>
    <w:rsid w:val="008F406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F4061"/>
    <w:rPr>
      <w:rFonts w:ascii="Times New Roman" w:hAnsi="Times New Roman" w:cs="Times New Roman"/>
      <w:b/>
      <w:sz w:val="32"/>
    </w:rPr>
  </w:style>
  <w:style w:type="paragraph" w:customStyle="1" w:styleId="HeaderSensitivityRight">
    <w:name w:val="Header Sensitivity Right"/>
    <w:basedOn w:val="Normal"/>
    <w:link w:val="HeaderSensitivityRightChar"/>
    <w:rsid w:val="008F406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F4061"/>
    <w:rPr>
      <w:rFonts w:ascii="Times New Roman" w:hAnsi="Times New Roman" w:cs="Times New Roman"/>
      <w:sz w:val="28"/>
    </w:rPr>
  </w:style>
  <w:style w:type="character" w:styleId="Hyperlink">
    <w:name w:val="Hyperlink"/>
    <w:uiPriority w:val="99"/>
    <w:unhideWhenUsed/>
    <w:rsid w:val="001C0398"/>
    <w:rPr>
      <w:color w:val="0000FF"/>
      <w:u w:val="single"/>
    </w:rPr>
  </w:style>
  <w:style w:type="paragraph" w:styleId="FootnoteText">
    <w:name w:val="footnote text"/>
    <w:basedOn w:val="Normal"/>
    <w:link w:val="FootnoteTextChar"/>
    <w:unhideWhenUsed/>
    <w:rsid w:val="001C0398"/>
    <w:pPr>
      <w:spacing w:after="0" w:line="240" w:lineRule="auto"/>
    </w:pPr>
    <w:rPr>
      <w:sz w:val="20"/>
      <w:szCs w:val="20"/>
    </w:rPr>
  </w:style>
  <w:style w:type="character" w:customStyle="1" w:styleId="FootnoteTextChar">
    <w:name w:val="Footnote Text Char"/>
    <w:basedOn w:val="DefaultParagraphFont"/>
    <w:link w:val="FootnoteText"/>
    <w:rsid w:val="001C0398"/>
    <w:rPr>
      <w:sz w:val="20"/>
      <w:szCs w:val="20"/>
      <w:lang w:val="cs-CZ"/>
    </w:rPr>
  </w:style>
  <w:style w:type="character" w:styleId="FootnoteReference">
    <w:name w:val="footnote reference"/>
    <w:semiHidden/>
    <w:unhideWhenUsed/>
    <w:rsid w:val="001C0398"/>
    <w:rPr>
      <w:vertAlign w:val="superscript"/>
    </w:rPr>
  </w:style>
  <w:style w:type="paragraph" w:styleId="ListParagraph">
    <w:name w:val="List Paragraph"/>
    <w:basedOn w:val="Normal"/>
    <w:uiPriority w:val="34"/>
    <w:qFormat/>
    <w:rsid w:val="001C0398"/>
    <w:pPr>
      <w:spacing w:after="200" w:line="276" w:lineRule="auto"/>
      <w:ind w:left="720"/>
      <w:contextualSpacing/>
    </w:pPr>
  </w:style>
  <w:style w:type="paragraph" w:customStyle="1" w:styleId="Text1">
    <w:name w:val="Text 1"/>
    <w:basedOn w:val="Normal"/>
    <w:link w:val="Text1Char"/>
    <w:qFormat/>
    <w:rsid w:val="001C0398"/>
    <w:pPr>
      <w:spacing w:before="120" w:after="120" w:line="240" w:lineRule="auto"/>
      <w:ind w:left="850"/>
      <w:jc w:val="both"/>
    </w:pPr>
    <w:rPr>
      <w:rFonts w:ascii="Times New Roman" w:eastAsia="Times New Roman" w:hAnsi="Times New Roman" w:cs="Times New Roman"/>
      <w:sz w:val="24"/>
      <w:szCs w:val="24"/>
    </w:rPr>
  </w:style>
  <w:style w:type="character" w:customStyle="1" w:styleId="Text1Char">
    <w:name w:val="Text 1 Char"/>
    <w:link w:val="Text1"/>
    <w:locked/>
    <w:rsid w:val="001C0398"/>
    <w:rPr>
      <w:rFonts w:ascii="Times New Roman" w:eastAsia="Times New Roman" w:hAnsi="Times New Roman" w:cs="Times New Roman"/>
      <w:sz w:val="24"/>
      <w:szCs w:val="24"/>
      <w:lang w:val="cs-CZ"/>
    </w:rPr>
  </w:style>
  <w:style w:type="character" w:styleId="CommentReference">
    <w:name w:val="annotation reference"/>
    <w:basedOn w:val="DefaultParagraphFont"/>
    <w:uiPriority w:val="99"/>
    <w:semiHidden/>
    <w:unhideWhenUsed/>
    <w:rsid w:val="009B1E47"/>
    <w:rPr>
      <w:sz w:val="16"/>
      <w:szCs w:val="16"/>
    </w:rPr>
  </w:style>
  <w:style w:type="paragraph" w:styleId="CommentText">
    <w:name w:val="annotation text"/>
    <w:basedOn w:val="Normal"/>
    <w:link w:val="CommentTextChar"/>
    <w:uiPriority w:val="99"/>
    <w:unhideWhenUsed/>
    <w:rsid w:val="009B1E47"/>
    <w:pPr>
      <w:spacing w:line="240" w:lineRule="auto"/>
    </w:pPr>
    <w:rPr>
      <w:sz w:val="20"/>
      <w:szCs w:val="20"/>
    </w:rPr>
  </w:style>
  <w:style w:type="character" w:customStyle="1" w:styleId="CommentTextChar">
    <w:name w:val="Comment Text Char"/>
    <w:basedOn w:val="DefaultParagraphFont"/>
    <w:link w:val="CommentText"/>
    <w:uiPriority w:val="99"/>
    <w:rsid w:val="009B1E47"/>
    <w:rPr>
      <w:sz w:val="20"/>
      <w:szCs w:val="20"/>
      <w:lang w:val="cs-CZ"/>
    </w:rPr>
  </w:style>
  <w:style w:type="paragraph" w:styleId="Revision">
    <w:name w:val="Revision"/>
    <w:hidden/>
    <w:uiPriority w:val="99"/>
    <w:semiHidden/>
    <w:rsid w:val="001E0DCA"/>
    <w:pPr>
      <w:spacing w:after="0" w:line="240" w:lineRule="auto"/>
    </w:pPr>
  </w:style>
  <w:style w:type="character" w:styleId="FollowedHyperlink">
    <w:name w:val="FollowedHyperlink"/>
    <w:basedOn w:val="DefaultParagraphFont"/>
    <w:uiPriority w:val="99"/>
    <w:semiHidden/>
    <w:unhideWhenUsed/>
    <w:rsid w:val="001B670A"/>
    <w:rPr>
      <w:color w:val="954F72" w:themeColor="followedHyperlink"/>
      <w:u w:val="single"/>
    </w:rPr>
  </w:style>
  <w:style w:type="character" w:customStyle="1" w:styleId="UnresolvedMention">
    <w:name w:val="Unresolved Mention"/>
    <w:basedOn w:val="DefaultParagraphFont"/>
    <w:uiPriority w:val="99"/>
    <w:semiHidden/>
    <w:unhideWhenUsed/>
    <w:rsid w:val="00B408A8"/>
    <w:rPr>
      <w:color w:val="605E5C"/>
      <w:shd w:val="clear" w:color="auto" w:fill="E1DFDD"/>
    </w:rPr>
  </w:style>
  <w:style w:type="paragraph" w:styleId="ListBullet">
    <w:name w:val="List Bullet"/>
    <w:basedOn w:val="Normal"/>
    <w:uiPriority w:val="1"/>
    <w:rsid w:val="00543FB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Level2">
    <w:name w:val="List Bullet (Level 2)"/>
    <w:basedOn w:val="Text1"/>
    <w:uiPriority w:val="1"/>
    <w:rsid w:val="00543FBA"/>
    <w:pPr>
      <w:numPr>
        <w:ilvl w:val="1"/>
        <w:numId w:val="3"/>
      </w:numPr>
      <w:tabs>
        <w:tab w:val="clear" w:pos="851"/>
        <w:tab w:val="num" w:pos="360"/>
      </w:tabs>
      <w:spacing w:before="0" w:after="240"/>
      <w:ind w:left="850" w:firstLine="0"/>
    </w:pPr>
    <w:rPr>
      <w:szCs w:val="20"/>
    </w:rPr>
  </w:style>
  <w:style w:type="paragraph" w:customStyle="1" w:styleId="ListBulletLevel3">
    <w:name w:val="List Bullet (Level 3)"/>
    <w:basedOn w:val="Text1"/>
    <w:uiPriority w:val="1"/>
    <w:semiHidden/>
    <w:unhideWhenUsed/>
    <w:rsid w:val="00543FBA"/>
    <w:pPr>
      <w:numPr>
        <w:ilvl w:val="2"/>
        <w:numId w:val="3"/>
      </w:numPr>
      <w:tabs>
        <w:tab w:val="clear" w:pos="1134"/>
        <w:tab w:val="num" w:pos="360"/>
      </w:tabs>
      <w:spacing w:before="0" w:after="240"/>
      <w:ind w:left="850" w:firstLine="0"/>
    </w:pPr>
    <w:rPr>
      <w:szCs w:val="20"/>
    </w:rPr>
  </w:style>
  <w:style w:type="paragraph" w:customStyle="1" w:styleId="ListBulletLevel4">
    <w:name w:val="List Bullet (Level 4)"/>
    <w:basedOn w:val="Text1"/>
    <w:uiPriority w:val="1"/>
    <w:semiHidden/>
    <w:unhideWhenUsed/>
    <w:rsid w:val="00543FBA"/>
    <w:pPr>
      <w:numPr>
        <w:ilvl w:val="3"/>
        <w:numId w:val="3"/>
      </w:numPr>
      <w:tabs>
        <w:tab w:val="clear" w:pos="1418"/>
        <w:tab w:val="num" w:pos="360"/>
      </w:tabs>
      <w:spacing w:before="0" w:after="240"/>
      <w:ind w:left="850" w:firstLine="0"/>
    </w:pPr>
    <w:rPr>
      <w:szCs w:val="20"/>
    </w:rPr>
  </w:style>
  <w:style w:type="character" w:styleId="Emphasis">
    <w:name w:val="Emphasis"/>
    <w:basedOn w:val="DefaultParagraphFont"/>
    <w:uiPriority w:val="20"/>
    <w:qFormat/>
    <w:rsid w:val="00AB6A5B"/>
    <w:rPr>
      <w:i/>
      <w:iCs/>
    </w:rPr>
  </w:style>
  <w:style w:type="paragraph" w:styleId="CommentSubject">
    <w:name w:val="annotation subject"/>
    <w:basedOn w:val="CommentText"/>
    <w:next w:val="CommentText"/>
    <w:link w:val="CommentSubjectChar"/>
    <w:uiPriority w:val="99"/>
    <w:semiHidden/>
    <w:unhideWhenUsed/>
    <w:rsid w:val="009E2FB5"/>
    <w:rPr>
      <w:b/>
      <w:bCs/>
    </w:rPr>
  </w:style>
  <w:style w:type="character" w:customStyle="1" w:styleId="CommentSubjectChar">
    <w:name w:val="Comment Subject Char"/>
    <w:basedOn w:val="CommentTextChar"/>
    <w:link w:val="CommentSubject"/>
    <w:uiPriority w:val="99"/>
    <w:semiHidden/>
    <w:rsid w:val="009E2FB5"/>
    <w:rPr>
      <w:b/>
      <w:bCs/>
      <w:sz w:val="20"/>
      <w:szCs w:val="20"/>
      <w:lang w:val="cs-CZ"/>
    </w:rPr>
  </w:style>
  <w:style w:type="character" w:customStyle="1" w:styleId="cf01">
    <w:name w:val="cf01"/>
    <w:basedOn w:val="DefaultParagraphFont"/>
    <w:rsid w:val="00CC3BD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0948">
      <w:bodyDiv w:val="1"/>
      <w:marLeft w:val="0"/>
      <w:marRight w:val="0"/>
      <w:marTop w:val="0"/>
      <w:marBottom w:val="0"/>
      <w:divBdr>
        <w:top w:val="none" w:sz="0" w:space="0" w:color="auto"/>
        <w:left w:val="none" w:sz="0" w:space="0" w:color="auto"/>
        <w:bottom w:val="none" w:sz="0" w:space="0" w:color="auto"/>
        <w:right w:val="none" w:sz="0" w:space="0" w:color="auto"/>
      </w:divBdr>
    </w:div>
    <w:div w:id="1447311780">
      <w:bodyDiv w:val="1"/>
      <w:marLeft w:val="0"/>
      <w:marRight w:val="0"/>
      <w:marTop w:val="0"/>
      <w:marBottom w:val="0"/>
      <w:divBdr>
        <w:top w:val="none" w:sz="0" w:space="0" w:color="auto"/>
        <w:left w:val="none" w:sz="0" w:space="0" w:color="auto"/>
        <w:bottom w:val="none" w:sz="0" w:space="0" w:color="auto"/>
        <w:right w:val="none" w:sz="0" w:space="0" w:color="auto"/>
      </w:divBdr>
    </w:div>
    <w:div w:id="21069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5/1145/oj" TargetMode="External"/><Relationship Id="rId2" Type="http://schemas.openxmlformats.org/officeDocument/2006/relationships/hyperlink" Target="http://data.europa.eu/eli/reg_impl/2025/1137/oj" TargetMode="External"/><Relationship Id="rId1" Type="http://schemas.openxmlformats.org/officeDocument/2006/relationships/hyperlink" Target="http://data.europa.eu/eli/reg_impl/2025/4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49CC-FDC2-4A98-94E9-935E23CB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2025-06-20T16:11:00Z</cp:lastPrinted>
  <dcterms:created xsi:type="dcterms:W3CDTF">2025-08-26T13:20:00Z</dcterms:created>
  <dcterms:modified xsi:type="dcterms:W3CDTF">2025-11-04T13:32:00Z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9.1, Build 20240808</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2024-11-26T12:50:12Z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ed70a53e-dddd-423b-8810-8d905b9df90b</vt:lpwstr>
  </property>
  <property fmtid="{D5CDD505-2E9C-101B-9397-08002B2CF9AE}" pid="15" name="MSIP_Label_6bd9ddd1-4d20-43f6-abfa-fc3c07406f94_ContentBits">
    <vt:lpwstr>0</vt:lpwstr>
  </property>
</Properties>
</file>